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81DA7">
      <w:pPr>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jc w:val="center"/>
        <w:textAlignment w:val="auto"/>
        <w:rPr>
          <w:rFonts w:hint="eastAsia" w:ascii="黑体" w:hAnsi="黑体" w:eastAsia="黑体" w:cs="黑体"/>
          <w:b/>
          <w:bCs/>
          <w:color w:val="auto"/>
          <w:sz w:val="44"/>
          <w:szCs w:val="44"/>
          <w:highlight w:val="none"/>
          <w:lang w:val="en-US" w:eastAsia="zh-CN"/>
        </w:rPr>
      </w:pPr>
      <w:r>
        <w:rPr>
          <w:rFonts w:hint="eastAsia" w:ascii="黑体" w:hAnsi="黑体" w:eastAsia="黑体" w:cs="黑体"/>
          <w:b/>
          <w:bCs/>
          <w:color w:val="auto"/>
          <w:sz w:val="44"/>
          <w:szCs w:val="44"/>
          <w:highlight w:val="none"/>
          <w:lang w:eastAsia="zh-CN"/>
        </w:rPr>
        <w:t>202</w:t>
      </w:r>
      <w:r>
        <w:rPr>
          <w:rFonts w:hint="eastAsia" w:ascii="黑体" w:hAnsi="黑体" w:eastAsia="黑体" w:cs="黑体"/>
          <w:b/>
          <w:bCs/>
          <w:color w:val="auto"/>
          <w:sz w:val="44"/>
          <w:szCs w:val="44"/>
          <w:highlight w:val="none"/>
          <w:lang w:val="en-US" w:eastAsia="zh-CN"/>
        </w:rPr>
        <w:t>5</w:t>
      </w:r>
      <w:r>
        <w:rPr>
          <w:rFonts w:hint="eastAsia" w:ascii="黑体" w:hAnsi="黑体" w:eastAsia="黑体" w:cs="黑体"/>
          <w:b/>
          <w:bCs/>
          <w:color w:val="auto"/>
          <w:sz w:val="44"/>
          <w:szCs w:val="44"/>
          <w:highlight w:val="none"/>
          <w:lang w:eastAsia="zh-CN"/>
        </w:rPr>
        <w:t>年度</w:t>
      </w:r>
      <w:r>
        <w:rPr>
          <w:rFonts w:hint="eastAsia" w:ascii="黑体" w:hAnsi="黑体" w:eastAsia="黑体" w:cs="黑体"/>
          <w:b/>
          <w:bCs/>
          <w:color w:val="auto"/>
          <w:sz w:val="44"/>
          <w:szCs w:val="44"/>
          <w:highlight w:val="none"/>
          <w:lang w:val="en-US" w:eastAsia="zh-CN"/>
        </w:rPr>
        <w:t>攀枝花市仁和区</w:t>
      </w:r>
    </w:p>
    <w:p w14:paraId="7FF525EF">
      <w:pPr>
        <w:spacing w:line="580" w:lineRule="exact"/>
        <w:ind w:firstLine="0" w:firstLineChars="0"/>
        <w:jc w:val="center"/>
        <w:rPr>
          <w:rFonts w:hint="default" w:ascii="Times New Roman" w:hAnsi="Times New Roman" w:eastAsia="楷体_GB2312" w:cs="Times New Roman"/>
          <w:b/>
          <w:bCs/>
          <w:color w:val="auto"/>
          <w:sz w:val="52"/>
          <w:szCs w:val="52"/>
        </w:rPr>
      </w:pPr>
      <w:r>
        <w:rPr>
          <w:rFonts w:hint="eastAsia" w:ascii="黑体" w:hAnsi="黑体" w:eastAsia="黑体" w:cs="黑体"/>
          <w:b/>
          <w:bCs/>
          <w:color w:val="auto"/>
          <w:sz w:val="44"/>
          <w:szCs w:val="44"/>
          <w:highlight w:val="none"/>
          <w:lang w:val="en-US" w:eastAsia="zh-CN"/>
        </w:rPr>
        <w:t>专项预算项目</w:t>
      </w:r>
      <w:r>
        <w:rPr>
          <w:rFonts w:hint="eastAsia" w:ascii="黑体" w:hAnsi="黑体" w:eastAsia="黑体" w:cs="黑体"/>
          <w:b/>
          <w:bCs/>
          <w:color w:val="auto"/>
          <w:sz w:val="44"/>
          <w:szCs w:val="44"/>
          <w:highlight w:val="none"/>
          <w:lang w:eastAsia="zh-CN"/>
        </w:rPr>
        <w:t>绩效评价报告</w:t>
      </w:r>
    </w:p>
    <w:p w14:paraId="42526524">
      <w:pPr>
        <w:pStyle w:val="5"/>
        <w:spacing w:line="580" w:lineRule="exact"/>
        <w:ind w:firstLine="0" w:firstLineChars="0"/>
        <w:jc w:val="center"/>
        <w:rPr>
          <w:rFonts w:hint="default" w:ascii="Times New Roman" w:hAnsi="Times New Roman" w:cs="Times New Roman"/>
          <w:color w:val="auto"/>
          <w:sz w:val="52"/>
          <w:szCs w:val="52"/>
        </w:rPr>
      </w:pPr>
    </w:p>
    <w:p w14:paraId="790694D6">
      <w:pPr>
        <w:spacing w:line="580" w:lineRule="exact"/>
        <w:rPr>
          <w:rFonts w:hint="default" w:ascii="Times New Roman" w:hAnsi="Times New Roman" w:cs="Times New Roman"/>
          <w:color w:val="auto"/>
          <w:sz w:val="52"/>
          <w:szCs w:val="52"/>
        </w:rPr>
      </w:pPr>
    </w:p>
    <w:p w14:paraId="4BFF21B9">
      <w:pPr>
        <w:spacing w:line="580" w:lineRule="exact"/>
        <w:rPr>
          <w:rFonts w:hint="default" w:ascii="Times New Roman" w:hAnsi="Times New Roman" w:cs="Times New Roman"/>
          <w:color w:val="auto"/>
          <w:sz w:val="52"/>
          <w:szCs w:val="52"/>
        </w:rPr>
      </w:pPr>
    </w:p>
    <w:p w14:paraId="70E3A53D">
      <w:pPr>
        <w:spacing w:line="580" w:lineRule="exact"/>
        <w:rPr>
          <w:rFonts w:hint="default" w:ascii="Times New Roman" w:hAnsi="Times New Roman" w:cs="Times New Roman"/>
          <w:color w:val="auto"/>
          <w:sz w:val="52"/>
          <w:szCs w:val="52"/>
        </w:rPr>
      </w:pPr>
    </w:p>
    <w:p w14:paraId="3E0C9D47">
      <w:pPr>
        <w:spacing w:line="580" w:lineRule="exact"/>
        <w:rPr>
          <w:rFonts w:hint="default" w:ascii="Times New Roman" w:hAnsi="Times New Roman" w:cs="Times New Roman"/>
          <w:color w:val="auto"/>
          <w:sz w:val="52"/>
          <w:szCs w:val="52"/>
        </w:rPr>
      </w:pPr>
    </w:p>
    <w:p w14:paraId="27F5F004">
      <w:pPr>
        <w:pStyle w:val="10"/>
        <w:ind w:left="0" w:leftChars="0" w:firstLine="0" w:firstLineChars="0"/>
        <w:rPr>
          <w:rFonts w:hint="default"/>
        </w:rPr>
      </w:pPr>
    </w:p>
    <w:p w14:paraId="0B5AE45C">
      <w:pPr>
        <w:rPr>
          <w:rFonts w:hint="default"/>
        </w:rPr>
      </w:pPr>
    </w:p>
    <w:p w14:paraId="761D8AB7">
      <w:pPr>
        <w:spacing w:line="580" w:lineRule="exact"/>
        <w:ind w:left="2801" w:leftChars="665" w:hanging="1405" w:hangingChars="500"/>
        <w:jc w:val="both"/>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rPr>
        <w:t>项目名称：</w:t>
      </w:r>
      <w:r>
        <w:rPr>
          <w:rFonts w:hint="eastAsia" w:ascii="黑体" w:hAnsi="黑体" w:eastAsia="黑体" w:cs="黑体"/>
          <w:b/>
          <w:bCs/>
          <w:color w:val="auto"/>
          <w:sz w:val="28"/>
          <w:szCs w:val="28"/>
          <w:lang w:eastAsia="zh-CN"/>
        </w:rPr>
        <w:t>重大节庆及外宣经费项目</w:t>
      </w:r>
    </w:p>
    <w:p w14:paraId="12E57430">
      <w:pPr>
        <w:spacing w:line="580" w:lineRule="exact"/>
        <w:ind w:firstLine="1405" w:firstLineChars="500"/>
        <w:jc w:val="both"/>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rPr>
        <w:t>项目单位：攀枝花市仁和区文化广播电视和旅游局</w:t>
      </w:r>
    </w:p>
    <w:p w14:paraId="5E9FCF2B">
      <w:pPr>
        <w:spacing w:line="580" w:lineRule="exact"/>
        <w:ind w:firstLine="1405" w:firstLineChars="500"/>
        <w:jc w:val="both"/>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rPr>
        <w:t>委托单位：</w:t>
      </w:r>
      <w:r>
        <w:rPr>
          <w:rFonts w:hint="eastAsia" w:ascii="黑体" w:hAnsi="黑体" w:eastAsia="黑体" w:cs="黑体"/>
          <w:b/>
          <w:bCs/>
          <w:color w:val="auto"/>
          <w:sz w:val="28"/>
          <w:szCs w:val="28"/>
          <w:lang w:eastAsia="zh-CN"/>
        </w:rPr>
        <w:t>攀枝花市仁和区财政局</w:t>
      </w:r>
    </w:p>
    <w:p w14:paraId="0F42FE54">
      <w:pPr>
        <w:spacing w:line="580" w:lineRule="exact"/>
        <w:ind w:firstLine="1405" w:firstLineChars="500"/>
        <w:jc w:val="both"/>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评价机构：</w:t>
      </w:r>
      <w:r>
        <w:rPr>
          <w:rFonts w:hint="eastAsia" w:ascii="黑体" w:hAnsi="黑体" w:eastAsia="黑体" w:cs="黑体"/>
          <w:b/>
          <w:bCs/>
          <w:color w:val="auto"/>
          <w:sz w:val="28"/>
          <w:szCs w:val="28"/>
          <w:lang w:eastAsia="zh-CN"/>
        </w:rPr>
        <w:t>四川璟合企业管理咨询有限公司</w:t>
      </w:r>
    </w:p>
    <w:p w14:paraId="792DC522">
      <w:pPr>
        <w:keepNext w:val="0"/>
        <w:keepLines w:val="0"/>
        <w:pageBreakBefore w:val="0"/>
        <w:widowControl w:val="0"/>
        <w:kinsoku/>
        <w:wordWrap/>
        <w:overflowPunct/>
        <w:topLinePunct w:val="0"/>
        <w:autoSpaceDE/>
        <w:autoSpaceDN/>
        <w:bidi w:val="0"/>
        <w:adjustRightInd/>
        <w:snapToGrid/>
        <w:spacing w:line="580" w:lineRule="atLeast"/>
        <w:ind w:firstLine="0" w:firstLineChars="0"/>
        <w:jc w:val="both"/>
        <w:textAlignment w:val="auto"/>
        <w:rPr>
          <w:rFonts w:hint="eastAsia" w:ascii="Times New Roman" w:hAnsi="Times New Roman" w:eastAsia="楷体_GB2312" w:cs="Times New Roman"/>
          <w:b/>
          <w:bCs/>
          <w:color w:val="auto"/>
          <w:szCs w:val="32"/>
        </w:rPr>
      </w:pPr>
    </w:p>
    <w:p w14:paraId="53EC4296">
      <w:pPr>
        <w:keepNext w:val="0"/>
        <w:keepLines w:val="0"/>
        <w:pageBreakBefore w:val="0"/>
        <w:widowControl w:val="0"/>
        <w:kinsoku/>
        <w:wordWrap/>
        <w:overflowPunct/>
        <w:topLinePunct w:val="0"/>
        <w:autoSpaceDE/>
        <w:autoSpaceDN/>
        <w:bidi w:val="0"/>
        <w:adjustRightInd/>
        <w:snapToGrid/>
        <w:spacing w:line="580" w:lineRule="atLeast"/>
        <w:ind w:firstLine="0" w:firstLineChars="0"/>
        <w:jc w:val="left"/>
        <w:textAlignment w:val="auto"/>
        <w:rPr>
          <w:rFonts w:hint="eastAsia" w:ascii="Times New Roman" w:hAnsi="Times New Roman" w:eastAsia="楷体_GB2312" w:cs="Times New Roman"/>
          <w:b/>
          <w:bCs/>
          <w:color w:val="auto"/>
          <w:szCs w:val="32"/>
        </w:rPr>
      </w:pPr>
    </w:p>
    <w:p w14:paraId="07517274">
      <w:pPr>
        <w:keepNext w:val="0"/>
        <w:keepLines w:val="0"/>
        <w:pageBreakBefore w:val="0"/>
        <w:widowControl w:val="0"/>
        <w:kinsoku/>
        <w:wordWrap/>
        <w:overflowPunct/>
        <w:topLinePunct w:val="0"/>
        <w:autoSpaceDE/>
        <w:autoSpaceDN/>
        <w:bidi w:val="0"/>
        <w:adjustRightInd/>
        <w:snapToGrid/>
        <w:spacing w:line="580" w:lineRule="atLeast"/>
        <w:ind w:firstLine="0" w:firstLineChars="0"/>
        <w:jc w:val="both"/>
        <w:textAlignment w:val="auto"/>
        <w:rPr>
          <w:rFonts w:hint="eastAsia" w:ascii="Times New Roman" w:hAnsi="Times New Roman" w:eastAsia="楷体_GB2312" w:cs="Times New Roman"/>
          <w:b/>
          <w:bCs/>
          <w:color w:val="auto"/>
          <w:szCs w:val="32"/>
        </w:rPr>
      </w:pPr>
    </w:p>
    <w:p w14:paraId="1DC93FC8">
      <w:pPr>
        <w:keepNext w:val="0"/>
        <w:keepLines w:val="0"/>
        <w:pageBreakBefore w:val="0"/>
        <w:widowControl w:val="0"/>
        <w:kinsoku/>
        <w:wordWrap/>
        <w:overflowPunct/>
        <w:topLinePunct w:val="0"/>
        <w:autoSpaceDE/>
        <w:autoSpaceDN/>
        <w:bidi w:val="0"/>
        <w:adjustRightInd/>
        <w:snapToGrid/>
        <w:spacing w:line="580" w:lineRule="atLeast"/>
        <w:ind w:firstLine="0" w:firstLineChars="0"/>
        <w:jc w:val="center"/>
        <w:textAlignment w:val="auto"/>
        <w:rPr>
          <w:rFonts w:hint="eastAsia" w:ascii="Times New Roman" w:hAnsi="Times New Roman" w:eastAsia="楷体_GB2312" w:cs="Times New Roman"/>
          <w:b/>
          <w:bCs/>
          <w:color w:val="auto"/>
          <w:szCs w:val="32"/>
        </w:rPr>
      </w:pPr>
    </w:p>
    <w:p w14:paraId="336F3B05">
      <w:pPr>
        <w:keepNext w:val="0"/>
        <w:keepLines w:val="0"/>
        <w:pageBreakBefore w:val="0"/>
        <w:widowControl w:val="0"/>
        <w:kinsoku/>
        <w:wordWrap/>
        <w:overflowPunct/>
        <w:topLinePunct w:val="0"/>
        <w:autoSpaceDE/>
        <w:autoSpaceDN/>
        <w:bidi w:val="0"/>
        <w:adjustRightInd/>
        <w:snapToGrid/>
        <w:spacing w:line="580" w:lineRule="atLeast"/>
        <w:ind w:firstLine="0" w:firstLineChars="0"/>
        <w:jc w:val="center"/>
        <w:textAlignment w:val="auto"/>
        <w:rPr>
          <w:rFonts w:hint="eastAsia" w:ascii="Times New Roman" w:hAnsi="Times New Roman" w:eastAsia="楷体_GB2312" w:cs="Times New Roman"/>
          <w:b/>
          <w:bCs/>
          <w:color w:val="auto"/>
          <w:szCs w:val="32"/>
        </w:rPr>
      </w:pPr>
    </w:p>
    <w:p w14:paraId="0C176CA4">
      <w:pPr>
        <w:spacing w:line="580" w:lineRule="exact"/>
        <w:jc w:val="center"/>
        <w:rPr>
          <w:rFonts w:hint="default" w:ascii="Times New Roman" w:hAnsi="Times New Roman" w:eastAsia="楷体_GB2312" w:cs="Times New Roman"/>
          <w:b/>
          <w:bCs/>
          <w:color w:val="auto"/>
          <w:szCs w:val="32"/>
        </w:rPr>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28" w:left="1587" w:header="851" w:footer="1701" w:gutter="0"/>
          <w:pgNumType w:fmt="upperRoman"/>
          <w:cols w:space="425" w:num="1"/>
          <w:docGrid w:type="lines" w:linePitch="312" w:charSpace="0"/>
        </w:sectPr>
      </w:pPr>
      <w:r>
        <w:rPr>
          <w:rFonts w:hint="eastAsia" w:ascii="黑体" w:hAnsi="黑体" w:eastAsia="黑体" w:cs="黑体"/>
          <w:b/>
          <w:bCs/>
          <w:color w:val="auto"/>
          <w:sz w:val="28"/>
          <w:szCs w:val="28"/>
          <w:lang w:eastAsia="zh-CN"/>
        </w:rPr>
        <w:t>二〇二</w:t>
      </w:r>
      <w:r>
        <w:rPr>
          <w:rFonts w:hint="eastAsia" w:ascii="黑体" w:hAnsi="黑体" w:eastAsia="黑体" w:cs="黑体"/>
          <w:b/>
          <w:bCs/>
          <w:color w:val="auto"/>
          <w:sz w:val="28"/>
          <w:szCs w:val="28"/>
          <w:lang w:val="en-US" w:eastAsia="zh-CN"/>
        </w:rPr>
        <w:t>五</w:t>
      </w:r>
      <w:r>
        <w:rPr>
          <w:rFonts w:hint="eastAsia" w:ascii="黑体" w:hAnsi="黑体" w:eastAsia="黑体" w:cs="黑体"/>
          <w:b/>
          <w:bCs/>
          <w:color w:val="auto"/>
          <w:sz w:val="28"/>
          <w:szCs w:val="28"/>
          <w:lang w:eastAsia="zh-CN"/>
        </w:rPr>
        <w:t>年</w:t>
      </w:r>
      <w:r>
        <w:rPr>
          <w:rFonts w:hint="eastAsia" w:ascii="黑体" w:hAnsi="黑体" w:eastAsia="黑体" w:cs="黑体"/>
          <w:b/>
          <w:bCs/>
          <w:color w:val="auto"/>
          <w:sz w:val="28"/>
          <w:szCs w:val="28"/>
          <w:lang w:val="en-US" w:eastAsia="zh-CN"/>
        </w:rPr>
        <w:t>十二</w:t>
      </w:r>
      <w:r>
        <w:rPr>
          <w:rFonts w:hint="eastAsia" w:ascii="黑体" w:hAnsi="黑体" w:eastAsia="黑体" w:cs="黑体"/>
          <w:b/>
          <w:bCs/>
          <w:color w:val="auto"/>
          <w:sz w:val="28"/>
          <w:szCs w:val="28"/>
          <w:lang w:eastAsia="zh-CN"/>
        </w:rPr>
        <w:t>月</w:t>
      </w:r>
    </w:p>
    <w:p w14:paraId="02F2F68C">
      <w:pPr>
        <w:pStyle w:val="10"/>
        <w:spacing w:after="120"/>
        <w:ind w:left="0" w:leftChars="0" w:firstLine="0" w:firstLineChars="0"/>
        <w:rPr>
          <w:rFonts w:hint="default"/>
        </w:rPr>
      </w:pPr>
    </w:p>
    <w:sdt>
      <w:sdtPr>
        <w:rPr>
          <w:rFonts w:ascii="宋体" w:hAnsi="宋体" w:eastAsia="宋体" w:cs="Times New Roman"/>
          <w:kern w:val="2"/>
          <w:sz w:val="21"/>
          <w:szCs w:val="24"/>
          <w:lang w:val="en-US" w:eastAsia="zh-CN" w:bidi="ar-SA"/>
        </w:rPr>
        <w:id w:val="147452347"/>
        <w15:color w:val="DBDBDB"/>
        <w:docPartObj>
          <w:docPartGallery w:val="Table of Contents"/>
          <w:docPartUnique/>
        </w:docPartObj>
      </w:sdtPr>
      <w:sdtEndPr>
        <w:rPr>
          <w:rFonts w:hint="default" w:ascii="Calibri" w:hAnsi="Calibri" w:eastAsia="宋体" w:cs="Times New Roman"/>
          <w:kern w:val="2"/>
          <w:sz w:val="21"/>
          <w:szCs w:val="24"/>
          <w:lang w:val="en-US" w:eastAsia="zh-CN" w:bidi="ar-SA"/>
        </w:rPr>
      </w:sdtEndPr>
      <w:sdtContent>
        <w:p w14:paraId="720BC84E">
          <w:pPr>
            <w:spacing w:before="0" w:beforeLines="0" w:after="0" w:afterLines="0" w:line="240" w:lineRule="auto"/>
            <w:ind w:left="0" w:leftChars="0" w:right="0" w:rightChars="0" w:firstLine="0" w:firstLineChars="0"/>
            <w:jc w:val="center"/>
          </w:pPr>
          <w:r>
            <w:rPr>
              <w:rFonts w:ascii="宋体" w:hAnsi="宋体" w:eastAsia="宋体"/>
              <w:b/>
              <w:bCs/>
              <w:sz w:val="24"/>
              <w:szCs w:val="32"/>
            </w:rPr>
            <w:t>目录</w:t>
          </w:r>
        </w:p>
        <w:p w14:paraId="5118C2D1">
          <w:pPr>
            <w:pStyle w:val="8"/>
            <w:tabs>
              <w:tab w:val="right" w:leader="dot" w:pos="8845"/>
            </w:tabs>
          </w:pPr>
          <w:r>
            <w:rPr>
              <w:rFonts w:hint="default"/>
            </w:rPr>
            <w:fldChar w:fldCharType="begin"/>
          </w:r>
          <w:r>
            <w:rPr>
              <w:rFonts w:hint="default"/>
            </w:rPr>
            <w:instrText xml:space="preserve">TOC \o "1-3" \h \u </w:instrText>
          </w:r>
          <w:r>
            <w:rPr>
              <w:rFonts w:hint="default"/>
            </w:rPr>
            <w:fldChar w:fldCharType="separate"/>
          </w:r>
          <w:r>
            <w:rPr>
              <w:rFonts w:hint="default"/>
              <w:b/>
              <w:bCs/>
            </w:rPr>
            <w:fldChar w:fldCharType="begin"/>
          </w:r>
          <w:r>
            <w:rPr>
              <w:rFonts w:hint="default"/>
              <w:b/>
              <w:bCs/>
            </w:rPr>
            <w:instrText xml:space="preserve"> HYPERLINK \l _Toc28543 </w:instrText>
          </w:r>
          <w:r>
            <w:rPr>
              <w:rFonts w:hint="default"/>
              <w:b/>
              <w:bCs/>
            </w:rPr>
            <w:fldChar w:fldCharType="separate"/>
          </w:r>
          <w:r>
            <w:rPr>
              <w:rFonts w:hint="eastAsia" w:ascii="Times New Roman" w:hAnsi="Times New Roman" w:eastAsia="宋体" w:cs="Times New Roman"/>
              <w:b/>
              <w:bCs/>
              <w:szCs w:val="24"/>
              <w:lang w:val="en-US" w:eastAsia="zh-CN"/>
            </w:rPr>
            <w:t xml:space="preserve">一、 </w:t>
          </w:r>
          <w:r>
            <w:rPr>
              <w:rFonts w:hint="eastAsia" w:ascii="Times New Roman" w:hAnsi="Times New Roman" w:eastAsia="宋体" w:cs="Times New Roman"/>
              <w:b/>
              <w:bCs/>
              <w:szCs w:val="24"/>
              <w:highlight w:val="none"/>
              <w:lang w:val="en-US" w:eastAsia="zh-CN"/>
            </w:rPr>
            <w:t>项目基本情况</w:t>
          </w:r>
          <w:r>
            <w:rPr>
              <w:b/>
              <w:bCs/>
            </w:rPr>
            <w:tab/>
          </w:r>
          <w:r>
            <w:rPr>
              <w:b/>
              <w:bCs/>
            </w:rPr>
            <w:fldChar w:fldCharType="begin"/>
          </w:r>
          <w:r>
            <w:rPr>
              <w:b/>
              <w:bCs/>
            </w:rPr>
            <w:instrText xml:space="preserve"> PAGEREF _Toc28543 \h </w:instrText>
          </w:r>
          <w:r>
            <w:rPr>
              <w:b/>
              <w:bCs/>
            </w:rPr>
            <w:fldChar w:fldCharType="separate"/>
          </w:r>
          <w:r>
            <w:rPr>
              <w:b/>
              <w:bCs/>
            </w:rPr>
            <w:t>1</w:t>
          </w:r>
          <w:r>
            <w:rPr>
              <w:b/>
              <w:bCs/>
            </w:rPr>
            <w:fldChar w:fldCharType="end"/>
          </w:r>
          <w:r>
            <w:rPr>
              <w:rFonts w:hint="default"/>
              <w:b/>
              <w:bCs/>
            </w:rPr>
            <w:fldChar w:fldCharType="end"/>
          </w:r>
        </w:p>
        <w:p w14:paraId="1F24D64E">
          <w:pPr>
            <w:pStyle w:val="8"/>
            <w:tabs>
              <w:tab w:val="right" w:leader="dot" w:pos="8845"/>
            </w:tabs>
            <w:rPr>
              <w:b/>
              <w:bCs/>
            </w:rPr>
          </w:pPr>
          <w:r>
            <w:rPr>
              <w:rFonts w:hint="default"/>
              <w:b/>
              <w:bCs/>
            </w:rPr>
            <w:fldChar w:fldCharType="begin"/>
          </w:r>
          <w:r>
            <w:rPr>
              <w:rFonts w:hint="default"/>
              <w:b/>
              <w:bCs/>
            </w:rPr>
            <w:instrText xml:space="preserve"> HYPERLINK \l _Toc23698 </w:instrText>
          </w:r>
          <w:r>
            <w:rPr>
              <w:rFonts w:hint="default"/>
              <w:b/>
              <w:bCs/>
            </w:rPr>
            <w:fldChar w:fldCharType="separate"/>
          </w:r>
          <w:r>
            <w:rPr>
              <w:rFonts w:hint="eastAsia" w:ascii="Times New Roman" w:hAnsi="Times New Roman" w:eastAsia="宋体" w:cs="Times New Roman"/>
              <w:b/>
              <w:bCs/>
              <w:szCs w:val="24"/>
              <w:highlight w:val="none"/>
              <w:lang w:val="en-US" w:eastAsia="zh-CN"/>
            </w:rPr>
            <w:t>二、评价工作开展情况</w:t>
          </w:r>
          <w:r>
            <w:rPr>
              <w:b/>
              <w:bCs/>
            </w:rPr>
            <w:tab/>
          </w:r>
          <w:r>
            <w:rPr>
              <w:b/>
              <w:bCs/>
            </w:rPr>
            <w:fldChar w:fldCharType="begin"/>
          </w:r>
          <w:r>
            <w:rPr>
              <w:b/>
              <w:bCs/>
            </w:rPr>
            <w:instrText xml:space="preserve"> PAGEREF _Toc23698 \h </w:instrText>
          </w:r>
          <w:r>
            <w:rPr>
              <w:b/>
              <w:bCs/>
            </w:rPr>
            <w:fldChar w:fldCharType="separate"/>
          </w:r>
          <w:r>
            <w:rPr>
              <w:b/>
              <w:bCs/>
            </w:rPr>
            <w:t>1</w:t>
          </w:r>
          <w:r>
            <w:rPr>
              <w:b/>
              <w:bCs/>
            </w:rPr>
            <w:fldChar w:fldCharType="end"/>
          </w:r>
          <w:r>
            <w:rPr>
              <w:rFonts w:hint="default"/>
              <w:b/>
              <w:bCs/>
            </w:rPr>
            <w:fldChar w:fldCharType="end"/>
          </w:r>
        </w:p>
        <w:p w14:paraId="4C2FAC80">
          <w:pPr>
            <w:pStyle w:val="9"/>
            <w:tabs>
              <w:tab w:val="right" w:leader="dot" w:pos="8845"/>
            </w:tabs>
          </w:pPr>
          <w:r>
            <w:rPr>
              <w:rFonts w:hint="default"/>
            </w:rPr>
            <w:fldChar w:fldCharType="begin"/>
          </w:r>
          <w:r>
            <w:rPr>
              <w:rFonts w:hint="default"/>
            </w:rPr>
            <w:instrText xml:space="preserve"> HYPERLINK \l _Toc21685 </w:instrText>
          </w:r>
          <w:r>
            <w:rPr>
              <w:rFonts w:hint="default"/>
            </w:rPr>
            <w:fldChar w:fldCharType="separate"/>
          </w:r>
          <w:r>
            <w:rPr>
              <w:rFonts w:hint="default" w:ascii="Times New Roman" w:hAnsi="Times New Roman" w:eastAsia="宋体" w:cs="Times New Roman"/>
              <w:bCs/>
              <w:szCs w:val="24"/>
              <w:highlight w:val="none"/>
              <w:lang w:val="en-US" w:eastAsia="zh-CN"/>
            </w:rPr>
            <w:t>（一）</w:t>
          </w:r>
          <w:r>
            <w:rPr>
              <w:rFonts w:hint="eastAsia" w:ascii="Times New Roman" w:hAnsi="Times New Roman" w:eastAsia="宋体" w:cs="Times New Roman"/>
              <w:bCs/>
              <w:szCs w:val="24"/>
              <w:highlight w:val="none"/>
              <w:lang w:val="en-US" w:eastAsia="zh-CN"/>
            </w:rPr>
            <w:t>评价目的</w:t>
          </w:r>
          <w:r>
            <w:tab/>
          </w:r>
          <w:r>
            <w:fldChar w:fldCharType="begin"/>
          </w:r>
          <w:r>
            <w:instrText xml:space="preserve"> PAGEREF _Toc21685 \h </w:instrText>
          </w:r>
          <w:r>
            <w:fldChar w:fldCharType="separate"/>
          </w:r>
          <w:r>
            <w:t>1</w:t>
          </w:r>
          <w:r>
            <w:fldChar w:fldCharType="end"/>
          </w:r>
          <w:r>
            <w:rPr>
              <w:rFonts w:hint="default"/>
            </w:rPr>
            <w:fldChar w:fldCharType="end"/>
          </w:r>
        </w:p>
        <w:p w14:paraId="5DC791DD">
          <w:pPr>
            <w:pStyle w:val="9"/>
            <w:tabs>
              <w:tab w:val="right" w:leader="dot" w:pos="8845"/>
            </w:tabs>
          </w:pPr>
          <w:r>
            <w:rPr>
              <w:rFonts w:hint="default"/>
            </w:rPr>
            <w:fldChar w:fldCharType="begin"/>
          </w:r>
          <w:r>
            <w:rPr>
              <w:rFonts w:hint="default"/>
            </w:rPr>
            <w:instrText xml:space="preserve"> HYPERLINK \l _Toc9764 </w:instrText>
          </w:r>
          <w:r>
            <w:rPr>
              <w:rFonts w:hint="default"/>
            </w:rPr>
            <w:fldChar w:fldCharType="separate"/>
          </w:r>
          <w:r>
            <w:rPr>
              <w:rFonts w:hint="eastAsia" w:ascii="Times New Roman" w:hAnsi="Times New Roman" w:eastAsia="宋体" w:cs="Times New Roman"/>
              <w:bCs/>
              <w:szCs w:val="24"/>
              <w:highlight w:val="none"/>
              <w:lang w:val="en-US" w:eastAsia="zh-CN"/>
            </w:rPr>
            <w:t>（二）评价方法</w:t>
          </w:r>
          <w:r>
            <w:tab/>
          </w:r>
          <w:r>
            <w:fldChar w:fldCharType="begin"/>
          </w:r>
          <w:r>
            <w:instrText xml:space="preserve"> PAGEREF _Toc9764 \h </w:instrText>
          </w:r>
          <w:r>
            <w:fldChar w:fldCharType="separate"/>
          </w:r>
          <w:r>
            <w:t>1</w:t>
          </w:r>
          <w:r>
            <w:fldChar w:fldCharType="end"/>
          </w:r>
          <w:r>
            <w:rPr>
              <w:rFonts w:hint="default"/>
            </w:rPr>
            <w:fldChar w:fldCharType="end"/>
          </w:r>
        </w:p>
        <w:p w14:paraId="0663204F">
          <w:pPr>
            <w:pStyle w:val="8"/>
            <w:tabs>
              <w:tab w:val="right" w:leader="dot" w:pos="8845"/>
            </w:tabs>
            <w:rPr>
              <w:b/>
              <w:bCs/>
            </w:rPr>
          </w:pPr>
          <w:r>
            <w:rPr>
              <w:rFonts w:hint="default"/>
              <w:b/>
              <w:bCs/>
            </w:rPr>
            <w:fldChar w:fldCharType="begin"/>
          </w:r>
          <w:r>
            <w:rPr>
              <w:rFonts w:hint="default"/>
              <w:b/>
              <w:bCs/>
            </w:rPr>
            <w:instrText xml:space="preserve"> HYPERLINK \l _Toc23679 </w:instrText>
          </w:r>
          <w:r>
            <w:rPr>
              <w:rFonts w:hint="default"/>
              <w:b/>
              <w:bCs/>
            </w:rPr>
            <w:fldChar w:fldCharType="separate"/>
          </w:r>
          <w:r>
            <w:rPr>
              <w:rFonts w:hint="eastAsia" w:ascii="Times New Roman" w:hAnsi="Times New Roman" w:cs="Times New Roman"/>
              <w:b/>
              <w:bCs/>
              <w:szCs w:val="24"/>
              <w:lang w:val="en-US" w:eastAsia="zh-CN"/>
            </w:rPr>
            <w:t xml:space="preserve">三、 </w:t>
          </w:r>
          <w:r>
            <w:rPr>
              <w:rFonts w:hint="eastAsia" w:ascii="Times New Roman" w:hAnsi="Times New Roman" w:cs="Times New Roman"/>
              <w:b/>
              <w:bCs/>
              <w:szCs w:val="24"/>
              <w:highlight w:val="none"/>
              <w:lang w:val="en-US" w:eastAsia="zh-CN"/>
            </w:rPr>
            <w:t>评价指标</w:t>
          </w:r>
          <w:r>
            <w:rPr>
              <w:b/>
              <w:bCs/>
            </w:rPr>
            <w:tab/>
          </w:r>
          <w:r>
            <w:rPr>
              <w:b/>
              <w:bCs/>
            </w:rPr>
            <w:fldChar w:fldCharType="begin"/>
          </w:r>
          <w:r>
            <w:rPr>
              <w:b/>
              <w:bCs/>
            </w:rPr>
            <w:instrText xml:space="preserve"> PAGEREF _Toc23679 \h </w:instrText>
          </w:r>
          <w:r>
            <w:rPr>
              <w:b/>
              <w:bCs/>
            </w:rPr>
            <w:fldChar w:fldCharType="separate"/>
          </w:r>
          <w:r>
            <w:rPr>
              <w:b/>
              <w:bCs/>
            </w:rPr>
            <w:t>2</w:t>
          </w:r>
          <w:r>
            <w:rPr>
              <w:b/>
              <w:bCs/>
            </w:rPr>
            <w:fldChar w:fldCharType="end"/>
          </w:r>
          <w:r>
            <w:rPr>
              <w:rFonts w:hint="default"/>
              <w:b/>
              <w:bCs/>
            </w:rPr>
            <w:fldChar w:fldCharType="end"/>
          </w:r>
        </w:p>
        <w:p w14:paraId="6A5E0BDE">
          <w:pPr>
            <w:pStyle w:val="8"/>
            <w:tabs>
              <w:tab w:val="right" w:leader="dot" w:pos="8845"/>
            </w:tabs>
          </w:pPr>
          <w:r>
            <w:rPr>
              <w:rFonts w:hint="default"/>
              <w:b/>
              <w:bCs/>
            </w:rPr>
            <w:fldChar w:fldCharType="begin"/>
          </w:r>
          <w:r>
            <w:rPr>
              <w:rFonts w:hint="default"/>
              <w:b/>
              <w:bCs/>
            </w:rPr>
            <w:instrText xml:space="preserve"> HYPERLINK \l _Toc28906 </w:instrText>
          </w:r>
          <w:r>
            <w:rPr>
              <w:rFonts w:hint="default"/>
              <w:b/>
              <w:bCs/>
            </w:rPr>
            <w:fldChar w:fldCharType="separate"/>
          </w:r>
          <w:r>
            <w:rPr>
              <w:rFonts w:hint="eastAsia" w:ascii="Times New Roman" w:hAnsi="Times New Roman" w:cs="Times New Roman"/>
              <w:b/>
              <w:bCs/>
              <w:szCs w:val="24"/>
              <w:lang w:val="en-US" w:eastAsia="zh-CN"/>
            </w:rPr>
            <w:t xml:space="preserve">四、 </w:t>
          </w:r>
          <w:r>
            <w:rPr>
              <w:rFonts w:hint="eastAsia" w:ascii="Times New Roman" w:hAnsi="Times New Roman" w:cs="Times New Roman"/>
              <w:b/>
              <w:bCs/>
              <w:szCs w:val="24"/>
              <w:highlight w:val="none"/>
              <w:lang w:val="en-US" w:eastAsia="zh-CN"/>
            </w:rPr>
            <w:t>评价结果与结论</w:t>
          </w:r>
          <w:r>
            <w:rPr>
              <w:b/>
              <w:bCs/>
            </w:rPr>
            <w:tab/>
          </w:r>
          <w:r>
            <w:rPr>
              <w:b/>
              <w:bCs/>
            </w:rPr>
            <w:fldChar w:fldCharType="begin"/>
          </w:r>
          <w:r>
            <w:rPr>
              <w:b/>
              <w:bCs/>
            </w:rPr>
            <w:instrText xml:space="preserve"> PAGEREF _Toc28906 \h </w:instrText>
          </w:r>
          <w:r>
            <w:rPr>
              <w:b/>
              <w:bCs/>
            </w:rPr>
            <w:fldChar w:fldCharType="separate"/>
          </w:r>
          <w:r>
            <w:rPr>
              <w:b/>
              <w:bCs/>
            </w:rPr>
            <w:t>2</w:t>
          </w:r>
          <w:r>
            <w:rPr>
              <w:b/>
              <w:bCs/>
            </w:rPr>
            <w:fldChar w:fldCharType="end"/>
          </w:r>
          <w:r>
            <w:rPr>
              <w:rFonts w:hint="default"/>
              <w:b/>
              <w:bCs/>
            </w:rPr>
            <w:fldChar w:fldCharType="end"/>
          </w:r>
        </w:p>
        <w:p w14:paraId="78964DC7">
          <w:pPr>
            <w:pStyle w:val="8"/>
            <w:tabs>
              <w:tab w:val="right" w:leader="dot" w:pos="8845"/>
            </w:tabs>
          </w:pPr>
          <w:r>
            <w:rPr>
              <w:rFonts w:hint="default"/>
              <w:b/>
              <w:bCs/>
            </w:rPr>
            <w:fldChar w:fldCharType="begin"/>
          </w:r>
          <w:r>
            <w:rPr>
              <w:rFonts w:hint="default"/>
              <w:b/>
              <w:bCs/>
            </w:rPr>
            <w:instrText xml:space="preserve"> HYPERLINK \l _Toc21529 </w:instrText>
          </w:r>
          <w:r>
            <w:rPr>
              <w:rFonts w:hint="default"/>
              <w:b/>
              <w:bCs/>
            </w:rPr>
            <w:fldChar w:fldCharType="separate"/>
          </w:r>
          <w:r>
            <w:rPr>
              <w:rFonts w:hint="eastAsia" w:ascii="Times New Roman" w:hAnsi="Times New Roman" w:eastAsia="宋体" w:cs="Times New Roman"/>
              <w:b/>
              <w:bCs/>
              <w:szCs w:val="24"/>
              <w:highlight w:val="none"/>
              <w:lang w:val="en-US" w:eastAsia="zh-CN"/>
            </w:rPr>
            <w:t>五、项目绩效分析</w:t>
          </w:r>
          <w:r>
            <w:rPr>
              <w:b/>
              <w:bCs/>
            </w:rPr>
            <w:tab/>
          </w:r>
          <w:r>
            <w:rPr>
              <w:b/>
              <w:bCs/>
            </w:rPr>
            <w:fldChar w:fldCharType="begin"/>
          </w:r>
          <w:r>
            <w:rPr>
              <w:b/>
              <w:bCs/>
            </w:rPr>
            <w:instrText xml:space="preserve"> PAGEREF _Toc21529 \h </w:instrText>
          </w:r>
          <w:r>
            <w:rPr>
              <w:b/>
              <w:bCs/>
            </w:rPr>
            <w:fldChar w:fldCharType="separate"/>
          </w:r>
          <w:r>
            <w:rPr>
              <w:b/>
              <w:bCs/>
            </w:rPr>
            <w:t>4</w:t>
          </w:r>
          <w:r>
            <w:rPr>
              <w:b/>
              <w:bCs/>
            </w:rPr>
            <w:fldChar w:fldCharType="end"/>
          </w:r>
          <w:r>
            <w:rPr>
              <w:rFonts w:hint="default"/>
              <w:b/>
              <w:bCs/>
            </w:rPr>
            <w:fldChar w:fldCharType="end"/>
          </w:r>
        </w:p>
        <w:p w14:paraId="79D4CF69">
          <w:pPr>
            <w:pStyle w:val="9"/>
            <w:tabs>
              <w:tab w:val="right" w:leader="dot" w:pos="8845"/>
            </w:tabs>
          </w:pPr>
          <w:r>
            <w:rPr>
              <w:rFonts w:hint="default"/>
            </w:rPr>
            <w:fldChar w:fldCharType="begin"/>
          </w:r>
          <w:r>
            <w:rPr>
              <w:rFonts w:hint="default"/>
            </w:rPr>
            <w:instrText xml:space="preserve"> HYPERLINK \l _Toc27067 </w:instrText>
          </w:r>
          <w:r>
            <w:rPr>
              <w:rFonts w:hint="default"/>
            </w:rPr>
            <w:fldChar w:fldCharType="separate"/>
          </w:r>
          <w:r>
            <w:rPr>
              <w:rFonts w:hint="eastAsia" w:ascii="Times New Roman" w:hAnsi="Times New Roman" w:cs="Times New Roman"/>
              <w:bCs/>
              <w:szCs w:val="24"/>
              <w:highlight w:val="none"/>
              <w:lang w:val="en-US" w:eastAsia="zh-CN"/>
            </w:rPr>
            <w:t>（一）</w:t>
          </w:r>
          <w:r>
            <w:rPr>
              <w:rFonts w:hint="default" w:ascii="Times New Roman" w:hAnsi="Times New Roman" w:cs="Times New Roman"/>
              <w:bCs/>
              <w:szCs w:val="24"/>
              <w:highlight w:val="none"/>
              <w:lang w:val="en-US" w:eastAsia="zh-CN"/>
            </w:rPr>
            <w:t>通用指标</w:t>
          </w:r>
          <w:r>
            <w:tab/>
          </w:r>
          <w:r>
            <w:fldChar w:fldCharType="begin"/>
          </w:r>
          <w:r>
            <w:instrText xml:space="preserve"> PAGEREF _Toc27067 \h </w:instrText>
          </w:r>
          <w:r>
            <w:fldChar w:fldCharType="separate"/>
          </w:r>
          <w:r>
            <w:t>4</w:t>
          </w:r>
          <w:r>
            <w:fldChar w:fldCharType="end"/>
          </w:r>
          <w:r>
            <w:rPr>
              <w:rFonts w:hint="default"/>
            </w:rPr>
            <w:fldChar w:fldCharType="end"/>
          </w:r>
        </w:p>
        <w:p w14:paraId="0F165577">
          <w:pPr>
            <w:pStyle w:val="4"/>
            <w:tabs>
              <w:tab w:val="right" w:leader="dot" w:pos="8845"/>
            </w:tabs>
          </w:pPr>
          <w:r>
            <w:rPr>
              <w:rFonts w:hint="default"/>
            </w:rPr>
            <w:fldChar w:fldCharType="begin"/>
          </w:r>
          <w:r>
            <w:rPr>
              <w:rFonts w:hint="default"/>
            </w:rPr>
            <w:instrText xml:space="preserve"> HYPERLINK \l _Toc8914 </w:instrText>
          </w:r>
          <w:r>
            <w:rPr>
              <w:rFonts w:hint="default"/>
            </w:rPr>
            <w:fldChar w:fldCharType="separate"/>
          </w:r>
          <w:r>
            <w:rPr>
              <w:rFonts w:hint="default" w:ascii="Times New Roman" w:hAnsi="Times New Roman" w:cs="Times New Roman"/>
              <w:bCs/>
              <w:szCs w:val="24"/>
              <w:highlight w:val="none"/>
              <w:lang w:val="en-US" w:eastAsia="zh-CN"/>
            </w:rPr>
            <w:t>1.项目决策</w:t>
          </w:r>
          <w:r>
            <w:tab/>
          </w:r>
          <w:r>
            <w:fldChar w:fldCharType="begin"/>
          </w:r>
          <w:r>
            <w:instrText xml:space="preserve"> PAGEREF _Toc8914 \h </w:instrText>
          </w:r>
          <w:r>
            <w:fldChar w:fldCharType="separate"/>
          </w:r>
          <w:r>
            <w:t>4</w:t>
          </w:r>
          <w:r>
            <w:fldChar w:fldCharType="end"/>
          </w:r>
          <w:r>
            <w:rPr>
              <w:rFonts w:hint="default"/>
            </w:rPr>
            <w:fldChar w:fldCharType="end"/>
          </w:r>
        </w:p>
        <w:p w14:paraId="69461569">
          <w:pPr>
            <w:pStyle w:val="4"/>
            <w:tabs>
              <w:tab w:val="right" w:leader="dot" w:pos="8845"/>
            </w:tabs>
          </w:pPr>
          <w:r>
            <w:rPr>
              <w:rFonts w:hint="default"/>
            </w:rPr>
            <w:fldChar w:fldCharType="begin"/>
          </w:r>
          <w:r>
            <w:rPr>
              <w:rFonts w:hint="default"/>
            </w:rPr>
            <w:instrText xml:space="preserve"> HYPERLINK \l _Toc26497 </w:instrText>
          </w:r>
          <w:r>
            <w:rPr>
              <w:rFonts w:hint="default"/>
            </w:rPr>
            <w:fldChar w:fldCharType="separate"/>
          </w:r>
          <w:r>
            <w:rPr>
              <w:rFonts w:hint="eastAsia" w:ascii="Times New Roman" w:hAnsi="Times New Roman" w:eastAsia="宋体" w:cs="Times New Roman"/>
              <w:bCs/>
              <w:szCs w:val="24"/>
              <w:highlight w:val="none"/>
              <w:lang w:val="en-US" w:eastAsia="zh-CN"/>
            </w:rPr>
            <w:t>2.项目管理</w:t>
          </w:r>
          <w:r>
            <w:tab/>
          </w:r>
          <w:r>
            <w:fldChar w:fldCharType="begin"/>
          </w:r>
          <w:r>
            <w:instrText xml:space="preserve"> PAGEREF _Toc26497 \h </w:instrText>
          </w:r>
          <w:r>
            <w:fldChar w:fldCharType="separate"/>
          </w:r>
          <w:r>
            <w:t>5</w:t>
          </w:r>
          <w:r>
            <w:fldChar w:fldCharType="end"/>
          </w:r>
          <w:r>
            <w:rPr>
              <w:rFonts w:hint="default"/>
            </w:rPr>
            <w:fldChar w:fldCharType="end"/>
          </w:r>
        </w:p>
        <w:p w14:paraId="41986015">
          <w:pPr>
            <w:pStyle w:val="4"/>
            <w:tabs>
              <w:tab w:val="right" w:leader="dot" w:pos="8845"/>
            </w:tabs>
          </w:pPr>
          <w:r>
            <w:rPr>
              <w:rFonts w:hint="default"/>
            </w:rPr>
            <w:fldChar w:fldCharType="begin"/>
          </w:r>
          <w:r>
            <w:rPr>
              <w:rFonts w:hint="default"/>
            </w:rPr>
            <w:instrText xml:space="preserve"> HYPERLINK \l _Toc28617 </w:instrText>
          </w:r>
          <w:r>
            <w:rPr>
              <w:rFonts w:hint="default"/>
            </w:rPr>
            <w:fldChar w:fldCharType="separate"/>
          </w:r>
          <w:r>
            <w:rPr>
              <w:rFonts w:hint="eastAsia" w:ascii="Times New Roman" w:hAnsi="Times New Roman" w:eastAsia="宋体" w:cs="Times New Roman"/>
              <w:bCs/>
              <w:szCs w:val="24"/>
              <w:highlight w:val="none"/>
              <w:lang w:val="en-US" w:eastAsia="zh-CN"/>
            </w:rPr>
            <w:t>3.项目实施</w:t>
          </w:r>
          <w:r>
            <w:tab/>
          </w:r>
          <w:r>
            <w:fldChar w:fldCharType="begin"/>
          </w:r>
          <w:r>
            <w:instrText xml:space="preserve"> PAGEREF _Toc28617 \h </w:instrText>
          </w:r>
          <w:r>
            <w:fldChar w:fldCharType="separate"/>
          </w:r>
          <w:r>
            <w:t>5</w:t>
          </w:r>
          <w:r>
            <w:fldChar w:fldCharType="end"/>
          </w:r>
          <w:r>
            <w:rPr>
              <w:rFonts w:hint="default"/>
            </w:rPr>
            <w:fldChar w:fldCharType="end"/>
          </w:r>
        </w:p>
        <w:p w14:paraId="1E1DADAD">
          <w:pPr>
            <w:pStyle w:val="4"/>
            <w:tabs>
              <w:tab w:val="right" w:leader="dot" w:pos="8845"/>
            </w:tabs>
          </w:pPr>
          <w:r>
            <w:rPr>
              <w:rFonts w:hint="default"/>
            </w:rPr>
            <w:fldChar w:fldCharType="begin"/>
          </w:r>
          <w:r>
            <w:rPr>
              <w:rFonts w:hint="default"/>
            </w:rPr>
            <w:instrText xml:space="preserve"> HYPERLINK \l _Toc8548 </w:instrText>
          </w:r>
          <w:r>
            <w:rPr>
              <w:rFonts w:hint="default"/>
            </w:rPr>
            <w:fldChar w:fldCharType="separate"/>
          </w:r>
          <w:r>
            <w:rPr>
              <w:rFonts w:hint="eastAsia" w:ascii="Times New Roman" w:hAnsi="Times New Roman" w:eastAsia="宋体" w:cs="Times New Roman"/>
              <w:bCs/>
              <w:szCs w:val="24"/>
              <w:highlight w:val="none"/>
              <w:lang w:val="en-US" w:eastAsia="zh-CN"/>
            </w:rPr>
            <w:t>4.项目结果</w:t>
          </w:r>
          <w:r>
            <w:tab/>
          </w:r>
          <w:r>
            <w:fldChar w:fldCharType="begin"/>
          </w:r>
          <w:r>
            <w:instrText xml:space="preserve"> PAGEREF _Toc8548 \h </w:instrText>
          </w:r>
          <w:r>
            <w:fldChar w:fldCharType="separate"/>
          </w:r>
          <w:r>
            <w:t>6</w:t>
          </w:r>
          <w:r>
            <w:fldChar w:fldCharType="end"/>
          </w:r>
          <w:r>
            <w:rPr>
              <w:rFonts w:hint="default"/>
            </w:rPr>
            <w:fldChar w:fldCharType="end"/>
          </w:r>
        </w:p>
        <w:p w14:paraId="6F86AC85">
          <w:pPr>
            <w:pStyle w:val="9"/>
            <w:tabs>
              <w:tab w:val="right" w:leader="dot" w:pos="8845"/>
            </w:tabs>
          </w:pPr>
          <w:r>
            <w:rPr>
              <w:rFonts w:hint="default"/>
            </w:rPr>
            <w:fldChar w:fldCharType="begin"/>
          </w:r>
          <w:r>
            <w:rPr>
              <w:rFonts w:hint="default"/>
            </w:rPr>
            <w:instrText xml:space="preserve"> HYPERLINK \l _Toc1261 </w:instrText>
          </w:r>
          <w:r>
            <w:rPr>
              <w:rFonts w:hint="default"/>
            </w:rPr>
            <w:fldChar w:fldCharType="separate"/>
          </w:r>
          <w:r>
            <w:rPr>
              <w:rFonts w:hint="eastAsia" w:ascii="Times New Roman" w:hAnsi="Times New Roman" w:eastAsia="宋体" w:cs="Times New Roman"/>
              <w:bCs/>
              <w:szCs w:val="24"/>
              <w:lang w:val="en-US" w:eastAsia="zh-CN"/>
            </w:rPr>
            <w:t xml:space="preserve">（二） </w:t>
          </w:r>
          <w:r>
            <w:rPr>
              <w:rFonts w:hint="eastAsia" w:ascii="Times New Roman" w:hAnsi="Times New Roman" w:eastAsia="宋体" w:cs="Times New Roman"/>
              <w:bCs/>
              <w:szCs w:val="24"/>
              <w:highlight w:val="none"/>
              <w:lang w:val="en-US" w:eastAsia="zh-CN"/>
            </w:rPr>
            <w:t>专用指标</w:t>
          </w:r>
          <w:r>
            <w:tab/>
          </w:r>
          <w:r>
            <w:fldChar w:fldCharType="begin"/>
          </w:r>
          <w:r>
            <w:instrText xml:space="preserve"> PAGEREF _Toc1261 \h </w:instrText>
          </w:r>
          <w:r>
            <w:fldChar w:fldCharType="separate"/>
          </w:r>
          <w:r>
            <w:t>7</w:t>
          </w:r>
          <w:r>
            <w:fldChar w:fldCharType="end"/>
          </w:r>
          <w:r>
            <w:rPr>
              <w:rFonts w:hint="default"/>
            </w:rPr>
            <w:fldChar w:fldCharType="end"/>
          </w:r>
        </w:p>
        <w:p w14:paraId="60FD156B">
          <w:pPr>
            <w:pStyle w:val="4"/>
            <w:tabs>
              <w:tab w:val="right" w:leader="dot" w:pos="8845"/>
            </w:tabs>
          </w:pPr>
          <w:r>
            <w:rPr>
              <w:rFonts w:hint="default"/>
            </w:rPr>
            <w:fldChar w:fldCharType="begin"/>
          </w:r>
          <w:r>
            <w:rPr>
              <w:rFonts w:hint="default"/>
            </w:rPr>
            <w:instrText xml:space="preserve"> HYPERLINK \l _Toc10806 </w:instrText>
          </w:r>
          <w:r>
            <w:rPr>
              <w:rFonts w:hint="default"/>
            </w:rPr>
            <w:fldChar w:fldCharType="separate"/>
          </w:r>
          <w:r>
            <w:rPr>
              <w:rFonts w:hint="eastAsia" w:ascii="Times New Roman" w:hAnsi="Times New Roman" w:eastAsia="宋体" w:cs="Times New Roman"/>
              <w:bCs/>
              <w:szCs w:val="24"/>
              <w:highlight w:val="none"/>
              <w:lang w:val="en-US" w:eastAsia="zh-CN"/>
            </w:rPr>
            <w:t>1.产业发展</w:t>
          </w:r>
          <w:r>
            <w:tab/>
          </w:r>
          <w:r>
            <w:fldChar w:fldCharType="begin"/>
          </w:r>
          <w:r>
            <w:instrText xml:space="preserve"> PAGEREF _Toc10806 \h </w:instrText>
          </w:r>
          <w:r>
            <w:fldChar w:fldCharType="separate"/>
          </w:r>
          <w:r>
            <w:t>7</w:t>
          </w:r>
          <w:r>
            <w:fldChar w:fldCharType="end"/>
          </w:r>
          <w:r>
            <w:rPr>
              <w:rFonts w:hint="default"/>
            </w:rPr>
            <w:fldChar w:fldCharType="end"/>
          </w:r>
        </w:p>
        <w:p w14:paraId="4ABC2A17">
          <w:pPr>
            <w:pStyle w:val="9"/>
            <w:tabs>
              <w:tab w:val="right" w:leader="dot" w:pos="8845"/>
            </w:tabs>
          </w:pPr>
          <w:r>
            <w:rPr>
              <w:rFonts w:hint="default"/>
            </w:rPr>
            <w:fldChar w:fldCharType="begin"/>
          </w:r>
          <w:r>
            <w:rPr>
              <w:rFonts w:hint="default"/>
            </w:rPr>
            <w:instrText xml:space="preserve"> HYPERLINK \l _Toc24543 </w:instrText>
          </w:r>
          <w:r>
            <w:rPr>
              <w:rFonts w:hint="default"/>
            </w:rPr>
            <w:fldChar w:fldCharType="separate"/>
          </w:r>
          <w:r>
            <w:rPr>
              <w:rFonts w:hint="eastAsia" w:ascii="Times New Roman" w:hAnsi="Times New Roman" w:eastAsia="宋体" w:cs="Times New Roman"/>
              <w:bCs/>
              <w:szCs w:val="24"/>
              <w:lang w:val="en-US" w:eastAsia="zh-CN"/>
            </w:rPr>
            <w:t xml:space="preserve">（三） </w:t>
          </w:r>
          <w:r>
            <w:rPr>
              <w:rFonts w:hint="eastAsia" w:ascii="Times New Roman" w:hAnsi="Times New Roman" w:eastAsia="宋体" w:cs="Times New Roman"/>
              <w:bCs/>
              <w:szCs w:val="24"/>
              <w:highlight w:val="none"/>
              <w:lang w:val="en-US" w:eastAsia="zh-CN"/>
            </w:rPr>
            <w:t>个性指标</w:t>
          </w:r>
          <w:r>
            <w:tab/>
          </w:r>
          <w:r>
            <w:fldChar w:fldCharType="begin"/>
          </w:r>
          <w:r>
            <w:instrText xml:space="preserve"> PAGEREF _Toc24543 \h </w:instrText>
          </w:r>
          <w:r>
            <w:fldChar w:fldCharType="separate"/>
          </w:r>
          <w:r>
            <w:t>8</w:t>
          </w:r>
          <w:r>
            <w:fldChar w:fldCharType="end"/>
          </w:r>
          <w:r>
            <w:rPr>
              <w:rFonts w:hint="default"/>
            </w:rPr>
            <w:fldChar w:fldCharType="end"/>
          </w:r>
        </w:p>
        <w:p w14:paraId="7666C9AA">
          <w:pPr>
            <w:pStyle w:val="4"/>
            <w:tabs>
              <w:tab w:val="right" w:leader="dot" w:pos="8845"/>
            </w:tabs>
          </w:pPr>
          <w:r>
            <w:rPr>
              <w:rFonts w:hint="default"/>
            </w:rPr>
            <w:fldChar w:fldCharType="begin"/>
          </w:r>
          <w:r>
            <w:rPr>
              <w:rFonts w:hint="default"/>
            </w:rPr>
            <w:instrText xml:space="preserve"> HYPERLINK \l _Toc20165 </w:instrText>
          </w:r>
          <w:r>
            <w:rPr>
              <w:rFonts w:hint="default"/>
            </w:rPr>
            <w:fldChar w:fldCharType="separate"/>
          </w:r>
          <w:r>
            <w:rPr>
              <w:rFonts w:hint="default" w:ascii="宋体" w:hAnsi="宋体" w:eastAsia="宋体" w:cs="宋体"/>
              <w:bCs w:val="0"/>
              <w:szCs w:val="24"/>
              <w:lang w:val="en-US" w:eastAsia="zh-CN"/>
            </w:rPr>
            <w:t>1.区域/行业品牌提及度增长率</w:t>
          </w:r>
          <w:r>
            <w:tab/>
          </w:r>
          <w:r>
            <w:fldChar w:fldCharType="begin"/>
          </w:r>
          <w:r>
            <w:instrText xml:space="preserve"> PAGEREF _Toc20165 \h </w:instrText>
          </w:r>
          <w:r>
            <w:fldChar w:fldCharType="separate"/>
          </w:r>
          <w:r>
            <w:t>8</w:t>
          </w:r>
          <w:r>
            <w:fldChar w:fldCharType="end"/>
          </w:r>
          <w:r>
            <w:rPr>
              <w:rFonts w:hint="default"/>
            </w:rPr>
            <w:fldChar w:fldCharType="end"/>
          </w:r>
        </w:p>
        <w:p w14:paraId="1197A379">
          <w:pPr>
            <w:pStyle w:val="4"/>
            <w:tabs>
              <w:tab w:val="right" w:leader="dot" w:pos="8845"/>
            </w:tabs>
          </w:pPr>
          <w:r>
            <w:rPr>
              <w:rFonts w:hint="default"/>
            </w:rPr>
            <w:fldChar w:fldCharType="begin"/>
          </w:r>
          <w:r>
            <w:rPr>
              <w:rFonts w:hint="default"/>
            </w:rPr>
            <w:instrText xml:space="preserve"> HYPERLINK \l _Toc4388 </w:instrText>
          </w:r>
          <w:r>
            <w:rPr>
              <w:rFonts w:hint="default"/>
            </w:rPr>
            <w:fldChar w:fldCharType="separate"/>
          </w:r>
          <w:r>
            <w:rPr>
              <w:rFonts w:hint="default" w:ascii="宋体" w:hAnsi="宋体" w:eastAsia="宋体" w:cs="宋体"/>
              <w:bCs w:val="0"/>
              <w:szCs w:val="24"/>
              <w:lang w:val="en-US" w:eastAsia="zh-CN"/>
            </w:rPr>
            <w:t>2.重大节庆及外宣活动应急处置预案与记录完备性</w:t>
          </w:r>
          <w:r>
            <w:tab/>
          </w:r>
          <w:r>
            <w:fldChar w:fldCharType="begin"/>
          </w:r>
          <w:r>
            <w:instrText xml:space="preserve"> PAGEREF _Toc4388 \h </w:instrText>
          </w:r>
          <w:r>
            <w:fldChar w:fldCharType="separate"/>
          </w:r>
          <w:r>
            <w:t>8</w:t>
          </w:r>
          <w:r>
            <w:fldChar w:fldCharType="end"/>
          </w:r>
          <w:r>
            <w:rPr>
              <w:rFonts w:hint="default"/>
            </w:rPr>
            <w:fldChar w:fldCharType="end"/>
          </w:r>
        </w:p>
        <w:p w14:paraId="51DB0C86">
          <w:pPr>
            <w:pStyle w:val="9"/>
            <w:tabs>
              <w:tab w:val="right" w:leader="dot" w:pos="8845"/>
            </w:tabs>
          </w:pPr>
          <w:r>
            <w:rPr>
              <w:rFonts w:hint="default"/>
            </w:rPr>
            <w:fldChar w:fldCharType="begin"/>
          </w:r>
          <w:r>
            <w:rPr>
              <w:rFonts w:hint="default"/>
            </w:rPr>
            <w:instrText xml:space="preserve"> HYPERLINK \l _Toc8390 </w:instrText>
          </w:r>
          <w:r>
            <w:rPr>
              <w:rFonts w:hint="default"/>
            </w:rPr>
            <w:fldChar w:fldCharType="separate"/>
          </w:r>
          <w:r>
            <w:rPr>
              <w:rFonts w:hint="eastAsia" w:ascii="Times New Roman" w:hAnsi="Times New Roman" w:eastAsia="宋体" w:cs="Times New Roman"/>
              <w:bCs/>
              <w:szCs w:val="24"/>
              <w:lang w:val="en-US" w:eastAsia="zh-CN"/>
            </w:rPr>
            <w:t xml:space="preserve">（四） </w:t>
          </w:r>
          <w:r>
            <w:rPr>
              <w:rFonts w:hint="eastAsia" w:ascii="Times New Roman" w:hAnsi="Times New Roman" w:eastAsia="宋体" w:cs="Times New Roman"/>
              <w:bCs/>
              <w:szCs w:val="24"/>
              <w:highlight w:val="none"/>
              <w:lang w:val="en-US" w:eastAsia="zh-CN"/>
            </w:rPr>
            <w:t>扣分项</w:t>
          </w:r>
          <w:r>
            <w:tab/>
          </w:r>
          <w:r>
            <w:fldChar w:fldCharType="begin"/>
          </w:r>
          <w:r>
            <w:instrText xml:space="preserve"> PAGEREF _Toc8390 \h </w:instrText>
          </w:r>
          <w:r>
            <w:fldChar w:fldCharType="separate"/>
          </w:r>
          <w:r>
            <w:t>8</w:t>
          </w:r>
          <w:r>
            <w:fldChar w:fldCharType="end"/>
          </w:r>
          <w:r>
            <w:rPr>
              <w:rFonts w:hint="default"/>
            </w:rPr>
            <w:fldChar w:fldCharType="end"/>
          </w:r>
        </w:p>
        <w:p w14:paraId="2A7F2CCE">
          <w:pPr>
            <w:pStyle w:val="4"/>
            <w:tabs>
              <w:tab w:val="right" w:leader="dot" w:pos="8845"/>
            </w:tabs>
          </w:pPr>
          <w:r>
            <w:rPr>
              <w:rFonts w:hint="default"/>
            </w:rPr>
            <w:fldChar w:fldCharType="begin"/>
          </w:r>
          <w:r>
            <w:rPr>
              <w:rFonts w:hint="default"/>
            </w:rPr>
            <w:instrText xml:space="preserve"> HYPERLINK \l _Toc8659 </w:instrText>
          </w:r>
          <w:r>
            <w:rPr>
              <w:rFonts w:hint="default"/>
            </w:rPr>
            <w:fldChar w:fldCharType="separate"/>
          </w:r>
          <w:r>
            <w:rPr>
              <w:rFonts w:hint="eastAsia" w:ascii="Times New Roman" w:hAnsi="Times New Roman" w:eastAsia="宋体" w:cs="Times New Roman"/>
              <w:bCs/>
              <w:szCs w:val="24"/>
              <w:lang w:val="en-US" w:eastAsia="zh-CN"/>
            </w:rPr>
            <w:t xml:space="preserve">1. </w:t>
          </w:r>
          <w:r>
            <w:rPr>
              <w:rFonts w:hint="eastAsia" w:ascii="Times New Roman" w:hAnsi="Times New Roman" w:eastAsia="宋体" w:cs="Times New Roman"/>
              <w:bCs/>
              <w:szCs w:val="24"/>
              <w:highlight w:val="none"/>
              <w:lang w:val="en-US" w:eastAsia="zh-CN"/>
            </w:rPr>
            <w:t>绩效管理存在问题</w:t>
          </w:r>
          <w:r>
            <w:tab/>
          </w:r>
          <w:r>
            <w:fldChar w:fldCharType="begin"/>
          </w:r>
          <w:r>
            <w:instrText xml:space="preserve"> PAGEREF _Toc8659 \h </w:instrText>
          </w:r>
          <w:r>
            <w:fldChar w:fldCharType="separate"/>
          </w:r>
          <w:r>
            <w:t>8</w:t>
          </w:r>
          <w:r>
            <w:fldChar w:fldCharType="end"/>
          </w:r>
          <w:r>
            <w:rPr>
              <w:rFonts w:hint="default"/>
            </w:rPr>
            <w:fldChar w:fldCharType="end"/>
          </w:r>
        </w:p>
        <w:p w14:paraId="0E264B6F">
          <w:pPr>
            <w:pStyle w:val="4"/>
            <w:tabs>
              <w:tab w:val="right" w:leader="dot" w:pos="8845"/>
            </w:tabs>
          </w:pPr>
          <w:r>
            <w:rPr>
              <w:rFonts w:hint="default"/>
            </w:rPr>
            <w:fldChar w:fldCharType="begin"/>
          </w:r>
          <w:r>
            <w:rPr>
              <w:rFonts w:hint="default"/>
            </w:rPr>
            <w:instrText xml:space="preserve"> HYPERLINK \l _Toc12870 </w:instrText>
          </w:r>
          <w:r>
            <w:rPr>
              <w:rFonts w:hint="default"/>
            </w:rPr>
            <w:fldChar w:fldCharType="separate"/>
          </w:r>
          <w:r>
            <w:rPr>
              <w:rFonts w:hint="default" w:ascii="Times New Roman" w:hAnsi="Times New Roman" w:cs="Times New Roman"/>
              <w:bCs/>
              <w:szCs w:val="24"/>
              <w:lang w:val="en-US" w:eastAsia="zh-CN"/>
            </w:rPr>
            <w:t xml:space="preserve">2. </w:t>
          </w:r>
          <w:r>
            <w:rPr>
              <w:rFonts w:hint="eastAsia" w:ascii="Times New Roman" w:hAnsi="Times New Roman" w:cs="Times New Roman"/>
              <w:bCs/>
              <w:szCs w:val="24"/>
              <w:highlight w:val="none"/>
              <w:lang w:val="en-US" w:eastAsia="zh-CN"/>
            </w:rPr>
            <w:t>被评价部门配合度</w:t>
          </w:r>
          <w:r>
            <w:tab/>
          </w:r>
          <w:r>
            <w:fldChar w:fldCharType="begin"/>
          </w:r>
          <w:r>
            <w:instrText xml:space="preserve"> PAGEREF _Toc12870 \h </w:instrText>
          </w:r>
          <w:r>
            <w:fldChar w:fldCharType="separate"/>
          </w:r>
          <w:r>
            <w:t>9</w:t>
          </w:r>
          <w:r>
            <w:fldChar w:fldCharType="end"/>
          </w:r>
          <w:r>
            <w:rPr>
              <w:rFonts w:hint="default"/>
            </w:rPr>
            <w:fldChar w:fldCharType="end"/>
          </w:r>
        </w:p>
        <w:p w14:paraId="24931BE9">
          <w:pPr>
            <w:pStyle w:val="8"/>
            <w:tabs>
              <w:tab w:val="right" w:leader="dot" w:pos="8845"/>
            </w:tabs>
            <w:rPr>
              <w:b/>
              <w:bCs/>
            </w:rPr>
          </w:pPr>
          <w:r>
            <w:rPr>
              <w:rFonts w:hint="default"/>
              <w:b/>
              <w:bCs/>
            </w:rPr>
            <w:fldChar w:fldCharType="begin"/>
          </w:r>
          <w:r>
            <w:rPr>
              <w:rFonts w:hint="default"/>
              <w:b/>
              <w:bCs/>
            </w:rPr>
            <w:instrText xml:space="preserve"> HYPERLINK \l _Toc7119 </w:instrText>
          </w:r>
          <w:r>
            <w:rPr>
              <w:rFonts w:hint="default"/>
              <w:b/>
              <w:bCs/>
            </w:rPr>
            <w:fldChar w:fldCharType="separate"/>
          </w:r>
          <w:r>
            <w:rPr>
              <w:rFonts w:hint="default" w:ascii="宋体" w:hAnsi="宋体" w:eastAsia="宋体" w:cs="宋体"/>
              <w:b/>
              <w:bCs/>
              <w:szCs w:val="24"/>
              <w:lang w:val="en-US" w:eastAsia="zh-CN"/>
            </w:rPr>
            <w:t>五、存在的主要问题</w:t>
          </w:r>
          <w:r>
            <w:rPr>
              <w:b/>
              <w:bCs/>
            </w:rPr>
            <w:tab/>
          </w:r>
          <w:r>
            <w:rPr>
              <w:b/>
              <w:bCs/>
            </w:rPr>
            <w:fldChar w:fldCharType="begin"/>
          </w:r>
          <w:r>
            <w:rPr>
              <w:b/>
              <w:bCs/>
            </w:rPr>
            <w:instrText xml:space="preserve"> PAGEREF _Toc7119 \h </w:instrText>
          </w:r>
          <w:r>
            <w:rPr>
              <w:b/>
              <w:bCs/>
            </w:rPr>
            <w:fldChar w:fldCharType="separate"/>
          </w:r>
          <w:r>
            <w:rPr>
              <w:b/>
              <w:bCs/>
            </w:rPr>
            <w:t>9</w:t>
          </w:r>
          <w:r>
            <w:rPr>
              <w:b/>
              <w:bCs/>
            </w:rPr>
            <w:fldChar w:fldCharType="end"/>
          </w:r>
          <w:r>
            <w:rPr>
              <w:rFonts w:hint="default"/>
              <w:b/>
              <w:bCs/>
            </w:rPr>
            <w:fldChar w:fldCharType="end"/>
          </w:r>
        </w:p>
        <w:p w14:paraId="783A6064">
          <w:pPr>
            <w:pStyle w:val="9"/>
            <w:tabs>
              <w:tab w:val="right" w:leader="dot" w:pos="8845"/>
            </w:tabs>
          </w:pPr>
          <w:r>
            <w:rPr>
              <w:rFonts w:hint="default"/>
            </w:rPr>
            <w:fldChar w:fldCharType="begin"/>
          </w:r>
          <w:r>
            <w:rPr>
              <w:rFonts w:hint="default"/>
            </w:rPr>
            <w:instrText xml:space="preserve"> HYPERLINK \l _Toc19833 </w:instrText>
          </w:r>
          <w:r>
            <w:rPr>
              <w:rFonts w:hint="default"/>
            </w:rPr>
            <w:fldChar w:fldCharType="separate"/>
          </w:r>
          <w:r>
            <w:rPr>
              <w:rFonts w:hint="eastAsia" w:ascii="宋体" w:hAnsi="宋体" w:eastAsia="宋体" w:cs="宋体"/>
              <w:bCs w:val="0"/>
              <w:szCs w:val="24"/>
              <w:lang w:val="en-US" w:eastAsia="zh-CN"/>
            </w:rPr>
            <w:t>（一）企业成长性促进存在局部短板：旅行社扶持未达预期成效</w:t>
          </w:r>
          <w:r>
            <w:tab/>
          </w:r>
          <w:r>
            <w:fldChar w:fldCharType="begin"/>
          </w:r>
          <w:r>
            <w:instrText xml:space="preserve"> PAGEREF _Toc19833 \h </w:instrText>
          </w:r>
          <w:r>
            <w:fldChar w:fldCharType="separate"/>
          </w:r>
          <w:r>
            <w:t>9</w:t>
          </w:r>
          <w:r>
            <w:fldChar w:fldCharType="end"/>
          </w:r>
          <w:r>
            <w:rPr>
              <w:rFonts w:hint="default"/>
            </w:rPr>
            <w:fldChar w:fldCharType="end"/>
          </w:r>
        </w:p>
        <w:p w14:paraId="73A2E512">
          <w:pPr>
            <w:pStyle w:val="9"/>
            <w:tabs>
              <w:tab w:val="right" w:leader="dot" w:pos="8845"/>
            </w:tabs>
          </w:pPr>
          <w:r>
            <w:rPr>
              <w:rFonts w:hint="default"/>
            </w:rPr>
            <w:fldChar w:fldCharType="begin"/>
          </w:r>
          <w:r>
            <w:rPr>
              <w:rFonts w:hint="default"/>
            </w:rPr>
            <w:instrText xml:space="preserve"> HYPERLINK \l _Toc28888 </w:instrText>
          </w:r>
          <w:r>
            <w:rPr>
              <w:rFonts w:hint="default"/>
            </w:rPr>
            <w:fldChar w:fldCharType="separate"/>
          </w:r>
          <w:r>
            <w:rPr>
              <w:rFonts w:hint="eastAsia" w:ascii="宋体" w:hAnsi="宋体" w:eastAsia="宋体" w:cs="宋体"/>
              <w:bCs w:val="0"/>
              <w:szCs w:val="24"/>
              <w:lang w:val="en-US" w:eastAsia="zh-CN"/>
            </w:rPr>
            <w:t>（二）企业经济指标增长存在局部短板：税收贡献未实现明显提升</w:t>
          </w:r>
          <w:r>
            <w:tab/>
          </w:r>
          <w:r>
            <w:fldChar w:fldCharType="begin"/>
          </w:r>
          <w:r>
            <w:instrText xml:space="preserve"> PAGEREF _Toc28888 \h </w:instrText>
          </w:r>
          <w:r>
            <w:fldChar w:fldCharType="separate"/>
          </w:r>
          <w:r>
            <w:t>9</w:t>
          </w:r>
          <w:r>
            <w:fldChar w:fldCharType="end"/>
          </w:r>
          <w:r>
            <w:rPr>
              <w:rFonts w:hint="default"/>
            </w:rPr>
            <w:fldChar w:fldCharType="end"/>
          </w:r>
        </w:p>
        <w:p w14:paraId="2F726AFA">
          <w:pPr>
            <w:pStyle w:val="9"/>
            <w:tabs>
              <w:tab w:val="right" w:leader="dot" w:pos="8845"/>
            </w:tabs>
          </w:pPr>
          <w:r>
            <w:rPr>
              <w:rFonts w:hint="default"/>
            </w:rPr>
            <w:fldChar w:fldCharType="begin"/>
          </w:r>
          <w:r>
            <w:rPr>
              <w:rFonts w:hint="default"/>
            </w:rPr>
            <w:instrText xml:space="preserve"> HYPERLINK \l _Toc5146 </w:instrText>
          </w:r>
          <w:r>
            <w:rPr>
              <w:rFonts w:hint="default"/>
            </w:rPr>
            <w:fldChar w:fldCharType="separate"/>
          </w:r>
          <w:r>
            <w:rPr>
              <w:rFonts w:hint="eastAsia" w:ascii="宋体" w:hAnsi="宋体" w:eastAsia="宋体" w:cs="宋体"/>
              <w:bCs w:val="0"/>
              <w:szCs w:val="24"/>
              <w:lang w:val="en-US" w:eastAsia="zh-CN"/>
            </w:rPr>
            <w:t>（三）应急处置预案与记录管理不到位：自主完备性不足</w:t>
          </w:r>
          <w:r>
            <w:tab/>
          </w:r>
          <w:r>
            <w:fldChar w:fldCharType="begin"/>
          </w:r>
          <w:r>
            <w:instrText xml:space="preserve"> PAGEREF _Toc5146 \h </w:instrText>
          </w:r>
          <w:r>
            <w:fldChar w:fldCharType="separate"/>
          </w:r>
          <w:r>
            <w:t>9</w:t>
          </w:r>
          <w:r>
            <w:fldChar w:fldCharType="end"/>
          </w:r>
          <w:r>
            <w:rPr>
              <w:rFonts w:hint="default"/>
            </w:rPr>
            <w:fldChar w:fldCharType="end"/>
          </w:r>
        </w:p>
        <w:p w14:paraId="35EFCE0D">
          <w:pPr>
            <w:pStyle w:val="8"/>
            <w:tabs>
              <w:tab w:val="right" w:leader="dot" w:pos="8845"/>
            </w:tabs>
          </w:pPr>
          <w:r>
            <w:rPr>
              <w:rFonts w:hint="default"/>
              <w:b/>
              <w:bCs/>
            </w:rPr>
            <w:fldChar w:fldCharType="begin"/>
          </w:r>
          <w:r>
            <w:rPr>
              <w:rFonts w:hint="default"/>
              <w:b/>
              <w:bCs/>
            </w:rPr>
            <w:instrText xml:space="preserve"> HYPERLINK \l _Toc7909 </w:instrText>
          </w:r>
          <w:r>
            <w:rPr>
              <w:rFonts w:hint="default"/>
              <w:b/>
              <w:bCs/>
            </w:rPr>
            <w:fldChar w:fldCharType="separate"/>
          </w:r>
          <w:r>
            <w:rPr>
              <w:rFonts w:hint="default" w:ascii="宋体" w:hAnsi="宋体" w:eastAsia="宋体" w:cs="宋体"/>
              <w:b/>
              <w:bCs/>
              <w:szCs w:val="24"/>
              <w:lang w:val="en-US" w:eastAsia="zh-CN"/>
            </w:rPr>
            <w:t>六、相关建议</w:t>
          </w:r>
          <w:r>
            <w:rPr>
              <w:b/>
              <w:bCs/>
            </w:rPr>
            <w:tab/>
          </w:r>
          <w:r>
            <w:rPr>
              <w:b/>
              <w:bCs/>
            </w:rPr>
            <w:fldChar w:fldCharType="begin"/>
          </w:r>
          <w:r>
            <w:rPr>
              <w:b/>
              <w:bCs/>
            </w:rPr>
            <w:instrText xml:space="preserve"> PAGEREF _Toc7909 \h </w:instrText>
          </w:r>
          <w:r>
            <w:rPr>
              <w:b/>
              <w:bCs/>
            </w:rPr>
            <w:fldChar w:fldCharType="separate"/>
          </w:r>
          <w:r>
            <w:rPr>
              <w:b/>
              <w:bCs/>
            </w:rPr>
            <w:t>9</w:t>
          </w:r>
          <w:r>
            <w:rPr>
              <w:b/>
              <w:bCs/>
            </w:rPr>
            <w:fldChar w:fldCharType="end"/>
          </w:r>
          <w:r>
            <w:rPr>
              <w:rFonts w:hint="default"/>
              <w:b/>
              <w:bCs/>
            </w:rPr>
            <w:fldChar w:fldCharType="end"/>
          </w:r>
        </w:p>
        <w:p w14:paraId="5E5AFB58">
          <w:pPr>
            <w:pStyle w:val="9"/>
            <w:tabs>
              <w:tab w:val="right" w:leader="dot" w:pos="8845"/>
            </w:tabs>
          </w:pPr>
          <w:r>
            <w:rPr>
              <w:rFonts w:hint="default"/>
            </w:rPr>
            <w:fldChar w:fldCharType="begin"/>
          </w:r>
          <w:r>
            <w:rPr>
              <w:rFonts w:hint="default"/>
            </w:rPr>
            <w:instrText xml:space="preserve"> HYPERLINK \l _Toc2750 </w:instrText>
          </w:r>
          <w:r>
            <w:rPr>
              <w:rFonts w:hint="default"/>
            </w:rPr>
            <w:fldChar w:fldCharType="separate"/>
          </w:r>
          <w:r>
            <w:rPr>
              <w:rFonts w:hint="eastAsia" w:ascii="宋体" w:hAnsi="宋体" w:eastAsia="宋体" w:cs="宋体"/>
              <w:bCs w:val="0"/>
              <w:szCs w:val="24"/>
              <w:lang w:val="en-US" w:eastAsia="zh-CN"/>
            </w:rPr>
            <w:t>（一）精准赋能旅行社成长，补齐企业成长性短板</w:t>
          </w:r>
          <w:r>
            <w:tab/>
          </w:r>
          <w:r>
            <w:fldChar w:fldCharType="begin"/>
          </w:r>
          <w:r>
            <w:instrText xml:space="preserve"> PAGEREF _Toc2750 \h </w:instrText>
          </w:r>
          <w:r>
            <w:fldChar w:fldCharType="separate"/>
          </w:r>
          <w:r>
            <w:t>10</w:t>
          </w:r>
          <w:r>
            <w:fldChar w:fldCharType="end"/>
          </w:r>
          <w:r>
            <w:rPr>
              <w:rFonts w:hint="default"/>
            </w:rPr>
            <w:fldChar w:fldCharType="end"/>
          </w:r>
        </w:p>
        <w:p w14:paraId="6F305C6E">
          <w:pPr>
            <w:pStyle w:val="9"/>
            <w:tabs>
              <w:tab w:val="right" w:leader="dot" w:pos="8845"/>
            </w:tabs>
          </w:pPr>
          <w:r>
            <w:rPr>
              <w:rFonts w:hint="default"/>
            </w:rPr>
            <w:fldChar w:fldCharType="begin"/>
          </w:r>
          <w:r>
            <w:rPr>
              <w:rFonts w:hint="default"/>
            </w:rPr>
            <w:instrText xml:space="preserve"> HYPERLINK \l _Toc9395 </w:instrText>
          </w:r>
          <w:r>
            <w:rPr>
              <w:rFonts w:hint="default"/>
            </w:rPr>
            <w:fldChar w:fldCharType="separate"/>
          </w:r>
          <w:r>
            <w:rPr>
              <w:rFonts w:hint="eastAsia" w:ascii="宋体" w:hAnsi="宋体" w:eastAsia="宋体" w:cs="宋体"/>
              <w:bCs w:val="0"/>
              <w:szCs w:val="24"/>
              <w:lang w:val="en-US" w:eastAsia="zh-CN"/>
            </w:rPr>
            <w:t>（二） 优化企业经济发展支撑，推动企业业务扩容与业态升级</w:t>
          </w:r>
          <w:r>
            <w:tab/>
          </w:r>
          <w:r>
            <w:fldChar w:fldCharType="begin"/>
          </w:r>
          <w:r>
            <w:instrText xml:space="preserve"> PAGEREF _Toc9395 \h </w:instrText>
          </w:r>
          <w:r>
            <w:fldChar w:fldCharType="separate"/>
          </w:r>
          <w:r>
            <w:t>10</w:t>
          </w:r>
          <w:r>
            <w:fldChar w:fldCharType="end"/>
          </w:r>
          <w:r>
            <w:rPr>
              <w:rFonts w:hint="default"/>
            </w:rPr>
            <w:fldChar w:fldCharType="end"/>
          </w:r>
        </w:p>
        <w:p w14:paraId="598E9AAC">
          <w:pPr>
            <w:pStyle w:val="9"/>
            <w:tabs>
              <w:tab w:val="right" w:leader="dot" w:pos="8845"/>
            </w:tabs>
          </w:pPr>
          <w:r>
            <w:rPr>
              <w:rFonts w:hint="default"/>
            </w:rPr>
            <w:fldChar w:fldCharType="begin"/>
          </w:r>
          <w:r>
            <w:rPr>
              <w:rFonts w:hint="default"/>
            </w:rPr>
            <w:instrText xml:space="preserve"> HYPERLINK \l _Toc30661 </w:instrText>
          </w:r>
          <w:r>
            <w:rPr>
              <w:rFonts w:hint="default"/>
            </w:rPr>
            <w:fldChar w:fldCharType="separate"/>
          </w:r>
          <w:r>
            <w:rPr>
              <w:rFonts w:hint="eastAsia" w:ascii="宋体" w:hAnsi="宋体" w:eastAsia="宋体" w:cs="宋体"/>
              <w:bCs w:val="0"/>
              <w:szCs w:val="24"/>
              <w:lang w:val="en-US" w:eastAsia="zh-CN"/>
            </w:rPr>
            <w:t>（三） 强化应急管理自主责任，提升预案与记录完备性</w:t>
          </w:r>
          <w:r>
            <w:tab/>
          </w:r>
          <w:r>
            <w:fldChar w:fldCharType="begin"/>
          </w:r>
          <w:r>
            <w:instrText xml:space="preserve"> PAGEREF _Toc30661 \h </w:instrText>
          </w:r>
          <w:r>
            <w:fldChar w:fldCharType="separate"/>
          </w:r>
          <w:r>
            <w:t>10</w:t>
          </w:r>
          <w:r>
            <w:fldChar w:fldCharType="end"/>
          </w:r>
          <w:r>
            <w:rPr>
              <w:rFonts w:hint="default"/>
            </w:rPr>
            <w:fldChar w:fldCharType="end"/>
          </w:r>
        </w:p>
        <w:p w14:paraId="5DDB67A9">
          <w:pPr>
            <w:pStyle w:val="8"/>
            <w:tabs>
              <w:tab w:val="right" w:leader="dot" w:pos="8845"/>
            </w:tabs>
            <w:rPr>
              <w:b/>
              <w:bCs/>
            </w:rPr>
          </w:pPr>
          <w:r>
            <w:rPr>
              <w:rFonts w:hint="default"/>
              <w:b/>
              <w:bCs/>
            </w:rPr>
            <w:fldChar w:fldCharType="begin"/>
          </w:r>
          <w:r>
            <w:rPr>
              <w:rFonts w:hint="default"/>
              <w:b/>
              <w:bCs/>
            </w:rPr>
            <w:instrText xml:space="preserve"> HYPERLINK \l _Toc12141 </w:instrText>
          </w:r>
          <w:r>
            <w:rPr>
              <w:rFonts w:hint="default"/>
              <w:b/>
              <w:bCs/>
            </w:rPr>
            <w:fldChar w:fldCharType="separate"/>
          </w:r>
          <w:r>
            <w:rPr>
              <w:rFonts w:hint="default" w:ascii="宋体" w:hAnsi="宋体" w:eastAsia="宋体" w:cs="宋体"/>
              <w:b/>
              <w:bCs/>
              <w:szCs w:val="24"/>
              <w:lang w:val="en-US" w:eastAsia="zh-CN"/>
            </w:rPr>
            <w:t>附件1:重大节庆及外宣经费项目支出绩效评价指标体系</w:t>
          </w:r>
          <w:r>
            <w:rPr>
              <w:b/>
              <w:bCs/>
            </w:rPr>
            <w:tab/>
          </w:r>
          <w:r>
            <w:rPr>
              <w:b/>
              <w:bCs/>
            </w:rPr>
            <w:fldChar w:fldCharType="begin"/>
          </w:r>
          <w:r>
            <w:rPr>
              <w:b/>
              <w:bCs/>
            </w:rPr>
            <w:instrText xml:space="preserve"> PAGEREF _Toc12141 \h </w:instrText>
          </w:r>
          <w:r>
            <w:rPr>
              <w:b/>
              <w:bCs/>
            </w:rPr>
            <w:fldChar w:fldCharType="separate"/>
          </w:r>
          <w:r>
            <w:rPr>
              <w:b/>
              <w:bCs/>
            </w:rPr>
            <w:t>10</w:t>
          </w:r>
          <w:r>
            <w:rPr>
              <w:b/>
              <w:bCs/>
            </w:rPr>
            <w:fldChar w:fldCharType="end"/>
          </w:r>
          <w:r>
            <w:rPr>
              <w:rFonts w:hint="default"/>
              <w:b/>
              <w:bCs/>
            </w:rPr>
            <w:fldChar w:fldCharType="end"/>
          </w:r>
        </w:p>
        <w:p w14:paraId="729C2FBE">
          <w:pPr>
            <w:rPr>
              <w:rFonts w:hint="default" w:ascii="Calibri" w:hAnsi="Calibri" w:eastAsia="宋体" w:cs="Times New Roman"/>
              <w:kern w:val="2"/>
              <w:sz w:val="21"/>
              <w:szCs w:val="24"/>
              <w:lang w:val="en-US" w:eastAsia="zh-CN" w:bidi="ar-SA"/>
            </w:rPr>
          </w:pPr>
          <w:r>
            <w:rPr>
              <w:rFonts w:hint="default"/>
            </w:rPr>
            <w:fldChar w:fldCharType="end"/>
          </w:r>
        </w:p>
      </w:sdtContent>
    </w:sdt>
    <w:p w14:paraId="1496C1AD">
      <w:pPr>
        <w:rPr>
          <w:rFonts w:hint="default" w:ascii="Calibri" w:hAnsi="Calibri" w:eastAsia="宋体" w:cs="Times New Roman"/>
          <w:kern w:val="2"/>
          <w:sz w:val="21"/>
          <w:szCs w:val="24"/>
          <w:lang w:val="en-US" w:eastAsia="zh-CN" w:bidi="ar-SA"/>
        </w:rPr>
      </w:pPr>
    </w:p>
    <w:p w14:paraId="0AA57F11">
      <w:pPr>
        <w:rPr>
          <w:rFonts w:hint="default"/>
        </w:rPr>
        <w:sectPr>
          <w:pgSz w:w="11906" w:h="16838"/>
          <w:pgMar w:top="2098" w:right="1474" w:bottom="1928" w:left="1587" w:header="851" w:footer="1701" w:gutter="0"/>
          <w:pgNumType w:fmt="upperRoman"/>
          <w:cols w:space="425" w:num="1"/>
          <w:docGrid w:type="lines" w:linePitch="312" w:charSpace="0"/>
        </w:sectPr>
      </w:pPr>
    </w:p>
    <w:p w14:paraId="0A2469B4">
      <w:pPr>
        <w:jc w:val="both"/>
        <w:rPr>
          <w:rFonts w:hint="eastAsia" w:ascii="黑体" w:hAnsi="黑体" w:eastAsia="黑体" w:cs="黑体"/>
          <w:bCs/>
          <w:sz w:val="32"/>
          <w:szCs w:val="32"/>
          <w:lang w:val="en-US" w:eastAsia="zh-CN"/>
        </w:rPr>
        <w:sectPr>
          <w:footerReference r:id="rId9" w:type="default"/>
          <w:type w:val="continuous"/>
          <w:pgSz w:w="11906" w:h="16838"/>
          <w:pgMar w:top="1440" w:right="1134" w:bottom="1440" w:left="1134" w:header="851" w:footer="992" w:gutter="0"/>
          <w:pgBorders>
            <w:top w:val="none" w:sz="0" w:space="0"/>
            <w:left w:val="none" w:sz="0" w:space="0"/>
            <w:bottom w:val="none" w:sz="0" w:space="0"/>
            <w:right w:val="none" w:sz="0" w:space="0"/>
          </w:pgBorders>
          <w:pgNumType w:fmt="decimal"/>
          <w:cols w:space="720" w:num="1"/>
          <w:rtlGutter w:val="0"/>
          <w:docGrid w:type="lines" w:linePitch="312" w:charSpace="0"/>
        </w:sectPr>
      </w:pPr>
    </w:p>
    <w:p w14:paraId="5AB66656">
      <w:pPr>
        <w:jc w:val="center"/>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摘 要</w:t>
      </w:r>
    </w:p>
    <w:p w14:paraId="75EB0588">
      <w:pPr>
        <w:jc w:val="both"/>
        <w:rPr>
          <w:rFonts w:hint="eastAsia" w:ascii="黑体" w:hAnsi="黑体" w:eastAsia="黑体" w:cs="黑体"/>
          <w:bCs/>
          <w:sz w:val="32"/>
          <w:szCs w:val="32"/>
          <w:lang w:val="en-US" w:eastAsia="zh-CN"/>
        </w:rPr>
      </w:pPr>
    </w:p>
    <w:p w14:paraId="0253C5B0">
      <w:pPr>
        <w:numPr>
          <w:ilvl w:val="0"/>
          <w:numId w:val="0"/>
        </w:numPr>
        <w:ind w:firstLine="482" w:firstLineChars="200"/>
        <w:jc w:val="both"/>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一、项目基本情况</w:t>
      </w:r>
    </w:p>
    <w:p w14:paraId="611FE928">
      <w:pPr>
        <w:spacing w:line="560" w:lineRule="exact"/>
        <w:ind w:firstLine="480" w:firstLineChars="200"/>
        <w:jc w:val="left"/>
        <w:rPr>
          <w:rFonts w:hint="eastAsia" w:ascii="宋体" w:hAnsi="宋体" w:eastAsia="宋体" w:cs="宋体"/>
          <w:bCs/>
          <w:sz w:val="24"/>
          <w:szCs w:val="24"/>
          <w:highlight w:val="yellow"/>
          <w:lang w:val="en-US" w:eastAsia="zh-CN"/>
        </w:rPr>
      </w:pPr>
      <w:r>
        <w:rPr>
          <w:rFonts w:hint="eastAsia" w:ascii="宋体" w:hAnsi="宋体" w:eastAsia="宋体" w:cs="宋体"/>
          <w:bCs/>
          <w:sz w:val="24"/>
          <w:szCs w:val="24"/>
          <w:highlight w:val="none"/>
          <w:lang w:val="en-US" w:eastAsia="zh-CN"/>
        </w:rPr>
        <w:t>项目由仁和区</w:t>
      </w:r>
      <w:r>
        <w:rPr>
          <w:rFonts w:hint="eastAsia" w:ascii="宋体" w:hAnsi="宋体" w:cs="宋体"/>
          <w:bCs/>
          <w:sz w:val="24"/>
          <w:szCs w:val="24"/>
          <w:highlight w:val="none"/>
          <w:lang w:val="en-US" w:eastAsia="zh-CN"/>
        </w:rPr>
        <w:t>文旅局</w:t>
      </w:r>
      <w:r>
        <w:rPr>
          <w:rFonts w:hint="eastAsia" w:ascii="宋体" w:hAnsi="宋体" w:eastAsia="宋体" w:cs="宋体"/>
          <w:bCs/>
          <w:sz w:val="24"/>
          <w:szCs w:val="24"/>
          <w:highlight w:val="none"/>
          <w:lang w:val="en-US" w:eastAsia="zh-CN"/>
        </w:rPr>
        <w:t>实施</w:t>
      </w:r>
      <w:r>
        <w:rPr>
          <w:rFonts w:hint="eastAsia" w:ascii="宋体" w:hAnsi="宋体" w:cs="宋体"/>
          <w:bCs/>
          <w:sz w:val="24"/>
          <w:szCs w:val="24"/>
          <w:highlight w:val="none"/>
          <w:lang w:val="en-US" w:eastAsia="zh-CN"/>
        </w:rPr>
        <w:t>，根据《攀枝花市仁和区促进文旅产业发展若干措施》（攀仁文旅产〔2024〕1 号）等规定，该项目资金主要用于举办全年重大文化活动、节庆活动、城市推介等活动，做好引客入攀等文旅宣传营销，支持文旅产业发展。展示“天时地利 这里仁和”多元的文化地域特色，丰富群众精神文化生活，巩固服务业发展良好势态，助推仁和区经济社会高质量发展。</w:t>
      </w:r>
      <w:bookmarkStart w:id="83" w:name="_GoBack"/>
      <w:bookmarkEnd w:id="83"/>
    </w:p>
    <w:p w14:paraId="421EC89C">
      <w:pPr>
        <w:widowControl w:val="0"/>
        <w:numPr>
          <w:ilvl w:val="0"/>
          <w:numId w:val="0"/>
        </w:numPr>
        <w:jc w:val="both"/>
        <w:rPr>
          <w:rFonts w:hint="default" w:ascii="宋体" w:hAnsi="宋体" w:eastAsia="宋体" w:cs="宋体"/>
          <w:b/>
          <w:bCs w:val="0"/>
          <w:sz w:val="24"/>
          <w:szCs w:val="24"/>
          <w:lang w:val="en-US" w:eastAsia="zh-CN"/>
        </w:rPr>
      </w:pPr>
    </w:p>
    <w:p w14:paraId="452E5699">
      <w:pPr>
        <w:widowControl w:val="0"/>
        <w:numPr>
          <w:ilvl w:val="0"/>
          <w:numId w:val="0"/>
        </w:numPr>
        <w:ind w:leftChars="0" w:firstLine="482" w:firstLineChars="200"/>
        <w:jc w:val="both"/>
        <w:rPr>
          <w:rFonts w:hint="default" w:ascii="宋体" w:hAnsi="宋体" w:eastAsia="宋体" w:cs="宋体"/>
          <w:bCs/>
          <w:sz w:val="24"/>
          <w:szCs w:val="24"/>
          <w:lang w:val="en-US" w:eastAsia="zh-CN"/>
        </w:rPr>
      </w:pPr>
      <w:r>
        <w:rPr>
          <w:rFonts w:hint="eastAsia" w:ascii="宋体" w:hAnsi="宋体" w:eastAsia="宋体" w:cs="宋体"/>
          <w:b/>
          <w:bCs w:val="0"/>
          <w:sz w:val="24"/>
          <w:szCs w:val="24"/>
          <w:lang w:val="en-US" w:eastAsia="zh-CN"/>
        </w:rPr>
        <w:t>二、主要绩效</w:t>
      </w:r>
    </w:p>
    <w:p w14:paraId="70B2699F">
      <w:pPr>
        <w:spacing w:line="560" w:lineRule="exact"/>
        <w:ind w:firstLine="480" w:firstLineChars="200"/>
        <w:jc w:val="left"/>
        <w:rPr>
          <w:rFonts w:hint="default" w:ascii="黑体" w:hAnsi="黑体" w:eastAsia="黑体" w:cs="黑体"/>
          <w:bCs/>
          <w:sz w:val="32"/>
          <w:szCs w:val="32"/>
          <w:highlight w:val="yellow"/>
          <w:lang w:val="en-US" w:eastAsia="zh-CN"/>
        </w:rPr>
      </w:pPr>
      <w:r>
        <w:rPr>
          <w:rFonts w:hint="eastAsia" w:ascii="宋体" w:hAnsi="宋体" w:eastAsia="宋体" w:cs="宋体"/>
          <w:bCs/>
          <w:sz w:val="24"/>
          <w:szCs w:val="24"/>
          <w:lang w:val="en-US" w:eastAsia="zh-CN"/>
        </w:rPr>
        <w:t>2024年度，预算资金8,263,032.94元，实际到位资金8,263,032.94元。资金使用率</w:t>
      </w:r>
      <w:r>
        <w:rPr>
          <w:rFonts w:hint="eastAsia" w:ascii="宋体" w:hAnsi="宋体" w:cs="宋体"/>
          <w:bCs/>
          <w:sz w:val="24"/>
          <w:szCs w:val="24"/>
          <w:lang w:val="en-US" w:eastAsia="zh-CN"/>
        </w:rPr>
        <w:t>10</w:t>
      </w:r>
      <w:r>
        <w:rPr>
          <w:rFonts w:hint="eastAsia" w:ascii="宋体" w:hAnsi="宋体" w:eastAsia="宋体" w:cs="宋体"/>
          <w:bCs/>
          <w:sz w:val="24"/>
          <w:szCs w:val="24"/>
          <w:lang w:val="en-US" w:eastAsia="zh-CN"/>
        </w:rPr>
        <w:t>0%</w:t>
      </w:r>
      <w:r>
        <w:rPr>
          <w:rFonts w:hint="eastAsia" w:ascii="宋体" w:hAnsi="宋体" w:cs="宋体"/>
          <w:bCs/>
          <w:sz w:val="24"/>
          <w:szCs w:val="24"/>
          <w:highlight w:val="none"/>
          <w:lang w:val="en-US" w:eastAsia="zh-CN"/>
        </w:rPr>
        <w:t>。成效方面：成功举办38场重大节庆外宣活动，联动新华社四川频道、川观新闻、封面视频等主流媒体矩阵进行传播，其中新华社四川频道发布的迤沙拉节庆相关报道，合计浏览量达到50万人次。有效传播区域特色文化与发展成果，带动节庆期间文旅消费小幅增长。绩效评价得分为86分。</w:t>
      </w:r>
    </w:p>
    <w:p w14:paraId="4C9AD7FE">
      <w:pPr>
        <w:numPr>
          <w:ilvl w:val="0"/>
          <w:numId w:val="1"/>
        </w:numPr>
        <w:spacing w:line="560" w:lineRule="exact"/>
        <w:ind w:firstLine="482" w:firstLineChars="200"/>
        <w:jc w:val="left"/>
        <w:rPr>
          <w:rFonts w:hint="eastAsia" w:ascii="宋体" w:hAnsi="宋体" w:cs="宋体"/>
          <w:b/>
          <w:bCs w:val="0"/>
          <w:sz w:val="24"/>
          <w:szCs w:val="24"/>
          <w:lang w:val="en-US" w:eastAsia="zh-CN"/>
        </w:rPr>
      </w:pPr>
      <w:r>
        <w:rPr>
          <w:rFonts w:hint="eastAsia" w:ascii="宋体" w:hAnsi="宋体" w:cs="宋体"/>
          <w:b/>
          <w:bCs w:val="0"/>
          <w:sz w:val="24"/>
          <w:szCs w:val="24"/>
          <w:lang w:val="en-US" w:eastAsia="zh-CN"/>
        </w:rPr>
        <w:t>存在问题</w:t>
      </w:r>
    </w:p>
    <w:p w14:paraId="1C0E2923">
      <w:pPr>
        <w:widowControl w:val="0"/>
        <w:numPr>
          <w:ilvl w:val="0"/>
          <w:numId w:val="2"/>
        </w:numPr>
        <w:spacing w:line="560" w:lineRule="exact"/>
        <w:ind w:firstLine="240" w:firstLineChars="100"/>
        <w:jc w:val="left"/>
        <w:rPr>
          <w:rFonts w:hint="eastAsia" w:ascii="宋体" w:hAnsi="宋体" w:cs="宋体"/>
          <w:bCs/>
          <w:sz w:val="24"/>
          <w:szCs w:val="24"/>
          <w:lang w:val="en-US" w:eastAsia="zh-CN"/>
        </w:rPr>
      </w:pPr>
      <w:r>
        <w:rPr>
          <w:rFonts w:hint="eastAsia" w:ascii="宋体" w:hAnsi="宋体" w:cs="宋体"/>
          <w:bCs/>
          <w:sz w:val="24"/>
          <w:szCs w:val="24"/>
          <w:lang w:val="en-US" w:eastAsia="zh-CN"/>
        </w:rPr>
        <w:t>旅行社扶持成效未达预期：仅少数旅行社获城市推介曝光，多数未实现业务量与经营规模增长；</w:t>
      </w:r>
    </w:p>
    <w:p w14:paraId="0F3189A4">
      <w:pPr>
        <w:widowControl w:val="0"/>
        <w:numPr>
          <w:ilvl w:val="0"/>
          <w:numId w:val="2"/>
        </w:numPr>
        <w:spacing w:line="560" w:lineRule="exact"/>
        <w:ind w:firstLine="240" w:firstLineChars="100"/>
        <w:jc w:val="left"/>
        <w:rPr>
          <w:rFonts w:hint="default" w:ascii="宋体" w:hAnsi="宋体" w:cs="宋体"/>
          <w:bCs/>
          <w:sz w:val="24"/>
          <w:szCs w:val="24"/>
          <w:lang w:val="en-US" w:eastAsia="zh-CN"/>
        </w:rPr>
      </w:pPr>
      <w:r>
        <w:rPr>
          <w:rFonts w:hint="default" w:ascii="宋体" w:hAnsi="宋体" w:cs="宋体"/>
          <w:bCs/>
          <w:sz w:val="24"/>
          <w:szCs w:val="24"/>
          <w:lang w:val="en-US" w:eastAsia="zh-CN"/>
        </w:rPr>
        <w:t>文旅企业税收贡献不足：民宿、文旅服务企业营收有所增长，但整体税收未实现明</w:t>
      </w:r>
      <w:r>
        <w:rPr>
          <w:rFonts w:hint="default" w:ascii="宋体" w:hAnsi="宋体" w:cs="宋体"/>
          <w:bCs/>
          <w:sz w:val="24"/>
          <w:szCs w:val="24"/>
          <w:highlight w:val="none"/>
          <w:lang w:val="en-US" w:eastAsia="zh-CN"/>
        </w:rPr>
        <w:t>显提升</w:t>
      </w:r>
      <w:r>
        <w:rPr>
          <w:rFonts w:hint="eastAsia" w:ascii="宋体" w:hAnsi="宋体" w:cs="宋体"/>
          <w:bCs/>
          <w:sz w:val="24"/>
          <w:szCs w:val="24"/>
          <w:highlight w:val="none"/>
          <w:lang w:val="en-US" w:eastAsia="zh-CN"/>
        </w:rPr>
        <w:t>；</w:t>
      </w:r>
    </w:p>
    <w:p w14:paraId="6A447BF5">
      <w:pPr>
        <w:widowControl w:val="0"/>
        <w:numPr>
          <w:ilvl w:val="0"/>
          <w:numId w:val="2"/>
        </w:numPr>
        <w:spacing w:line="560" w:lineRule="exact"/>
        <w:ind w:firstLine="240" w:firstLineChars="100"/>
        <w:jc w:val="left"/>
        <w:rPr>
          <w:rFonts w:hint="default" w:ascii="宋体" w:hAnsi="宋体" w:cs="宋体"/>
          <w:bCs/>
          <w:sz w:val="24"/>
          <w:szCs w:val="24"/>
          <w:lang w:val="en-US" w:eastAsia="zh-CN"/>
        </w:rPr>
      </w:pPr>
      <w:r>
        <w:rPr>
          <w:rFonts w:hint="default" w:ascii="宋体" w:hAnsi="宋体" w:cs="宋体"/>
          <w:bCs/>
          <w:sz w:val="24"/>
          <w:szCs w:val="24"/>
          <w:lang w:val="en-US" w:eastAsia="zh-CN"/>
        </w:rPr>
        <w:t>应急管理自主完备性欠缺：过度依赖公安、消防等参与单位，未独立留存应急预案及相关资料</w:t>
      </w:r>
      <w:r>
        <w:rPr>
          <w:rFonts w:hint="eastAsia" w:ascii="宋体" w:hAnsi="宋体" w:cs="宋体"/>
          <w:bCs/>
          <w:sz w:val="24"/>
          <w:szCs w:val="24"/>
          <w:lang w:val="en-US" w:eastAsia="zh-CN"/>
        </w:rPr>
        <w:t>。</w:t>
      </w:r>
    </w:p>
    <w:p w14:paraId="0BB87332">
      <w:pPr>
        <w:numPr>
          <w:ilvl w:val="0"/>
          <w:numId w:val="1"/>
        </w:numPr>
        <w:spacing w:line="560" w:lineRule="exact"/>
        <w:ind w:firstLine="482" w:firstLineChars="200"/>
        <w:jc w:val="left"/>
        <w:rPr>
          <w:rFonts w:hint="eastAsia" w:ascii="宋体" w:hAnsi="宋体" w:cs="宋体"/>
          <w:b/>
          <w:bCs w:val="0"/>
          <w:sz w:val="24"/>
          <w:szCs w:val="24"/>
          <w:lang w:val="en-US" w:eastAsia="zh-CN"/>
        </w:rPr>
      </w:pPr>
      <w:r>
        <w:rPr>
          <w:rFonts w:hint="eastAsia" w:ascii="宋体" w:hAnsi="宋体" w:cs="宋体"/>
          <w:b/>
          <w:bCs w:val="0"/>
          <w:sz w:val="24"/>
          <w:szCs w:val="24"/>
          <w:lang w:val="en-US" w:eastAsia="zh-CN"/>
        </w:rPr>
        <w:t>相关建议</w:t>
      </w:r>
    </w:p>
    <w:p w14:paraId="7CB32B87">
      <w:pPr>
        <w:widowControl w:val="0"/>
        <w:numPr>
          <w:ilvl w:val="0"/>
          <w:numId w:val="3"/>
        </w:numPr>
        <w:spacing w:line="560" w:lineRule="exact"/>
        <w:ind w:firstLine="240" w:firstLineChars="100"/>
        <w:jc w:val="left"/>
        <w:rPr>
          <w:rFonts w:hint="default" w:ascii="宋体" w:hAnsi="宋体" w:cs="宋体"/>
          <w:bCs/>
          <w:sz w:val="24"/>
          <w:szCs w:val="24"/>
          <w:lang w:val="en-US" w:eastAsia="zh-CN"/>
        </w:rPr>
      </w:pPr>
      <w:r>
        <w:rPr>
          <w:rFonts w:hint="eastAsia" w:ascii="宋体" w:hAnsi="宋体" w:cs="宋体"/>
          <w:bCs/>
          <w:sz w:val="24"/>
          <w:szCs w:val="24"/>
          <w:lang w:val="en-US" w:eastAsia="zh-CN"/>
        </w:rPr>
        <w:t>精准赋能旅行社：建立 “节庆 + 旅行社” 对接模式，提供产品策划、线路设计培训，助力开发特色旅游产品；</w:t>
      </w:r>
    </w:p>
    <w:p w14:paraId="66445998">
      <w:pPr>
        <w:widowControl w:val="0"/>
        <w:numPr>
          <w:ilvl w:val="0"/>
          <w:numId w:val="3"/>
        </w:numPr>
        <w:spacing w:line="560" w:lineRule="exact"/>
        <w:ind w:left="0" w:leftChars="0" w:firstLine="240" w:firstLineChars="100"/>
        <w:jc w:val="left"/>
        <w:rPr>
          <w:rFonts w:hint="default" w:ascii="宋体" w:hAnsi="宋体" w:cs="宋体"/>
          <w:bCs/>
          <w:sz w:val="24"/>
          <w:szCs w:val="24"/>
          <w:lang w:val="en-US" w:eastAsia="zh-CN"/>
        </w:rPr>
      </w:pPr>
      <w:r>
        <w:rPr>
          <w:rFonts w:hint="eastAsia" w:ascii="宋体" w:hAnsi="宋体" w:cs="宋体"/>
          <w:bCs/>
          <w:sz w:val="24"/>
          <w:szCs w:val="24"/>
          <w:lang w:val="en-US" w:eastAsia="zh-CN"/>
        </w:rPr>
        <w:t>提升企业税收贡献：鼓励文旅企业拓展多元化经营，扩大业务规模，带动税收稳步增长；</w:t>
      </w:r>
    </w:p>
    <w:p w14:paraId="1372F0EE">
      <w:pPr>
        <w:widowControl w:val="0"/>
        <w:numPr>
          <w:ilvl w:val="0"/>
          <w:numId w:val="3"/>
        </w:numPr>
        <w:spacing w:line="560" w:lineRule="exact"/>
        <w:ind w:left="0" w:leftChars="0" w:firstLine="240" w:firstLineChars="100"/>
        <w:jc w:val="left"/>
        <w:rPr>
          <w:rFonts w:hint="default" w:ascii="宋体" w:hAnsi="宋体" w:cs="宋体"/>
          <w:bCs/>
          <w:sz w:val="24"/>
          <w:szCs w:val="24"/>
          <w:lang w:val="en-US" w:eastAsia="zh-CN"/>
        </w:rPr>
      </w:pPr>
      <w:r>
        <w:rPr>
          <w:rFonts w:hint="eastAsia" w:ascii="宋体" w:hAnsi="宋体" w:cs="宋体"/>
          <w:bCs/>
          <w:sz w:val="24"/>
          <w:szCs w:val="24"/>
          <w:lang w:val="en-US" w:eastAsia="zh-CN"/>
        </w:rPr>
        <w:t>强化应急管理自主责任：制定管理流程，独立完成应急预案编制、处置记录及归档工作，确保资料自主完备。</w:t>
      </w:r>
    </w:p>
    <w:p w14:paraId="1A0969CF">
      <w:pPr>
        <w:jc w:val="center"/>
        <w:rPr>
          <w:rFonts w:hint="eastAsia" w:ascii="黑体" w:hAnsi="黑体" w:eastAsia="黑体" w:cs="黑体"/>
          <w:bCs/>
          <w:sz w:val="32"/>
          <w:szCs w:val="32"/>
          <w:lang w:val="en-US" w:eastAsia="zh-CN"/>
        </w:rPr>
      </w:pPr>
    </w:p>
    <w:p w14:paraId="30624319">
      <w:pPr>
        <w:jc w:val="center"/>
        <w:rPr>
          <w:rFonts w:hint="eastAsia" w:ascii="黑体" w:hAnsi="黑体" w:eastAsia="黑体" w:cs="黑体"/>
          <w:bCs/>
          <w:sz w:val="32"/>
          <w:szCs w:val="32"/>
          <w:lang w:val="en-US" w:eastAsia="zh-CN"/>
        </w:rPr>
      </w:pPr>
    </w:p>
    <w:p w14:paraId="2F219182">
      <w:pPr>
        <w:jc w:val="center"/>
        <w:rPr>
          <w:rFonts w:hint="eastAsia" w:ascii="黑体" w:hAnsi="黑体" w:eastAsia="黑体" w:cs="黑体"/>
          <w:bCs/>
          <w:sz w:val="32"/>
          <w:szCs w:val="32"/>
          <w:lang w:val="en-US" w:eastAsia="zh-CN"/>
        </w:rPr>
      </w:pPr>
    </w:p>
    <w:p w14:paraId="2F9630C3">
      <w:pPr>
        <w:jc w:val="center"/>
        <w:rPr>
          <w:rFonts w:hint="eastAsia" w:ascii="黑体" w:hAnsi="黑体" w:eastAsia="黑体" w:cs="黑体"/>
          <w:bCs/>
          <w:sz w:val="32"/>
          <w:szCs w:val="32"/>
          <w:lang w:val="en-US" w:eastAsia="zh-CN"/>
        </w:rPr>
      </w:pPr>
    </w:p>
    <w:p w14:paraId="19C7E9FA">
      <w:pPr>
        <w:jc w:val="center"/>
        <w:rPr>
          <w:rFonts w:hint="eastAsia" w:ascii="黑体" w:hAnsi="黑体" w:eastAsia="黑体" w:cs="黑体"/>
          <w:bCs/>
          <w:sz w:val="32"/>
          <w:szCs w:val="32"/>
          <w:lang w:val="en-US" w:eastAsia="zh-CN"/>
        </w:rPr>
      </w:pPr>
    </w:p>
    <w:p w14:paraId="47E5B9A9">
      <w:pPr>
        <w:jc w:val="center"/>
        <w:rPr>
          <w:rFonts w:hint="eastAsia" w:ascii="黑体" w:hAnsi="黑体" w:eastAsia="黑体" w:cs="黑体"/>
          <w:bCs/>
          <w:sz w:val="32"/>
          <w:szCs w:val="32"/>
          <w:lang w:val="en-US" w:eastAsia="zh-CN"/>
        </w:rPr>
      </w:pPr>
    </w:p>
    <w:p w14:paraId="41E1E7D9">
      <w:pPr>
        <w:jc w:val="center"/>
        <w:rPr>
          <w:rFonts w:hint="eastAsia" w:ascii="黑体" w:hAnsi="黑体" w:eastAsia="黑体" w:cs="黑体"/>
          <w:bCs/>
          <w:sz w:val="32"/>
          <w:szCs w:val="32"/>
          <w:lang w:val="en-US" w:eastAsia="zh-CN"/>
        </w:rPr>
      </w:pPr>
    </w:p>
    <w:p w14:paraId="04778A20">
      <w:pPr>
        <w:jc w:val="center"/>
        <w:rPr>
          <w:rFonts w:hint="eastAsia" w:ascii="黑体" w:hAnsi="黑体" w:eastAsia="黑体" w:cs="黑体"/>
          <w:bCs/>
          <w:sz w:val="32"/>
          <w:szCs w:val="32"/>
          <w:lang w:val="en-US" w:eastAsia="zh-CN"/>
        </w:rPr>
      </w:pPr>
    </w:p>
    <w:p w14:paraId="16EDD7E1">
      <w:pPr>
        <w:jc w:val="center"/>
        <w:rPr>
          <w:rFonts w:hint="eastAsia" w:ascii="黑体" w:hAnsi="黑体" w:eastAsia="黑体" w:cs="黑体"/>
          <w:bCs/>
          <w:sz w:val="32"/>
          <w:szCs w:val="32"/>
          <w:lang w:val="en-US" w:eastAsia="zh-CN"/>
        </w:rPr>
      </w:pPr>
    </w:p>
    <w:p w14:paraId="50939C01">
      <w:pPr>
        <w:jc w:val="center"/>
        <w:rPr>
          <w:rFonts w:hint="eastAsia" w:ascii="黑体" w:hAnsi="黑体" w:eastAsia="黑体" w:cs="黑体"/>
          <w:bCs/>
          <w:sz w:val="32"/>
          <w:szCs w:val="32"/>
          <w:lang w:val="en-US" w:eastAsia="zh-CN"/>
        </w:rPr>
      </w:pPr>
    </w:p>
    <w:p w14:paraId="05BC9032">
      <w:pPr>
        <w:jc w:val="center"/>
        <w:rPr>
          <w:rFonts w:hint="eastAsia" w:ascii="黑体" w:hAnsi="黑体" w:eastAsia="黑体" w:cs="黑体"/>
          <w:bCs/>
          <w:sz w:val="32"/>
          <w:szCs w:val="32"/>
          <w:lang w:val="en-US" w:eastAsia="zh-CN"/>
        </w:rPr>
      </w:pPr>
    </w:p>
    <w:p w14:paraId="76217C3A">
      <w:pPr>
        <w:jc w:val="center"/>
        <w:rPr>
          <w:rFonts w:hint="eastAsia" w:ascii="黑体" w:hAnsi="黑体" w:eastAsia="黑体" w:cs="黑体"/>
          <w:bCs/>
          <w:sz w:val="32"/>
          <w:szCs w:val="32"/>
          <w:lang w:val="en-US" w:eastAsia="zh-CN"/>
        </w:rPr>
      </w:pPr>
    </w:p>
    <w:p w14:paraId="482A39FC">
      <w:pPr>
        <w:jc w:val="center"/>
        <w:rPr>
          <w:rFonts w:hint="eastAsia" w:ascii="黑体" w:hAnsi="黑体" w:eastAsia="黑体" w:cs="黑体"/>
          <w:bCs/>
          <w:sz w:val="32"/>
          <w:szCs w:val="32"/>
          <w:lang w:val="en-US" w:eastAsia="zh-CN"/>
        </w:rPr>
      </w:pPr>
    </w:p>
    <w:p w14:paraId="1825912A">
      <w:pPr>
        <w:jc w:val="center"/>
        <w:rPr>
          <w:rFonts w:hint="eastAsia" w:ascii="黑体" w:hAnsi="黑体" w:eastAsia="黑体" w:cs="黑体"/>
          <w:bCs/>
          <w:sz w:val="32"/>
          <w:szCs w:val="32"/>
          <w:lang w:val="en-US" w:eastAsia="zh-CN"/>
        </w:rPr>
      </w:pPr>
    </w:p>
    <w:p w14:paraId="123FF561">
      <w:pPr>
        <w:jc w:val="center"/>
        <w:rPr>
          <w:rFonts w:hint="eastAsia" w:ascii="黑体" w:hAnsi="黑体" w:eastAsia="黑体" w:cs="黑体"/>
          <w:bCs/>
          <w:sz w:val="32"/>
          <w:szCs w:val="32"/>
          <w:lang w:val="en-US" w:eastAsia="zh-CN"/>
        </w:rPr>
      </w:pPr>
    </w:p>
    <w:p w14:paraId="3E865618">
      <w:pPr>
        <w:jc w:val="center"/>
        <w:rPr>
          <w:rFonts w:hint="eastAsia" w:ascii="黑体" w:hAnsi="黑体" w:eastAsia="黑体" w:cs="黑体"/>
          <w:bCs/>
          <w:sz w:val="32"/>
          <w:szCs w:val="32"/>
          <w:lang w:val="en-US" w:eastAsia="zh-CN"/>
        </w:rPr>
      </w:pPr>
    </w:p>
    <w:p w14:paraId="33950FCA">
      <w:pPr>
        <w:jc w:val="center"/>
        <w:rPr>
          <w:rFonts w:hint="eastAsia" w:ascii="黑体" w:hAnsi="黑体" w:eastAsia="黑体" w:cs="黑体"/>
          <w:bCs/>
          <w:sz w:val="32"/>
          <w:szCs w:val="32"/>
          <w:lang w:val="en-US" w:eastAsia="zh-CN"/>
        </w:rPr>
      </w:pPr>
    </w:p>
    <w:p w14:paraId="30CF8EF5">
      <w:pPr>
        <w:jc w:val="center"/>
        <w:rPr>
          <w:rFonts w:hint="eastAsia" w:ascii="黑体" w:hAnsi="黑体" w:eastAsia="黑体" w:cs="黑体"/>
          <w:bCs/>
          <w:sz w:val="32"/>
          <w:szCs w:val="32"/>
          <w:lang w:val="en-US" w:eastAsia="zh-CN"/>
        </w:rPr>
      </w:pPr>
    </w:p>
    <w:p w14:paraId="13BEDF4B">
      <w:pPr>
        <w:jc w:val="center"/>
        <w:rPr>
          <w:rFonts w:hint="eastAsia" w:ascii="黑体" w:hAnsi="黑体" w:eastAsia="黑体" w:cs="黑体"/>
          <w:bCs/>
          <w:sz w:val="32"/>
          <w:szCs w:val="32"/>
          <w:lang w:val="en-US" w:eastAsia="zh-CN"/>
        </w:rPr>
      </w:pPr>
    </w:p>
    <w:p w14:paraId="7614C6F2">
      <w:pPr>
        <w:jc w:val="center"/>
        <w:rPr>
          <w:rFonts w:hint="eastAsia" w:ascii="黑体" w:hAnsi="黑体" w:eastAsia="黑体" w:cs="黑体"/>
          <w:bCs/>
          <w:sz w:val="32"/>
          <w:szCs w:val="32"/>
          <w:lang w:val="en-US" w:eastAsia="zh-CN"/>
        </w:rPr>
        <w:sectPr>
          <w:pgSz w:w="11906" w:h="16838"/>
          <w:pgMar w:top="1440" w:right="1134" w:bottom="1440" w:left="1134" w:header="851" w:footer="992" w:gutter="0"/>
          <w:pgBorders>
            <w:top w:val="none" w:sz="0" w:space="0"/>
            <w:left w:val="none" w:sz="0" w:space="0"/>
            <w:bottom w:val="none" w:sz="0" w:space="0"/>
            <w:right w:val="none" w:sz="0" w:space="0"/>
          </w:pgBorders>
          <w:pgNumType w:fmt="decimal"/>
          <w:cols w:space="720" w:num="1"/>
          <w:rtlGutter w:val="0"/>
          <w:docGrid w:type="lines" w:linePitch="312" w:charSpace="0"/>
        </w:sectPr>
      </w:pPr>
    </w:p>
    <w:p w14:paraId="1C12DC72">
      <w:pPr>
        <w:jc w:val="center"/>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重大节庆及外宣经费</w:t>
      </w:r>
    </w:p>
    <w:p w14:paraId="29F50415">
      <w:pPr>
        <w:jc w:val="center"/>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项目支出绩效评价报告</w:t>
      </w:r>
    </w:p>
    <w:p w14:paraId="7B29B561">
      <w:pPr>
        <w:jc w:val="center"/>
        <w:rPr>
          <w:rFonts w:hint="eastAsia" w:ascii="黑体" w:hAnsi="黑体" w:eastAsia="黑体" w:cs="黑体"/>
          <w:bCs/>
          <w:sz w:val="32"/>
          <w:szCs w:val="32"/>
          <w:lang w:val="en-US" w:eastAsia="zh-CN"/>
        </w:rPr>
      </w:pPr>
    </w:p>
    <w:p w14:paraId="2E03184C">
      <w:pPr>
        <w:spacing w:line="560" w:lineRule="exact"/>
        <w:jc w:val="left"/>
        <w:rPr>
          <w:rFonts w:hint="eastAsia" w:ascii="黑体" w:hAnsi="黑体" w:eastAsia="黑体" w:cs="仿宋"/>
          <w:bCs/>
          <w:sz w:val="28"/>
          <w:szCs w:val="28"/>
          <w:lang w:val="en-US" w:eastAsia="zh-CN"/>
        </w:rPr>
      </w:pPr>
      <w:r>
        <w:rPr>
          <w:rFonts w:hint="eastAsia" w:ascii="黑体" w:hAnsi="黑体" w:eastAsia="黑体" w:cs="仿宋"/>
          <w:bCs/>
          <w:sz w:val="28"/>
          <w:szCs w:val="28"/>
          <w:lang w:val="en-US" w:eastAsia="zh-CN"/>
        </w:rPr>
        <w:t>攀枝花市仁和区财政局：</w:t>
      </w:r>
    </w:p>
    <w:p w14:paraId="27670290">
      <w:pPr>
        <w:spacing w:line="560" w:lineRule="exact"/>
        <w:ind w:firstLine="480" w:firstLineChars="200"/>
        <w:jc w:val="left"/>
        <w:rPr>
          <w:rFonts w:hint="eastAsia" w:ascii="宋体" w:hAnsi="宋体" w:cs="宋体"/>
          <w:bCs/>
          <w:sz w:val="24"/>
          <w:szCs w:val="24"/>
          <w:lang w:val="en-US" w:eastAsia="zh-CN"/>
        </w:rPr>
      </w:pPr>
      <w:r>
        <w:rPr>
          <w:rFonts w:hint="eastAsia" w:ascii="宋体" w:hAnsi="宋体" w:eastAsia="宋体" w:cs="宋体"/>
          <w:bCs/>
          <w:sz w:val="24"/>
          <w:szCs w:val="24"/>
          <w:lang w:val="en-US" w:eastAsia="zh-CN"/>
        </w:rPr>
        <w:t>我们接受委托，对攀枝花市仁和区文化广播电视和旅游局实施的重大节庆及外宣经费项目的财政支出绩效进行评价。项目主管部门提供了与被评价项目财政支出绩效评价相关的财务资料及其他相关资料，上述资料的真实性、完整性、合法性由被评价项目主管部门负责</w:t>
      </w:r>
      <w:r>
        <w:rPr>
          <w:rFonts w:hint="eastAsia" w:ascii="宋体" w:hAnsi="宋体" w:cs="宋体"/>
          <w:bCs/>
          <w:sz w:val="24"/>
          <w:szCs w:val="24"/>
          <w:lang w:val="en-US" w:eastAsia="zh-CN"/>
        </w:rPr>
        <w:t>。</w:t>
      </w:r>
    </w:p>
    <w:p w14:paraId="31258F9F">
      <w:pPr>
        <w:spacing w:line="560" w:lineRule="exact"/>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我们的责任是根据被评价单位提供的上述评价资料，按照《攀枝花市仁和区财政局 关于开展 2025年度财政重点绩效评价工作的通知》(攀仁财〔2025〕54 号)的要求，对被评价项目财政支出绩效进行评价。项目开展“独立、客观、公正”的第三方绩效评价工作，对项目相关人员进行了访谈，通过访谈、专家咨询、现场核查等方式进行了综合分析，现出具以下评价意见：</w:t>
      </w:r>
    </w:p>
    <w:p w14:paraId="56E12A72">
      <w:pPr>
        <w:keepNext w:val="0"/>
        <w:keepLines w:val="0"/>
        <w:pageBreakBefore w:val="0"/>
        <w:widowControl w:val="0"/>
        <w:numPr>
          <w:ilvl w:val="0"/>
          <w:numId w:val="4"/>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eastAsia" w:ascii="Times New Roman" w:hAnsi="Times New Roman" w:eastAsia="宋体" w:cs="Times New Roman"/>
          <w:b/>
          <w:bCs/>
          <w:color w:val="auto"/>
          <w:sz w:val="24"/>
          <w:szCs w:val="24"/>
          <w:highlight w:val="none"/>
          <w:lang w:val="en-US" w:eastAsia="zh-CN"/>
        </w:rPr>
      </w:pPr>
      <w:bookmarkStart w:id="0" w:name="_Toc28543"/>
      <w:bookmarkStart w:id="1" w:name="_Toc9165"/>
      <w:bookmarkStart w:id="2" w:name="_Toc27435"/>
      <w:r>
        <w:rPr>
          <w:rFonts w:hint="eastAsia" w:ascii="Times New Roman" w:hAnsi="Times New Roman" w:eastAsia="宋体" w:cs="Times New Roman"/>
          <w:b/>
          <w:bCs/>
          <w:color w:val="auto"/>
          <w:sz w:val="24"/>
          <w:szCs w:val="24"/>
          <w:highlight w:val="none"/>
          <w:lang w:val="en-US" w:eastAsia="zh-CN"/>
        </w:rPr>
        <w:t>项目基本情况</w:t>
      </w:r>
      <w:bookmarkEnd w:id="0"/>
      <w:bookmarkEnd w:id="1"/>
      <w:bookmarkEnd w:id="2"/>
    </w:p>
    <w:p w14:paraId="11061C54">
      <w:pPr>
        <w:spacing w:line="560" w:lineRule="exact"/>
        <w:ind w:firstLine="480" w:firstLineChars="200"/>
        <w:jc w:val="left"/>
        <w:rPr>
          <w:rFonts w:hint="default" w:ascii="宋体" w:hAnsi="宋体" w:eastAsia="宋体" w:cs="宋体"/>
          <w:bCs/>
          <w:sz w:val="24"/>
          <w:szCs w:val="24"/>
          <w:lang w:val="en-US" w:eastAsia="zh-CN"/>
        </w:rPr>
      </w:pPr>
      <w:r>
        <w:rPr>
          <w:rFonts w:hint="eastAsia" w:ascii="宋体" w:hAnsi="宋体" w:eastAsia="宋体" w:cs="宋体"/>
          <w:bCs/>
          <w:sz w:val="24"/>
          <w:szCs w:val="24"/>
          <w:highlight w:val="none"/>
          <w:lang w:val="en-US" w:eastAsia="zh-CN"/>
        </w:rPr>
        <w:t>根据《攀枝花市仁和区促进文旅产业发展若干措施》</w:t>
      </w:r>
      <w:r>
        <w:rPr>
          <w:rFonts w:hint="eastAsia" w:ascii="宋体" w:hAnsi="宋体" w:cs="宋体"/>
          <w:bCs/>
          <w:sz w:val="24"/>
          <w:szCs w:val="24"/>
          <w:highlight w:val="none"/>
          <w:lang w:val="en-US" w:eastAsia="zh-CN"/>
        </w:rPr>
        <w:t>（</w:t>
      </w:r>
      <w:r>
        <w:rPr>
          <w:rFonts w:hint="eastAsia" w:ascii="宋体" w:hAnsi="宋体" w:eastAsia="宋体" w:cs="宋体"/>
          <w:bCs/>
          <w:sz w:val="24"/>
          <w:szCs w:val="24"/>
          <w:highlight w:val="none"/>
          <w:lang w:val="en-US" w:eastAsia="zh-CN"/>
        </w:rPr>
        <w:t>攀仁文旅产〔2024〕1 号</w:t>
      </w:r>
      <w:r>
        <w:rPr>
          <w:rFonts w:hint="eastAsia" w:ascii="宋体" w:hAnsi="宋体" w:cs="宋体"/>
          <w:bCs/>
          <w:sz w:val="24"/>
          <w:szCs w:val="24"/>
          <w:highlight w:val="none"/>
          <w:lang w:val="en-US" w:eastAsia="zh-CN"/>
        </w:rPr>
        <w:t>）等</w:t>
      </w:r>
      <w:r>
        <w:rPr>
          <w:rFonts w:hint="eastAsia" w:ascii="宋体" w:hAnsi="宋体" w:eastAsia="宋体" w:cs="宋体"/>
          <w:bCs/>
          <w:sz w:val="24"/>
          <w:szCs w:val="24"/>
          <w:highlight w:val="none"/>
          <w:lang w:val="en-US" w:eastAsia="zh-CN"/>
        </w:rPr>
        <w:t>规定，该项目资金主要用于支持文化和旅游高质量发展，引导文旅市场主体提质升级，健康发展。</w:t>
      </w:r>
    </w:p>
    <w:p w14:paraId="4C973965">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eastAsia" w:ascii="Times New Roman" w:hAnsi="Times New Roman" w:eastAsia="宋体" w:cs="Times New Roman"/>
          <w:b/>
          <w:bCs/>
          <w:color w:val="auto"/>
          <w:sz w:val="24"/>
          <w:szCs w:val="24"/>
          <w:highlight w:val="none"/>
          <w:lang w:val="en-US" w:eastAsia="zh-CN"/>
        </w:rPr>
      </w:pPr>
      <w:bookmarkStart w:id="3" w:name="_Toc23698"/>
      <w:bookmarkStart w:id="4" w:name="_Toc8395"/>
      <w:bookmarkStart w:id="5" w:name="_Toc11186"/>
      <w:r>
        <w:rPr>
          <w:rFonts w:hint="eastAsia" w:ascii="Times New Roman" w:hAnsi="Times New Roman" w:eastAsia="宋体" w:cs="Times New Roman"/>
          <w:b/>
          <w:bCs/>
          <w:color w:val="auto"/>
          <w:sz w:val="24"/>
          <w:szCs w:val="24"/>
          <w:highlight w:val="none"/>
          <w:lang w:val="en-US" w:eastAsia="zh-CN"/>
        </w:rPr>
        <w:t>二、评价工作开展情况</w:t>
      </w:r>
      <w:bookmarkEnd w:id="3"/>
      <w:bookmarkEnd w:id="4"/>
      <w:bookmarkEnd w:id="5"/>
    </w:p>
    <w:p w14:paraId="0810A651">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2" w:firstLineChars="200"/>
        <w:textAlignment w:val="auto"/>
        <w:outlineLvl w:val="1"/>
        <w:rPr>
          <w:rFonts w:hint="default" w:ascii="Times New Roman" w:hAnsi="Times New Roman" w:eastAsia="宋体" w:cs="Times New Roman"/>
          <w:b/>
          <w:bCs/>
          <w:color w:val="auto"/>
          <w:sz w:val="24"/>
          <w:szCs w:val="24"/>
          <w:highlight w:val="none"/>
          <w:lang w:val="en-US" w:eastAsia="zh-CN"/>
        </w:rPr>
      </w:pPr>
      <w:bookmarkStart w:id="6" w:name="_Toc1043"/>
      <w:bookmarkStart w:id="7" w:name="_Toc21685"/>
      <w:bookmarkStart w:id="8" w:name="_Toc12555"/>
      <w:r>
        <w:rPr>
          <w:rFonts w:hint="default" w:ascii="Times New Roman" w:hAnsi="Times New Roman" w:eastAsia="宋体" w:cs="Times New Roman"/>
          <w:b/>
          <w:bCs/>
          <w:color w:val="auto"/>
          <w:sz w:val="24"/>
          <w:szCs w:val="24"/>
          <w:highlight w:val="none"/>
          <w:lang w:val="en-US" w:eastAsia="zh-CN"/>
        </w:rPr>
        <w:t>（一）</w:t>
      </w:r>
      <w:r>
        <w:rPr>
          <w:rFonts w:hint="eastAsia" w:ascii="Times New Roman" w:hAnsi="Times New Roman" w:eastAsia="宋体" w:cs="Times New Roman"/>
          <w:b/>
          <w:bCs/>
          <w:color w:val="auto"/>
          <w:sz w:val="24"/>
          <w:szCs w:val="24"/>
          <w:highlight w:val="none"/>
          <w:lang w:val="en-US" w:eastAsia="zh-CN"/>
        </w:rPr>
        <w:t>评价目的</w:t>
      </w:r>
      <w:bookmarkEnd w:id="6"/>
      <w:bookmarkEnd w:id="7"/>
      <w:bookmarkEnd w:id="8"/>
    </w:p>
    <w:p w14:paraId="1E3A9146">
      <w:pPr>
        <w:spacing w:line="560" w:lineRule="exact"/>
        <w:ind w:firstLine="480" w:firstLineChars="200"/>
        <w:jc w:val="left"/>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为落实中央、省预算绩效管理要求，从项目依据、绩效目标、资金管理等方面，全面评价该资金使用的科学性、合理性与有效性，分析问题并</w:t>
      </w:r>
      <w:r>
        <w:rPr>
          <w:rFonts w:hint="eastAsia" w:ascii="宋体" w:hAnsi="宋体" w:cs="宋体"/>
          <w:bCs/>
          <w:sz w:val="24"/>
          <w:szCs w:val="24"/>
          <w:lang w:val="en-US" w:eastAsia="zh-CN"/>
        </w:rPr>
        <w:t>提出</w:t>
      </w:r>
      <w:r>
        <w:rPr>
          <w:rFonts w:hint="default" w:ascii="宋体" w:hAnsi="宋体" w:eastAsia="宋体" w:cs="宋体"/>
          <w:bCs/>
          <w:sz w:val="24"/>
          <w:szCs w:val="24"/>
          <w:lang w:val="en-US" w:eastAsia="zh-CN"/>
        </w:rPr>
        <w:t>建议，为后续资金安排、预算编制提供依据，提升资金效益</w:t>
      </w:r>
      <w:r>
        <w:rPr>
          <w:rFonts w:hint="eastAsia" w:ascii="宋体" w:hAnsi="宋体" w:eastAsia="宋体" w:cs="宋体"/>
          <w:bCs/>
          <w:sz w:val="24"/>
          <w:szCs w:val="24"/>
          <w:lang w:val="en-US" w:eastAsia="zh-CN"/>
        </w:rPr>
        <w:t>。</w:t>
      </w:r>
    </w:p>
    <w:p w14:paraId="328A34C4">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2" w:firstLineChars="200"/>
        <w:textAlignment w:val="auto"/>
        <w:outlineLvl w:val="1"/>
        <w:rPr>
          <w:rFonts w:hint="default" w:ascii="Times New Roman" w:hAnsi="Times New Roman" w:eastAsia="宋体" w:cs="Times New Roman"/>
          <w:b/>
          <w:bCs/>
          <w:color w:val="auto"/>
          <w:sz w:val="24"/>
          <w:szCs w:val="24"/>
          <w:highlight w:val="none"/>
          <w:lang w:val="en-US" w:eastAsia="zh-CN"/>
        </w:rPr>
      </w:pPr>
      <w:bookmarkStart w:id="9" w:name="_Toc9764"/>
      <w:bookmarkStart w:id="10" w:name="_Toc16050"/>
      <w:bookmarkStart w:id="11" w:name="_Toc19093"/>
      <w:r>
        <w:rPr>
          <w:rFonts w:hint="eastAsia" w:ascii="Times New Roman" w:hAnsi="Times New Roman" w:eastAsia="宋体" w:cs="Times New Roman"/>
          <w:b/>
          <w:bCs/>
          <w:color w:val="auto"/>
          <w:sz w:val="24"/>
          <w:szCs w:val="24"/>
          <w:highlight w:val="none"/>
          <w:lang w:val="en-US" w:eastAsia="zh-CN"/>
        </w:rPr>
        <w:t>（二）评价方法</w:t>
      </w:r>
      <w:bookmarkEnd w:id="9"/>
      <w:bookmarkEnd w:id="10"/>
      <w:bookmarkEnd w:id="11"/>
    </w:p>
    <w:p w14:paraId="669F399C">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bookmarkStart w:id="12" w:name="_Toc20121"/>
      <w:r>
        <w:rPr>
          <w:rFonts w:hint="eastAsia" w:ascii="Times New Roman" w:hAnsi="Times New Roman" w:eastAsia="宋体" w:cs="Times New Roman"/>
          <w:b w:val="0"/>
          <w:bCs w:val="0"/>
          <w:color w:val="auto"/>
          <w:sz w:val="24"/>
          <w:szCs w:val="24"/>
          <w:highlight w:val="none"/>
          <w:lang w:val="en-US" w:eastAsia="zh-CN"/>
        </w:rPr>
        <w:t>结合仁和区</w:t>
      </w:r>
      <w:r>
        <w:rPr>
          <w:rFonts w:hint="eastAsia" w:ascii="Times New Roman" w:hAnsi="Times New Roman" w:cs="Times New Roman"/>
          <w:b w:val="0"/>
          <w:bCs w:val="0"/>
          <w:color w:val="auto"/>
          <w:sz w:val="24"/>
          <w:szCs w:val="24"/>
          <w:highlight w:val="none"/>
          <w:lang w:val="en-US" w:eastAsia="zh-CN"/>
        </w:rPr>
        <w:t>文旅局</w:t>
      </w:r>
      <w:r>
        <w:rPr>
          <w:rFonts w:hint="eastAsia" w:ascii="Times New Roman" w:hAnsi="Times New Roman" w:eastAsia="宋体" w:cs="Times New Roman"/>
          <w:b w:val="0"/>
          <w:bCs w:val="0"/>
          <w:color w:val="auto"/>
          <w:sz w:val="24"/>
          <w:szCs w:val="24"/>
          <w:highlight w:val="none"/>
          <w:lang w:val="en-US" w:eastAsia="zh-CN"/>
        </w:rPr>
        <w:t>重大节庆及外宣经费项目的实施特点、绩效目标及评价要求，本次评价遵循科学规范、公正公开原则，采用“定量与定性结合、现场与非现场互补”的综合评价方法。具体结合项目情况阐述如下</w:t>
      </w:r>
      <w:bookmarkEnd w:id="12"/>
      <w:r>
        <w:rPr>
          <w:rFonts w:hint="eastAsia" w:ascii="Times New Roman" w:hAnsi="Times New Roman" w:cs="Times New Roman"/>
          <w:b w:val="0"/>
          <w:bCs w:val="0"/>
          <w:color w:val="auto"/>
          <w:sz w:val="24"/>
          <w:szCs w:val="24"/>
          <w:highlight w:val="none"/>
          <w:lang w:val="en-US" w:eastAsia="zh-CN"/>
        </w:rPr>
        <w:t>：</w:t>
      </w:r>
    </w:p>
    <w:p w14:paraId="7DA2C133">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bookmarkStart w:id="13" w:name="_Toc22540"/>
      <w:r>
        <w:rPr>
          <w:rFonts w:hint="eastAsia" w:ascii="Times New Roman" w:hAnsi="Times New Roman" w:eastAsia="宋体" w:cs="Times New Roman"/>
          <w:b w:val="0"/>
          <w:bCs w:val="0"/>
          <w:color w:val="auto"/>
          <w:sz w:val="24"/>
          <w:szCs w:val="24"/>
          <w:highlight w:val="none"/>
          <w:lang w:val="en-US" w:eastAsia="zh-CN"/>
        </w:rPr>
        <w:t>1. 项目资料查阅法。通过系统查阅政策文件、项目资料，验证项目决策与实施的合规性、目标设定的合理性。</w:t>
      </w:r>
      <w:bookmarkEnd w:id="13"/>
    </w:p>
    <w:p w14:paraId="3AAECE0C">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bookmarkStart w:id="14" w:name="_Toc26353"/>
      <w:r>
        <w:rPr>
          <w:rFonts w:hint="eastAsia" w:ascii="Times New Roman" w:hAnsi="Times New Roman" w:eastAsia="宋体" w:cs="Times New Roman"/>
          <w:b w:val="0"/>
          <w:bCs w:val="0"/>
          <w:color w:val="auto"/>
          <w:sz w:val="24"/>
          <w:szCs w:val="24"/>
          <w:highlight w:val="none"/>
          <w:lang w:val="en-US" w:eastAsia="zh-CN"/>
        </w:rPr>
        <w:t>2.资金凭证现场核验法。核查资金使用凭证，聚焦</w:t>
      </w:r>
      <w:r>
        <w:rPr>
          <w:rFonts w:hint="eastAsia" w:ascii="Times New Roman" w:hAnsi="Times New Roman" w:cs="Times New Roman"/>
          <w:b w:val="0"/>
          <w:bCs w:val="0"/>
          <w:color w:val="auto"/>
          <w:sz w:val="24"/>
          <w:szCs w:val="24"/>
          <w:highlight w:val="none"/>
          <w:lang w:val="en-US" w:eastAsia="zh-CN"/>
        </w:rPr>
        <w:t>重大活动经费</w:t>
      </w:r>
      <w:r>
        <w:rPr>
          <w:rFonts w:hint="eastAsia" w:ascii="Times New Roman" w:hAnsi="Times New Roman" w:eastAsia="宋体" w:cs="Times New Roman"/>
          <w:b w:val="0"/>
          <w:bCs w:val="0"/>
          <w:color w:val="auto"/>
          <w:sz w:val="24"/>
          <w:szCs w:val="24"/>
          <w:highlight w:val="none"/>
          <w:lang w:val="en-US" w:eastAsia="zh-CN"/>
        </w:rPr>
        <w:t>等核心支出的会计凭证、银行转账记录、报销台账，确认资金支付是否有完整审批程序、是否符合预算用途，无截留、挤占、挪用等违规情况。</w:t>
      </w:r>
      <w:bookmarkEnd w:id="14"/>
    </w:p>
    <w:p w14:paraId="54344B6B">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bookmarkStart w:id="15" w:name="_Toc29814"/>
      <w:r>
        <w:rPr>
          <w:rFonts w:hint="eastAsia" w:ascii="Times New Roman" w:hAnsi="Times New Roman" w:eastAsia="宋体" w:cs="Times New Roman"/>
          <w:b w:val="0"/>
          <w:bCs w:val="0"/>
          <w:color w:val="auto"/>
          <w:sz w:val="24"/>
          <w:szCs w:val="24"/>
          <w:highlight w:val="none"/>
          <w:lang w:val="en-US" w:eastAsia="zh-CN"/>
        </w:rPr>
        <w:t>3.数据对比分析法。围绕该项目核心任务与绩效指标，通过对比绩效目标与实际完成值，分析资金使用效率，关联</w:t>
      </w:r>
      <w:r>
        <w:rPr>
          <w:rFonts w:hint="eastAsia" w:ascii="Times New Roman" w:hAnsi="Times New Roman" w:cs="Times New Roman"/>
          <w:b w:val="0"/>
          <w:bCs w:val="0"/>
          <w:color w:val="auto"/>
          <w:sz w:val="24"/>
          <w:szCs w:val="24"/>
          <w:highlight w:val="none"/>
          <w:lang w:val="en-US" w:eastAsia="zh-CN"/>
        </w:rPr>
        <w:t>文旅活动</w:t>
      </w:r>
      <w:r>
        <w:rPr>
          <w:rFonts w:hint="eastAsia" w:ascii="Times New Roman" w:hAnsi="Times New Roman" w:eastAsia="宋体" w:cs="Times New Roman"/>
          <w:b w:val="0"/>
          <w:bCs w:val="0"/>
          <w:color w:val="auto"/>
          <w:sz w:val="24"/>
          <w:szCs w:val="24"/>
          <w:highlight w:val="none"/>
          <w:lang w:val="en-US" w:eastAsia="zh-CN"/>
        </w:rPr>
        <w:t>成果数据等评估项目产出、效益与资金效率。</w:t>
      </w:r>
      <w:bookmarkEnd w:id="15"/>
    </w:p>
    <w:p w14:paraId="65AA3C1D">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bookmarkStart w:id="16" w:name="_Toc10616"/>
      <w:r>
        <w:rPr>
          <w:rFonts w:hint="eastAsia" w:ascii="Times New Roman" w:hAnsi="Times New Roman" w:eastAsia="宋体" w:cs="Times New Roman"/>
          <w:b w:val="0"/>
          <w:bCs w:val="0"/>
          <w:color w:val="auto"/>
          <w:sz w:val="24"/>
          <w:szCs w:val="24"/>
          <w:highlight w:val="none"/>
          <w:lang w:val="en-US" w:eastAsia="zh-CN"/>
        </w:rPr>
        <w:t>4.现场访谈法。围绕绩效目标，工作推进等方面，通过访谈相关部门开展面对面沟通，收集多方反馈，完善评价的全面性与客观性，为后续问题分析提供依据。</w:t>
      </w:r>
      <w:bookmarkEnd w:id="16"/>
    </w:p>
    <w:p w14:paraId="3AE49C37">
      <w:pPr>
        <w:keepNext w:val="0"/>
        <w:keepLines w:val="0"/>
        <w:pageBreakBefore w:val="0"/>
        <w:widowControl w:val="0"/>
        <w:numPr>
          <w:ilvl w:val="0"/>
          <w:numId w:val="5"/>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eastAsia" w:ascii="Times New Roman" w:hAnsi="Times New Roman" w:cs="Times New Roman"/>
          <w:b/>
          <w:bCs/>
          <w:color w:val="auto"/>
          <w:sz w:val="24"/>
          <w:szCs w:val="24"/>
          <w:highlight w:val="none"/>
          <w:lang w:val="en-US" w:eastAsia="zh-CN"/>
        </w:rPr>
      </w:pPr>
      <w:bookmarkStart w:id="17" w:name="_Toc23679"/>
      <w:bookmarkStart w:id="18" w:name="_Toc16163"/>
      <w:bookmarkStart w:id="19" w:name="_Toc18297"/>
      <w:r>
        <w:rPr>
          <w:rFonts w:hint="eastAsia" w:ascii="Times New Roman" w:hAnsi="Times New Roman" w:cs="Times New Roman"/>
          <w:b/>
          <w:bCs/>
          <w:color w:val="auto"/>
          <w:sz w:val="24"/>
          <w:szCs w:val="24"/>
          <w:highlight w:val="none"/>
          <w:lang w:val="en-US" w:eastAsia="zh-CN"/>
        </w:rPr>
        <w:t>评价指标</w:t>
      </w:r>
      <w:bookmarkEnd w:id="17"/>
      <w:bookmarkEnd w:id="18"/>
      <w:bookmarkEnd w:id="19"/>
    </w:p>
    <w:p w14:paraId="721EEB07">
      <w:pPr>
        <w:spacing w:line="560" w:lineRule="exact"/>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依据(攀仁财〔2025〕54 号)附件3项目绩效评价指标体系为基础，采用了项目决策、项目管理、项目实施、项目结果四类通用指标，依据项目类别选取了专用指标-产业发展，并依据项目实际情况设置了区域/行业品牌提及度增长率、重大节庆及外宣活动应急处置预案与记录完备性等个性指标。</w:t>
      </w:r>
    </w:p>
    <w:p w14:paraId="28D5F77D">
      <w:pPr>
        <w:keepNext w:val="0"/>
        <w:keepLines w:val="0"/>
        <w:pageBreakBefore w:val="0"/>
        <w:widowControl w:val="0"/>
        <w:numPr>
          <w:ilvl w:val="0"/>
          <w:numId w:val="5"/>
        </w:numPr>
        <w:kinsoku/>
        <w:wordWrap/>
        <w:overflowPunct/>
        <w:topLinePunct w:val="0"/>
        <w:autoSpaceDE/>
        <w:autoSpaceDN/>
        <w:bidi w:val="0"/>
        <w:adjustRightInd/>
        <w:snapToGrid/>
        <w:spacing w:before="157" w:beforeLines="50" w:line="360" w:lineRule="auto"/>
        <w:ind w:left="0" w:leftChars="0" w:firstLine="482" w:firstLineChars="200"/>
        <w:textAlignment w:val="auto"/>
        <w:outlineLvl w:val="0"/>
        <w:rPr>
          <w:rFonts w:hint="eastAsia" w:ascii="Times New Roman" w:hAnsi="Times New Roman" w:cs="Times New Roman"/>
          <w:b/>
          <w:bCs/>
          <w:color w:val="auto"/>
          <w:sz w:val="24"/>
          <w:szCs w:val="24"/>
          <w:highlight w:val="none"/>
          <w:lang w:val="en-US" w:eastAsia="zh-CN"/>
        </w:rPr>
      </w:pPr>
      <w:bookmarkStart w:id="20" w:name="_Toc24382"/>
      <w:bookmarkStart w:id="21" w:name="_Toc28906"/>
      <w:bookmarkStart w:id="22" w:name="_Toc9253"/>
      <w:r>
        <w:rPr>
          <w:rFonts w:hint="eastAsia" w:ascii="Times New Roman" w:hAnsi="Times New Roman" w:cs="Times New Roman"/>
          <w:b/>
          <w:bCs/>
          <w:color w:val="auto"/>
          <w:sz w:val="24"/>
          <w:szCs w:val="24"/>
          <w:highlight w:val="none"/>
          <w:lang w:val="en-US" w:eastAsia="zh-CN"/>
        </w:rPr>
        <w:t>评价结果与结论</w:t>
      </w:r>
      <w:bookmarkEnd w:id="20"/>
      <w:bookmarkEnd w:id="21"/>
      <w:bookmarkEnd w:id="22"/>
    </w:p>
    <w:p w14:paraId="3330AACA">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0" w:firstLineChars="200"/>
        <w:textAlignment w:val="auto"/>
        <w:outlineLvl w:val="1"/>
        <w:rPr>
          <w:rFonts w:hint="eastAsia" w:ascii="Times New Roman" w:hAnsi="Times New Roman" w:cs="Times New Roman"/>
          <w:b w:val="0"/>
          <w:bCs w:val="0"/>
          <w:color w:val="auto"/>
          <w:sz w:val="24"/>
          <w:szCs w:val="24"/>
          <w:highlight w:val="none"/>
          <w:lang w:val="en-US" w:eastAsia="zh-CN"/>
        </w:rPr>
      </w:pPr>
      <w:bookmarkStart w:id="23" w:name="_Toc8008"/>
      <w:bookmarkStart w:id="24" w:name="_Toc9960"/>
      <w:bookmarkStart w:id="25" w:name="_Toc23177"/>
      <w:r>
        <w:rPr>
          <w:rFonts w:hint="eastAsia" w:ascii="Times New Roman" w:hAnsi="Times New Roman" w:cs="Times New Roman"/>
          <w:b w:val="0"/>
          <w:bCs w:val="0"/>
          <w:color w:val="auto"/>
          <w:sz w:val="24"/>
          <w:szCs w:val="24"/>
          <w:highlight w:val="none"/>
          <w:lang w:val="en-US" w:eastAsia="zh-CN"/>
        </w:rPr>
        <w:t>总体而言，项目实施取得了多维度积极成效：一是决策导向精准，项目以打造区域文旅品牌、激活文旅经济为核心目标，紧扣区委、区政府文旅</w:t>
      </w:r>
      <w:r>
        <w:rPr>
          <w:rFonts w:hint="eastAsia" w:ascii="Times New Roman" w:hAnsi="Times New Roman" w:cs="Times New Roman"/>
          <w:b w:val="0"/>
          <w:bCs w:val="0"/>
          <w:color w:val="auto"/>
          <w:sz w:val="24"/>
          <w:szCs w:val="24"/>
          <w:highlight w:val="none"/>
          <w:lang w:val="en-US" w:eastAsia="zh-CN"/>
        </w:rPr>
        <w:t>产业培育政策及仁和区全域旅游发展规划，设立依据充分，资金投向聚焦节庆活动举办、城市推介、品牌创建等核心任务，与地方文旅发展需求高度契合。二是综合效益显著，通过打造迤沙拉“姊妹节”“火把节”等节庆 IP，依托新华社四川频道等主流媒体矩阵形成立体传播，相关报道累计浏览量超50万人次，节庆活动直接带动当地民宿入住率的提升，文旅综合消费持续升温。</w:t>
      </w:r>
    </w:p>
    <w:p w14:paraId="0388238D">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0" w:firstLineChars="200"/>
        <w:textAlignment w:val="auto"/>
        <w:outlineLvl w:val="1"/>
        <w:rPr>
          <w:rFonts w:hint="eastAsia" w:ascii="Times New Roman" w:hAnsi="Times New Roman" w:cs="Times New Roman"/>
          <w:b w:val="0"/>
          <w:bCs w:val="0"/>
          <w:color w:val="auto"/>
          <w:sz w:val="24"/>
          <w:szCs w:val="24"/>
          <w:highlight w:val="none"/>
          <w:lang w:val="en-US" w:eastAsia="zh-CN"/>
        </w:rPr>
      </w:pPr>
      <w:r>
        <w:rPr>
          <w:rFonts w:hint="eastAsia" w:ascii="Times New Roman" w:hAnsi="Times New Roman" w:cs="Times New Roman"/>
          <w:b w:val="0"/>
          <w:bCs w:val="0"/>
          <w:color w:val="auto"/>
          <w:sz w:val="24"/>
          <w:szCs w:val="24"/>
          <w:highlight w:val="none"/>
          <w:lang w:val="en-US" w:eastAsia="zh-CN"/>
        </w:rPr>
        <w:t>同时，评价也发现项目存在两类突出问题：一是企业成长性赋能存在短板，项目虽落实 “扶持旅行社发展”任务，但仅少数旅行社通过城市推介获得曝光，多数本地中小微旅行社未实现业务量与经营规模的预期增长，未充分体现扶持成效。二是应急管理自主化不足，项目在活动应急保障中过度依赖公安、消防等参与单位，虽明确了多部门联动职责，但作为实施主体的区文广旅局未独立完成应急预案的归档留存，应急处置相关资料管理的自主性与完备性不足。</w:t>
      </w:r>
    </w:p>
    <w:p w14:paraId="43414CE0">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0" w:firstLineChars="200"/>
        <w:textAlignment w:val="auto"/>
        <w:outlineLvl w:val="1"/>
        <w:rPr>
          <w:rFonts w:hint="eastAsia" w:ascii="Times New Roman" w:hAnsi="Times New Roman" w:cs="Times New Roman"/>
          <w:b w:val="0"/>
          <w:bCs w:val="0"/>
          <w:color w:val="auto"/>
          <w:sz w:val="24"/>
          <w:szCs w:val="24"/>
          <w:highlight w:val="none"/>
          <w:lang w:val="en-US" w:eastAsia="zh-CN"/>
        </w:rPr>
      </w:pPr>
      <w:r>
        <w:rPr>
          <w:rFonts w:hint="eastAsia" w:ascii="Times New Roman" w:hAnsi="Times New Roman" w:cs="Times New Roman"/>
          <w:b w:val="0"/>
          <w:bCs w:val="0"/>
          <w:color w:val="auto"/>
          <w:sz w:val="24"/>
          <w:szCs w:val="24"/>
          <w:highlight w:val="none"/>
          <w:lang w:val="en-US" w:eastAsia="zh-CN"/>
        </w:rPr>
        <w:t>绩效评价组对《重大节庆及外宣经费项目》进行综合评价，最终评分得分为86分，绩效评价结果定级为“良”。具体得分情况如下表所示：</w:t>
      </w:r>
    </w:p>
    <w:bookmarkEnd w:id="23"/>
    <w:bookmarkEnd w:id="24"/>
    <w:bookmarkEnd w:id="25"/>
    <w:p w14:paraId="7060371B">
      <w:pPr>
        <w:spacing w:before="14" w:line="219" w:lineRule="auto"/>
        <w:jc w:val="center"/>
        <w:rPr>
          <w:rFonts w:ascii="宋体" w:hAnsi="宋体" w:eastAsia="宋体" w:cs="宋体"/>
          <w:b/>
          <w:bCs/>
          <w:spacing w:val="-25"/>
          <w:sz w:val="30"/>
          <w:szCs w:val="30"/>
        </w:rPr>
      </w:pPr>
      <w:r>
        <w:rPr>
          <w:rFonts w:ascii="宋体" w:hAnsi="宋体" w:eastAsia="宋体" w:cs="宋体"/>
          <w:b/>
          <w:bCs/>
          <w:spacing w:val="-25"/>
          <w:sz w:val="30"/>
          <w:szCs w:val="30"/>
        </w:rPr>
        <w:t>表1</w:t>
      </w:r>
      <w:r>
        <w:rPr>
          <w:rFonts w:hint="eastAsia" w:ascii="宋体" w:hAnsi="宋体" w:eastAsia="宋体" w:cs="宋体"/>
          <w:b/>
          <w:bCs/>
          <w:spacing w:val="-25"/>
          <w:sz w:val="30"/>
          <w:szCs w:val="30"/>
        </w:rPr>
        <w:t>重大节庆及外宣经费项目</w:t>
      </w:r>
    </w:p>
    <w:p w14:paraId="370A6EA6">
      <w:pPr>
        <w:spacing w:before="14" w:line="219" w:lineRule="auto"/>
        <w:jc w:val="center"/>
        <w:rPr>
          <w:rFonts w:ascii="宋体" w:hAnsi="宋体" w:eastAsia="宋体" w:cs="宋体"/>
          <w:sz w:val="27"/>
          <w:szCs w:val="27"/>
        </w:rPr>
      </w:pPr>
      <w:r>
        <w:rPr>
          <w:rFonts w:ascii="宋体" w:hAnsi="宋体" w:eastAsia="宋体" w:cs="宋体"/>
          <w:b/>
          <w:bCs/>
          <w:spacing w:val="-25"/>
          <w:sz w:val="30"/>
          <w:szCs w:val="30"/>
        </w:rPr>
        <w:t>绩效评价指标体系</w:t>
      </w:r>
    </w:p>
    <w:tbl>
      <w:tblPr>
        <w:tblStyle w:val="13"/>
        <w:tblW w:w="9839" w:type="dxa"/>
        <w:tblInd w:w="7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6"/>
        <w:gridCol w:w="2133"/>
        <w:gridCol w:w="2645"/>
        <w:gridCol w:w="1768"/>
        <w:gridCol w:w="1737"/>
      </w:tblGrid>
      <w:tr w14:paraId="0602E5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6334" w:type="dxa"/>
            <w:gridSpan w:val="3"/>
            <w:noWrap w:val="0"/>
            <w:vAlign w:val="top"/>
          </w:tcPr>
          <w:p w14:paraId="7F6D51C7">
            <w:pPr>
              <w:pStyle w:val="14"/>
              <w:spacing w:before="193" w:line="219" w:lineRule="auto"/>
              <w:ind w:left="2351"/>
              <w:rPr>
                <w:highlight w:val="none"/>
              </w:rPr>
            </w:pPr>
            <w:r>
              <w:rPr>
                <w:spacing w:val="-2"/>
                <w:highlight w:val="none"/>
              </w:rPr>
              <w:t>分层分类指标</w:t>
            </w:r>
          </w:p>
        </w:tc>
        <w:tc>
          <w:tcPr>
            <w:tcW w:w="1768" w:type="dxa"/>
            <w:vMerge w:val="restart"/>
            <w:noWrap w:val="0"/>
            <w:vAlign w:val="top"/>
          </w:tcPr>
          <w:p w14:paraId="7A3303BC">
            <w:pPr>
              <w:pStyle w:val="14"/>
              <w:spacing w:before="65" w:line="219" w:lineRule="auto"/>
              <w:jc w:val="center"/>
              <w:rPr>
                <w:rFonts w:hint="eastAsia"/>
                <w:spacing w:val="-3"/>
                <w:highlight w:val="none"/>
              </w:rPr>
            </w:pPr>
          </w:p>
          <w:p w14:paraId="22A799AB">
            <w:pPr>
              <w:pStyle w:val="14"/>
              <w:spacing w:before="65" w:line="219" w:lineRule="auto"/>
              <w:jc w:val="center"/>
              <w:rPr>
                <w:spacing w:val="-3"/>
                <w:highlight w:val="none"/>
              </w:rPr>
            </w:pPr>
            <w:r>
              <w:rPr>
                <w:rFonts w:hint="eastAsia"/>
                <w:spacing w:val="-3"/>
                <w:highlight w:val="none"/>
              </w:rPr>
              <w:t>指标分值</w:t>
            </w:r>
          </w:p>
        </w:tc>
        <w:tc>
          <w:tcPr>
            <w:tcW w:w="1737" w:type="dxa"/>
            <w:vMerge w:val="restart"/>
            <w:tcBorders>
              <w:bottom w:val="nil"/>
            </w:tcBorders>
            <w:noWrap w:val="0"/>
            <w:vAlign w:val="top"/>
          </w:tcPr>
          <w:p w14:paraId="405E1079">
            <w:pPr>
              <w:pStyle w:val="14"/>
              <w:spacing w:before="65" w:line="219" w:lineRule="auto"/>
              <w:jc w:val="both"/>
              <w:rPr>
                <w:spacing w:val="-3"/>
                <w:highlight w:val="none"/>
              </w:rPr>
            </w:pPr>
          </w:p>
          <w:p w14:paraId="757A78BC">
            <w:pPr>
              <w:pStyle w:val="14"/>
              <w:spacing w:before="65" w:line="219" w:lineRule="auto"/>
              <w:jc w:val="center"/>
              <w:rPr>
                <w:highlight w:val="none"/>
              </w:rPr>
            </w:pPr>
            <w:r>
              <w:rPr>
                <w:spacing w:val="-3"/>
                <w:highlight w:val="none"/>
              </w:rPr>
              <w:t>得分</w:t>
            </w:r>
          </w:p>
        </w:tc>
      </w:tr>
      <w:tr w14:paraId="43211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1556" w:type="dxa"/>
            <w:noWrap w:val="0"/>
            <w:vAlign w:val="top"/>
          </w:tcPr>
          <w:p w14:paraId="70E5FF21">
            <w:pPr>
              <w:pStyle w:val="14"/>
              <w:spacing w:before="189" w:line="219" w:lineRule="auto"/>
              <w:jc w:val="center"/>
              <w:rPr>
                <w:highlight w:val="none"/>
              </w:rPr>
            </w:pPr>
            <w:r>
              <w:rPr>
                <w:rFonts w:hint="eastAsia"/>
                <w:spacing w:val="-2"/>
                <w:highlight w:val="none"/>
                <w:lang w:val="en-US" w:eastAsia="zh-CN"/>
              </w:rPr>
              <w:t>一级</w:t>
            </w:r>
            <w:r>
              <w:rPr>
                <w:spacing w:val="-2"/>
                <w:highlight w:val="none"/>
              </w:rPr>
              <w:t>指标</w:t>
            </w:r>
          </w:p>
        </w:tc>
        <w:tc>
          <w:tcPr>
            <w:tcW w:w="2133" w:type="dxa"/>
            <w:noWrap w:val="0"/>
            <w:vAlign w:val="top"/>
          </w:tcPr>
          <w:p w14:paraId="555BCFDF">
            <w:pPr>
              <w:pStyle w:val="14"/>
              <w:spacing w:before="189" w:line="220" w:lineRule="auto"/>
              <w:jc w:val="center"/>
              <w:rPr>
                <w:highlight w:val="none"/>
              </w:rPr>
            </w:pPr>
            <w:r>
              <w:rPr>
                <w:rFonts w:hint="eastAsia"/>
                <w:spacing w:val="-3"/>
                <w:highlight w:val="none"/>
                <w:lang w:val="en-US" w:eastAsia="zh-CN"/>
              </w:rPr>
              <w:t>二</w:t>
            </w:r>
            <w:r>
              <w:rPr>
                <w:spacing w:val="-3"/>
                <w:highlight w:val="none"/>
              </w:rPr>
              <w:t>级指标</w:t>
            </w:r>
          </w:p>
        </w:tc>
        <w:tc>
          <w:tcPr>
            <w:tcW w:w="2645" w:type="dxa"/>
            <w:noWrap w:val="0"/>
            <w:vAlign w:val="top"/>
          </w:tcPr>
          <w:p w14:paraId="1DE2F97B">
            <w:pPr>
              <w:pStyle w:val="14"/>
              <w:spacing w:before="189" w:line="220" w:lineRule="auto"/>
              <w:ind w:left="1053"/>
              <w:rPr>
                <w:highlight w:val="none"/>
              </w:rPr>
            </w:pPr>
            <w:r>
              <w:rPr>
                <w:rFonts w:hint="eastAsia"/>
                <w:spacing w:val="-3"/>
                <w:highlight w:val="none"/>
                <w:lang w:val="en-US" w:eastAsia="zh-CN"/>
              </w:rPr>
              <w:t>三</w:t>
            </w:r>
            <w:r>
              <w:rPr>
                <w:spacing w:val="-3"/>
                <w:highlight w:val="none"/>
              </w:rPr>
              <w:t>级指标</w:t>
            </w:r>
          </w:p>
        </w:tc>
        <w:tc>
          <w:tcPr>
            <w:tcW w:w="1768" w:type="dxa"/>
            <w:vMerge w:val="continue"/>
            <w:noWrap w:val="0"/>
            <w:vAlign w:val="top"/>
          </w:tcPr>
          <w:p w14:paraId="1E98FDB8">
            <w:pPr>
              <w:jc w:val="center"/>
              <w:rPr>
                <w:rFonts w:ascii="Arial"/>
                <w:sz w:val="21"/>
                <w:highlight w:val="none"/>
              </w:rPr>
            </w:pPr>
          </w:p>
        </w:tc>
        <w:tc>
          <w:tcPr>
            <w:tcW w:w="1737" w:type="dxa"/>
            <w:vMerge w:val="continue"/>
            <w:tcBorders>
              <w:top w:val="nil"/>
            </w:tcBorders>
            <w:noWrap w:val="0"/>
            <w:vAlign w:val="top"/>
          </w:tcPr>
          <w:p w14:paraId="1728C4C3">
            <w:pPr>
              <w:jc w:val="center"/>
              <w:rPr>
                <w:rFonts w:ascii="Arial"/>
                <w:sz w:val="21"/>
                <w:highlight w:val="none"/>
              </w:rPr>
            </w:pPr>
          </w:p>
        </w:tc>
      </w:tr>
      <w:tr w14:paraId="48FCE5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6" w:type="dxa"/>
            <w:vMerge w:val="restart"/>
            <w:noWrap w:val="0"/>
            <w:vAlign w:val="top"/>
          </w:tcPr>
          <w:p w14:paraId="50FAF2B0">
            <w:pPr>
              <w:pStyle w:val="14"/>
              <w:spacing w:before="226" w:line="220" w:lineRule="auto"/>
              <w:ind w:left="130"/>
              <w:jc w:val="center"/>
              <w:rPr>
                <w:spacing w:val="-2"/>
                <w:highlight w:val="none"/>
              </w:rPr>
            </w:pPr>
          </w:p>
          <w:p w14:paraId="15FFDD5E">
            <w:pPr>
              <w:pStyle w:val="14"/>
              <w:spacing w:before="226" w:line="220" w:lineRule="auto"/>
              <w:ind w:left="130"/>
              <w:jc w:val="center"/>
              <w:rPr>
                <w:spacing w:val="-2"/>
                <w:highlight w:val="none"/>
              </w:rPr>
            </w:pPr>
          </w:p>
          <w:p w14:paraId="2F988CBE">
            <w:pPr>
              <w:pStyle w:val="14"/>
              <w:spacing w:before="226" w:line="220" w:lineRule="auto"/>
              <w:ind w:left="130"/>
              <w:jc w:val="center"/>
              <w:rPr>
                <w:spacing w:val="-2"/>
                <w:highlight w:val="none"/>
              </w:rPr>
            </w:pPr>
          </w:p>
          <w:p w14:paraId="1FCA996E">
            <w:pPr>
              <w:pStyle w:val="14"/>
              <w:spacing w:before="226" w:line="220" w:lineRule="auto"/>
              <w:ind w:left="130"/>
              <w:jc w:val="center"/>
              <w:rPr>
                <w:spacing w:val="-2"/>
                <w:highlight w:val="none"/>
              </w:rPr>
            </w:pPr>
          </w:p>
          <w:p w14:paraId="460E3EE8">
            <w:pPr>
              <w:pStyle w:val="14"/>
              <w:spacing w:before="226" w:line="220" w:lineRule="auto"/>
              <w:ind w:left="130"/>
              <w:jc w:val="center"/>
              <w:rPr>
                <w:highlight w:val="none"/>
              </w:rPr>
            </w:pPr>
            <w:r>
              <w:rPr>
                <w:spacing w:val="-2"/>
                <w:highlight w:val="none"/>
              </w:rPr>
              <w:t>通用指标</w:t>
            </w:r>
          </w:p>
        </w:tc>
        <w:tc>
          <w:tcPr>
            <w:tcW w:w="2133" w:type="dxa"/>
            <w:vMerge w:val="restart"/>
            <w:tcBorders>
              <w:bottom w:val="nil"/>
            </w:tcBorders>
            <w:noWrap w:val="0"/>
            <w:vAlign w:val="top"/>
          </w:tcPr>
          <w:p w14:paraId="2C95D16B">
            <w:pPr>
              <w:pStyle w:val="14"/>
              <w:spacing w:before="65" w:line="219" w:lineRule="auto"/>
              <w:jc w:val="center"/>
              <w:rPr>
                <w:spacing w:val="-3"/>
                <w:highlight w:val="none"/>
              </w:rPr>
            </w:pPr>
          </w:p>
          <w:p w14:paraId="1837A122">
            <w:pPr>
              <w:pStyle w:val="14"/>
              <w:spacing w:before="65" w:line="219" w:lineRule="auto"/>
              <w:jc w:val="center"/>
              <w:rPr>
                <w:spacing w:val="-3"/>
                <w:highlight w:val="none"/>
              </w:rPr>
            </w:pPr>
          </w:p>
          <w:p w14:paraId="653D297A">
            <w:pPr>
              <w:pStyle w:val="14"/>
              <w:spacing w:before="65" w:line="219" w:lineRule="auto"/>
              <w:jc w:val="center"/>
              <w:rPr>
                <w:highlight w:val="none"/>
              </w:rPr>
            </w:pPr>
            <w:r>
              <w:rPr>
                <w:spacing w:val="-3"/>
                <w:highlight w:val="none"/>
              </w:rPr>
              <w:t>项目决策</w:t>
            </w:r>
          </w:p>
        </w:tc>
        <w:tc>
          <w:tcPr>
            <w:tcW w:w="2645" w:type="dxa"/>
            <w:noWrap w:val="0"/>
            <w:vAlign w:val="top"/>
          </w:tcPr>
          <w:p w14:paraId="6F09F09D">
            <w:pPr>
              <w:pStyle w:val="14"/>
              <w:spacing w:before="170" w:line="219" w:lineRule="auto"/>
              <w:ind w:left="1053"/>
              <w:rPr>
                <w:highlight w:val="none"/>
              </w:rPr>
            </w:pPr>
            <w:r>
              <w:rPr>
                <w:spacing w:val="2"/>
                <w:highlight w:val="none"/>
              </w:rPr>
              <w:t>决策程序</w:t>
            </w:r>
          </w:p>
        </w:tc>
        <w:tc>
          <w:tcPr>
            <w:tcW w:w="1768" w:type="dxa"/>
            <w:noWrap w:val="0"/>
            <w:vAlign w:val="top"/>
          </w:tcPr>
          <w:p w14:paraId="19F1F3AF">
            <w:pPr>
              <w:pStyle w:val="14"/>
              <w:spacing w:before="189"/>
              <w:jc w:val="center"/>
              <w:rPr>
                <w:rFonts w:hint="eastAsia"/>
                <w:highlight w:val="none"/>
                <w:lang w:val="en-US" w:eastAsia="zh-CN"/>
              </w:rPr>
            </w:pPr>
            <w:r>
              <w:rPr>
                <w:spacing w:val="-3"/>
                <w:highlight w:val="none"/>
              </w:rPr>
              <w:t>6</w:t>
            </w:r>
          </w:p>
        </w:tc>
        <w:tc>
          <w:tcPr>
            <w:tcW w:w="1737" w:type="dxa"/>
            <w:noWrap w:val="0"/>
            <w:vAlign w:val="top"/>
          </w:tcPr>
          <w:p w14:paraId="399BB144">
            <w:pPr>
              <w:pStyle w:val="14"/>
              <w:spacing w:before="189"/>
              <w:jc w:val="center"/>
              <w:rPr>
                <w:rFonts w:hint="eastAsia" w:eastAsia="宋体"/>
                <w:highlight w:val="none"/>
                <w:lang w:val="en-US" w:eastAsia="zh-CN"/>
              </w:rPr>
            </w:pPr>
            <w:r>
              <w:rPr>
                <w:rFonts w:hint="eastAsia"/>
                <w:highlight w:val="none"/>
                <w:lang w:val="en-US" w:eastAsia="zh-CN"/>
              </w:rPr>
              <w:t>6</w:t>
            </w:r>
          </w:p>
        </w:tc>
      </w:tr>
      <w:tr w14:paraId="6CBAB0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6" w:type="dxa"/>
            <w:vMerge w:val="continue"/>
            <w:noWrap w:val="0"/>
            <w:vAlign w:val="top"/>
          </w:tcPr>
          <w:p w14:paraId="02B71FAB">
            <w:pPr>
              <w:jc w:val="center"/>
              <w:rPr>
                <w:rFonts w:ascii="Arial"/>
                <w:sz w:val="21"/>
                <w:highlight w:val="none"/>
              </w:rPr>
            </w:pPr>
          </w:p>
        </w:tc>
        <w:tc>
          <w:tcPr>
            <w:tcW w:w="2133" w:type="dxa"/>
            <w:vMerge w:val="continue"/>
            <w:tcBorders>
              <w:top w:val="nil"/>
              <w:bottom w:val="nil"/>
            </w:tcBorders>
            <w:noWrap w:val="0"/>
            <w:vAlign w:val="top"/>
          </w:tcPr>
          <w:p w14:paraId="362C06D3">
            <w:pPr>
              <w:jc w:val="center"/>
              <w:rPr>
                <w:rFonts w:ascii="Arial"/>
                <w:sz w:val="21"/>
                <w:highlight w:val="none"/>
              </w:rPr>
            </w:pPr>
          </w:p>
        </w:tc>
        <w:tc>
          <w:tcPr>
            <w:tcW w:w="2645" w:type="dxa"/>
            <w:noWrap w:val="0"/>
            <w:vAlign w:val="top"/>
          </w:tcPr>
          <w:p w14:paraId="77ADE026">
            <w:pPr>
              <w:pStyle w:val="14"/>
              <w:spacing w:before="173" w:line="221" w:lineRule="auto"/>
              <w:ind w:left="1053"/>
              <w:rPr>
                <w:highlight w:val="none"/>
              </w:rPr>
            </w:pPr>
            <w:r>
              <w:rPr>
                <w:rFonts w:hint="eastAsia"/>
                <w:spacing w:val="-2"/>
                <w:highlight w:val="none"/>
              </w:rPr>
              <w:t>规划论证</w:t>
            </w:r>
          </w:p>
        </w:tc>
        <w:tc>
          <w:tcPr>
            <w:tcW w:w="1768" w:type="dxa"/>
            <w:noWrap w:val="0"/>
            <w:vAlign w:val="top"/>
          </w:tcPr>
          <w:p w14:paraId="1A1C618A">
            <w:pPr>
              <w:pStyle w:val="14"/>
              <w:spacing w:before="190"/>
              <w:jc w:val="center"/>
              <w:rPr>
                <w:rFonts w:hint="eastAsia"/>
                <w:highlight w:val="none"/>
                <w:lang w:val="en-US" w:eastAsia="zh-CN"/>
              </w:rPr>
            </w:pPr>
            <w:r>
              <w:rPr>
                <w:spacing w:val="-3"/>
                <w:highlight w:val="none"/>
              </w:rPr>
              <w:t>6</w:t>
            </w:r>
          </w:p>
        </w:tc>
        <w:tc>
          <w:tcPr>
            <w:tcW w:w="1737" w:type="dxa"/>
            <w:noWrap w:val="0"/>
            <w:vAlign w:val="top"/>
          </w:tcPr>
          <w:p w14:paraId="07D9DDF4">
            <w:pPr>
              <w:pStyle w:val="14"/>
              <w:spacing w:before="190"/>
              <w:jc w:val="center"/>
              <w:rPr>
                <w:rFonts w:hint="eastAsia" w:eastAsia="宋体"/>
                <w:highlight w:val="none"/>
                <w:lang w:val="en-US" w:eastAsia="zh-CN"/>
              </w:rPr>
            </w:pPr>
            <w:r>
              <w:rPr>
                <w:rFonts w:hint="eastAsia"/>
                <w:highlight w:val="none"/>
                <w:lang w:val="en-US" w:eastAsia="zh-CN"/>
              </w:rPr>
              <w:t>6</w:t>
            </w:r>
          </w:p>
        </w:tc>
      </w:tr>
      <w:tr w14:paraId="2EB8E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6" w:type="dxa"/>
            <w:vMerge w:val="continue"/>
            <w:noWrap w:val="0"/>
            <w:vAlign w:val="top"/>
          </w:tcPr>
          <w:p w14:paraId="68DA0546">
            <w:pPr>
              <w:jc w:val="center"/>
              <w:rPr>
                <w:rFonts w:ascii="Arial"/>
                <w:sz w:val="21"/>
                <w:highlight w:val="none"/>
              </w:rPr>
            </w:pPr>
          </w:p>
        </w:tc>
        <w:tc>
          <w:tcPr>
            <w:tcW w:w="2133" w:type="dxa"/>
            <w:vMerge w:val="continue"/>
            <w:tcBorders>
              <w:top w:val="nil"/>
            </w:tcBorders>
            <w:noWrap w:val="0"/>
            <w:vAlign w:val="top"/>
          </w:tcPr>
          <w:p w14:paraId="41F24623">
            <w:pPr>
              <w:jc w:val="center"/>
              <w:rPr>
                <w:rFonts w:ascii="Arial"/>
                <w:sz w:val="21"/>
                <w:highlight w:val="none"/>
              </w:rPr>
            </w:pPr>
          </w:p>
        </w:tc>
        <w:tc>
          <w:tcPr>
            <w:tcW w:w="2645" w:type="dxa"/>
            <w:noWrap w:val="0"/>
            <w:vAlign w:val="top"/>
          </w:tcPr>
          <w:p w14:paraId="1D5144A2">
            <w:pPr>
              <w:pStyle w:val="14"/>
              <w:spacing w:before="172" w:line="220" w:lineRule="auto"/>
              <w:ind w:left="1053"/>
              <w:rPr>
                <w:highlight w:val="none"/>
              </w:rPr>
            </w:pPr>
            <w:r>
              <w:rPr>
                <w:spacing w:val="5"/>
                <w:highlight w:val="none"/>
              </w:rPr>
              <w:t>资金投向</w:t>
            </w:r>
          </w:p>
        </w:tc>
        <w:tc>
          <w:tcPr>
            <w:tcW w:w="1768" w:type="dxa"/>
            <w:noWrap w:val="0"/>
            <w:vAlign w:val="top"/>
          </w:tcPr>
          <w:p w14:paraId="7AEDB234">
            <w:pPr>
              <w:pStyle w:val="14"/>
              <w:spacing w:before="191"/>
              <w:jc w:val="center"/>
              <w:rPr>
                <w:rFonts w:hint="eastAsia"/>
                <w:highlight w:val="none"/>
                <w:lang w:val="en-US" w:eastAsia="zh-CN"/>
              </w:rPr>
            </w:pPr>
            <w:r>
              <w:rPr>
                <w:spacing w:val="-3"/>
                <w:highlight w:val="none"/>
              </w:rPr>
              <w:t>6</w:t>
            </w:r>
          </w:p>
        </w:tc>
        <w:tc>
          <w:tcPr>
            <w:tcW w:w="1737" w:type="dxa"/>
            <w:noWrap w:val="0"/>
            <w:vAlign w:val="top"/>
          </w:tcPr>
          <w:p w14:paraId="4396E380">
            <w:pPr>
              <w:pStyle w:val="14"/>
              <w:spacing w:before="191"/>
              <w:jc w:val="center"/>
              <w:rPr>
                <w:rFonts w:hint="eastAsia" w:eastAsia="宋体"/>
                <w:highlight w:val="none"/>
                <w:lang w:val="en-US" w:eastAsia="zh-CN"/>
              </w:rPr>
            </w:pPr>
            <w:r>
              <w:rPr>
                <w:rFonts w:hint="eastAsia"/>
                <w:highlight w:val="none"/>
                <w:lang w:val="en-US" w:eastAsia="zh-CN"/>
              </w:rPr>
              <w:t>6</w:t>
            </w:r>
          </w:p>
        </w:tc>
      </w:tr>
      <w:tr w14:paraId="628277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6" w:type="dxa"/>
            <w:vMerge w:val="continue"/>
            <w:noWrap w:val="0"/>
            <w:vAlign w:val="top"/>
          </w:tcPr>
          <w:p w14:paraId="482CE004">
            <w:pPr>
              <w:jc w:val="center"/>
              <w:rPr>
                <w:rFonts w:ascii="Arial"/>
                <w:sz w:val="21"/>
                <w:highlight w:val="yellow"/>
              </w:rPr>
            </w:pPr>
          </w:p>
        </w:tc>
        <w:tc>
          <w:tcPr>
            <w:tcW w:w="2133" w:type="dxa"/>
            <w:vMerge w:val="restart"/>
            <w:tcBorders>
              <w:bottom w:val="nil"/>
            </w:tcBorders>
            <w:noWrap w:val="0"/>
            <w:vAlign w:val="top"/>
          </w:tcPr>
          <w:p w14:paraId="3AE8D6A4">
            <w:pPr>
              <w:pStyle w:val="14"/>
              <w:spacing w:before="65" w:line="219" w:lineRule="auto"/>
              <w:jc w:val="center"/>
              <w:rPr>
                <w:spacing w:val="-3"/>
                <w:highlight w:val="none"/>
              </w:rPr>
            </w:pPr>
          </w:p>
          <w:p w14:paraId="54C601A0">
            <w:pPr>
              <w:pStyle w:val="14"/>
              <w:spacing w:before="65" w:line="219" w:lineRule="auto"/>
              <w:jc w:val="center"/>
              <w:rPr>
                <w:spacing w:val="-3"/>
                <w:highlight w:val="none"/>
              </w:rPr>
            </w:pPr>
          </w:p>
          <w:p w14:paraId="4A4FAAB6">
            <w:pPr>
              <w:pStyle w:val="14"/>
              <w:spacing w:before="65" w:line="219" w:lineRule="auto"/>
              <w:jc w:val="center"/>
              <w:rPr>
                <w:highlight w:val="none"/>
              </w:rPr>
            </w:pPr>
            <w:r>
              <w:rPr>
                <w:spacing w:val="-3"/>
                <w:highlight w:val="none"/>
              </w:rPr>
              <w:t>项目管理</w:t>
            </w:r>
          </w:p>
        </w:tc>
        <w:tc>
          <w:tcPr>
            <w:tcW w:w="2645" w:type="dxa"/>
            <w:noWrap w:val="0"/>
            <w:vAlign w:val="top"/>
          </w:tcPr>
          <w:p w14:paraId="16770BF4">
            <w:pPr>
              <w:pStyle w:val="14"/>
              <w:spacing w:before="173" w:line="219" w:lineRule="auto"/>
              <w:ind w:left="1053"/>
              <w:rPr>
                <w:highlight w:val="none"/>
              </w:rPr>
            </w:pPr>
            <w:r>
              <w:rPr>
                <w:spacing w:val="-2"/>
                <w:highlight w:val="none"/>
              </w:rPr>
              <w:t>制度办法</w:t>
            </w:r>
          </w:p>
        </w:tc>
        <w:tc>
          <w:tcPr>
            <w:tcW w:w="1768" w:type="dxa"/>
            <w:noWrap w:val="0"/>
            <w:vAlign w:val="top"/>
          </w:tcPr>
          <w:p w14:paraId="409DB98B">
            <w:pPr>
              <w:pStyle w:val="14"/>
              <w:spacing w:before="192"/>
              <w:jc w:val="center"/>
              <w:rPr>
                <w:rFonts w:hint="eastAsia"/>
                <w:highlight w:val="none"/>
                <w:lang w:val="en-US" w:eastAsia="zh-CN"/>
              </w:rPr>
            </w:pPr>
            <w:r>
              <w:rPr>
                <w:spacing w:val="-3"/>
                <w:highlight w:val="none"/>
              </w:rPr>
              <w:t>2</w:t>
            </w:r>
          </w:p>
        </w:tc>
        <w:tc>
          <w:tcPr>
            <w:tcW w:w="1737" w:type="dxa"/>
            <w:noWrap w:val="0"/>
            <w:vAlign w:val="top"/>
          </w:tcPr>
          <w:p w14:paraId="2F86851B">
            <w:pPr>
              <w:pStyle w:val="14"/>
              <w:spacing w:before="193" w:line="241" w:lineRule="auto"/>
              <w:jc w:val="center"/>
              <w:rPr>
                <w:rFonts w:hint="eastAsia" w:eastAsia="宋体"/>
                <w:highlight w:val="none"/>
                <w:lang w:val="en-US" w:eastAsia="zh-CN"/>
              </w:rPr>
            </w:pPr>
            <w:r>
              <w:rPr>
                <w:rFonts w:hint="eastAsia"/>
                <w:highlight w:val="none"/>
                <w:lang w:val="en-US" w:eastAsia="zh-CN"/>
              </w:rPr>
              <w:t>2</w:t>
            </w:r>
          </w:p>
        </w:tc>
      </w:tr>
      <w:tr w14:paraId="31AA4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6" w:type="dxa"/>
            <w:vMerge w:val="continue"/>
            <w:noWrap w:val="0"/>
            <w:vAlign w:val="top"/>
          </w:tcPr>
          <w:p w14:paraId="1D57820F">
            <w:pPr>
              <w:jc w:val="center"/>
              <w:rPr>
                <w:rFonts w:ascii="Arial"/>
                <w:sz w:val="21"/>
                <w:highlight w:val="yellow"/>
              </w:rPr>
            </w:pPr>
          </w:p>
        </w:tc>
        <w:tc>
          <w:tcPr>
            <w:tcW w:w="2133" w:type="dxa"/>
            <w:vMerge w:val="continue"/>
            <w:tcBorders>
              <w:top w:val="nil"/>
              <w:bottom w:val="nil"/>
            </w:tcBorders>
            <w:noWrap w:val="0"/>
            <w:vAlign w:val="top"/>
          </w:tcPr>
          <w:p w14:paraId="0DEA98B7">
            <w:pPr>
              <w:jc w:val="center"/>
              <w:rPr>
                <w:rFonts w:ascii="Arial"/>
                <w:sz w:val="21"/>
                <w:highlight w:val="yellow"/>
              </w:rPr>
            </w:pPr>
          </w:p>
        </w:tc>
        <w:tc>
          <w:tcPr>
            <w:tcW w:w="2645" w:type="dxa"/>
            <w:noWrap w:val="0"/>
            <w:vAlign w:val="top"/>
          </w:tcPr>
          <w:p w14:paraId="64B35E85">
            <w:pPr>
              <w:pStyle w:val="14"/>
              <w:spacing w:before="174" w:line="219" w:lineRule="auto"/>
              <w:ind w:left="1053"/>
              <w:rPr>
                <w:highlight w:val="none"/>
              </w:rPr>
            </w:pPr>
            <w:r>
              <w:rPr>
                <w:spacing w:val="-2"/>
                <w:highlight w:val="none"/>
              </w:rPr>
              <w:t>分配管理</w:t>
            </w:r>
          </w:p>
        </w:tc>
        <w:tc>
          <w:tcPr>
            <w:tcW w:w="1768" w:type="dxa"/>
            <w:noWrap w:val="0"/>
            <w:vAlign w:val="top"/>
          </w:tcPr>
          <w:p w14:paraId="012A6A26">
            <w:pPr>
              <w:pStyle w:val="14"/>
              <w:spacing w:before="193"/>
              <w:jc w:val="center"/>
              <w:rPr>
                <w:rFonts w:hint="eastAsia"/>
                <w:highlight w:val="none"/>
                <w:lang w:val="en-US" w:eastAsia="zh-CN"/>
              </w:rPr>
            </w:pPr>
            <w:r>
              <w:rPr>
                <w:spacing w:val="-6"/>
                <w:highlight w:val="none"/>
              </w:rPr>
              <w:t>10</w:t>
            </w:r>
          </w:p>
        </w:tc>
        <w:tc>
          <w:tcPr>
            <w:tcW w:w="1737" w:type="dxa"/>
            <w:noWrap w:val="0"/>
            <w:vAlign w:val="top"/>
          </w:tcPr>
          <w:p w14:paraId="7819F93A">
            <w:pPr>
              <w:pStyle w:val="14"/>
              <w:spacing w:before="193"/>
              <w:jc w:val="center"/>
              <w:rPr>
                <w:rFonts w:hint="default" w:eastAsia="宋体"/>
                <w:highlight w:val="none"/>
                <w:lang w:val="en-US" w:eastAsia="zh-CN"/>
              </w:rPr>
            </w:pPr>
            <w:r>
              <w:rPr>
                <w:rFonts w:hint="eastAsia"/>
                <w:highlight w:val="none"/>
                <w:lang w:val="en-US" w:eastAsia="zh-CN"/>
              </w:rPr>
              <w:t>10</w:t>
            </w:r>
          </w:p>
        </w:tc>
      </w:tr>
      <w:tr w14:paraId="3FA1C2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6" w:type="dxa"/>
            <w:vMerge w:val="continue"/>
            <w:noWrap w:val="0"/>
            <w:vAlign w:val="top"/>
          </w:tcPr>
          <w:p w14:paraId="416C2645">
            <w:pPr>
              <w:jc w:val="center"/>
              <w:rPr>
                <w:rFonts w:ascii="Arial"/>
                <w:sz w:val="21"/>
                <w:highlight w:val="yellow"/>
              </w:rPr>
            </w:pPr>
          </w:p>
        </w:tc>
        <w:tc>
          <w:tcPr>
            <w:tcW w:w="2133" w:type="dxa"/>
            <w:vMerge w:val="continue"/>
            <w:tcBorders>
              <w:top w:val="nil"/>
            </w:tcBorders>
            <w:noWrap w:val="0"/>
            <w:vAlign w:val="top"/>
          </w:tcPr>
          <w:p w14:paraId="310DFCE3">
            <w:pPr>
              <w:jc w:val="center"/>
              <w:rPr>
                <w:rFonts w:ascii="Arial"/>
                <w:sz w:val="21"/>
                <w:highlight w:val="yellow"/>
              </w:rPr>
            </w:pPr>
          </w:p>
        </w:tc>
        <w:tc>
          <w:tcPr>
            <w:tcW w:w="2645" w:type="dxa"/>
            <w:noWrap w:val="0"/>
            <w:vAlign w:val="top"/>
          </w:tcPr>
          <w:p w14:paraId="1C8C1417">
            <w:pPr>
              <w:pStyle w:val="14"/>
              <w:spacing w:before="175" w:line="219" w:lineRule="auto"/>
              <w:ind w:left="1053"/>
              <w:rPr>
                <w:highlight w:val="none"/>
              </w:rPr>
            </w:pPr>
            <w:r>
              <w:rPr>
                <w:spacing w:val="2"/>
                <w:highlight w:val="none"/>
              </w:rPr>
              <w:t>绩效监管</w:t>
            </w:r>
          </w:p>
        </w:tc>
        <w:tc>
          <w:tcPr>
            <w:tcW w:w="1768" w:type="dxa"/>
            <w:noWrap w:val="0"/>
            <w:vAlign w:val="top"/>
          </w:tcPr>
          <w:p w14:paraId="2F15EC71">
            <w:pPr>
              <w:pStyle w:val="14"/>
              <w:spacing w:before="194"/>
              <w:jc w:val="center"/>
              <w:rPr>
                <w:rFonts w:hint="eastAsia"/>
                <w:highlight w:val="none"/>
                <w:lang w:val="en-US" w:eastAsia="zh-CN"/>
              </w:rPr>
            </w:pPr>
            <w:r>
              <w:rPr>
                <w:spacing w:val="-3"/>
                <w:highlight w:val="none"/>
              </w:rPr>
              <w:t>6</w:t>
            </w:r>
          </w:p>
        </w:tc>
        <w:tc>
          <w:tcPr>
            <w:tcW w:w="1737" w:type="dxa"/>
            <w:noWrap w:val="0"/>
            <w:vAlign w:val="top"/>
          </w:tcPr>
          <w:p w14:paraId="51A48D1D">
            <w:pPr>
              <w:pStyle w:val="14"/>
              <w:spacing w:before="194"/>
              <w:jc w:val="center"/>
              <w:rPr>
                <w:rFonts w:hint="eastAsia" w:eastAsia="宋体"/>
                <w:highlight w:val="none"/>
                <w:lang w:val="en-US" w:eastAsia="zh-CN"/>
              </w:rPr>
            </w:pPr>
            <w:r>
              <w:rPr>
                <w:rFonts w:hint="eastAsia"/>
                <w:highlight w:val="none"/>
                <w:lang w:val="en-US" w:eastAsia="zh-CN"/>
              </w:rPr>
              <w:t>6</w:t>
            </w:r>
          </w:p>
        </w:tc>
      </w:tr>
      <w:tr w14:paraId="49614E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6" w:type="dxa"/>
            <w:vMerge w:val="continue"/>
            <w:noWrap w:val="0"/>
            <w:vAlign w:val="top"/>
          </w:tcPr>
          <w:p w14:paraId="75AEE0C4">
            <w:pPr>
              <w:pStyle w:val="14"/>
              <w:spacing w:before="226" w:line="220" w:lineRule="auto"/>
              <w:ind w:left="130"/>
              <w:jc w:val="center"/>
              <w:rPr>
                <w:highlight w:val="none"/>
              </w:rPr>
            </w:pPr>
          </w:p>
        </w:tc>
        <w:tc>
          <w:tcPr>
            <w:tcW w:w="2133" w:type="dxa"/>
            <w:vMerge w:val="restart"/>
            <w:tcBorders>
              <w:bottom w:val="nil"/>
            </w:tcBorders>
            <w:noWrap w:val="0"/>
            <w:vAlign w:val="top"/>
          </w:tcPr>
          <w:p w14:paraId="29987FD0">
            <w:pPr>
              <w:pStyle w:val="14"/>
              <w:spacing w:before="65" w:line="600" w:lineRule="auto"/>
              <w:jc w:val="center"/>
              <w:rPr>
                <w:highlight w:val="none"/>
              </w:rPr>
            </w:pPr>
            <w:r>
              <w:rPr>
                <w:spacing w:val="2"/>
                <w:highlight w:val="none"/>
              </w:rPr>
              <w:t>项目实施</w:t>
            </w:r>
          </w:p>
        </w:tc>
        <w:tc>
          <w:tcPr>
            <w:tcW w:w="2645" w:type="dxa"/>
            <w:noWrap w:val="0"/>
            <w:vAlign w:val="top"/>
          </w:tcPr>
          <w:p w14:paraId="7E43B01F">
            <w:pPr>
              <w:pStyle w:val="14"/>
              <w:spacing w:before="176" w:line="219" w:lineRule="auto"/>
              <w:ind w:left="1053"/>
              <w:rPr>
                <w:highlight w:val="none"/>
              </w:rPr>
            </w:pPr>
            <w:r>
              <w:rPr>
                <w:spacing w:val="-2"/>
                <w:highlight w:val="none"/>
              </w:rPr>
              <w:t>预算执行</w:t>
            </w:r>
          </w:p>
        </w:tc>
        <w:tc>
          <w:tcPr>
            <w:tcW w:w="1768" w:type="dxa"/>
            <w:noWrap w:val="0"/>
            <w:vAlign w:val="top"/>
          </w:tcPr>
          <w:p w14:paraId="457F4CB9">
            <w:pPr>
              <w:pStyle w:val="14"/>
              <w:spacing w:before="195"/>
              <w:jc w:val="center"/>
              <w:rPr>
                <w:rFonts w:hint="eastAsia"/>
                <w:highlight w:val="none"/>
                <w:lang w:val="en-US" w:eastAsia="zh-CN"/>
              </w:rPr>
            </w:pPr>
            <w:r>
              <w:rPr>
                <w:rFonts w:hint="eastAsia"/>
                <w:spacing w:val="-3"/>
                <w:highlight w:val="none"/>
                <w:lang w:val="en-US" w:eastAsia="zh-CN"/>
              </w:rPr>
              <w:t>3</w:t>
            </w:r>
          </w:p>
        </w:tc>
        <w:tc>
          <w:tcPr>
            <w:tcW w:w="1737" w:type="dxa"/>
            <w:noWrap w:val="0"/>
            <w:vAlign w:val="top"/>
          </w:tcPr>
          <w:p w14:paraId="2F0190A4">
            <w:pPr>
              <w:pStyle w:val="14"/>
              <w:spacing w:before="196" w:line="239" w:lineRule="auto"/>
              <w:jc w:val="center"/>
              <w:rPr>
                <w:rFonts w:hint="default" w:eastAsia="宋体"/>
                <w:highlight w:val="none"/>
                <w:lang w:val="en-US" w:eastAsia="zh-CN"/>
              </w:rPr>
            </w:pPr>
            <w:r>
              <w:rPr>
                <w:rFonts w:hint="eastAsia"/>
                <w:highlight w:val="none"/>
                <w:lang w:val="en-US" w:eastAsia="zh-CN"/>
              </w:rPr>
              <w:t>3</w:t>
            </w:r>
          </w:p>
        </w:tc>
      </w:tr>
      <w:tr w14:paraId="45BEE3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1556" w:type="dxa"/>
            <w:vMerge w:val="continue"/>
            <w:noWrap w:val="0"/>
            <w:vAlign w:val="top"/>
          </w:tcPr>
          <w:p w14:paraId="48314FD5">
            <w:pPr>
              <w:jc w:val="center"/>
              <w:rPr>
                <w:rFonts w:ascii="Arial"/>
                <w:sz w:val="21"/>
                <w:highlight w:val="none"/>
              </w:rPr>
            </w:pPr>
          </w:p>
        </w:tc>
        <w:tc>
          <w:tcPr>
            <w:tcW w:w="2133" w:type="dxa"/>
            <w:vMerge w:val="continue"/>
            <w:tcBorders>
              <w:top w:val="nil"/>
            </w:tcBorders>
            <w:noWrap w:val="0"/>
            <w:vAlign w:val="top"/>
          </w:tcPr>
          <w:p w14:paraId="5CEC21FB">
            <w:pPr>
              <w:jc w:val="center"/>
              <w:rPr>
                <w:rFonts w:ascii="Arial"/>
                <w:sz w:val="21"/>
                <w:highlight w:val="none"/>
              </w:rPr>
            </w:pPr>
          </w:p>
        </w:tc>
        <w:tc>
          <w:tcPr>
            <w:tcW w:w="2645" w:type="dxa"/>
            <w:noWrap w:val="0"/>
            <w:vAlign w:val="top"/>
          </w:tcPr>
          <w:p w14:paraId="55BD04A7">
            <w:pPr>
              <w:pStyle w:val="14"/>
              <w:spacing w:before="147" w:line="219" w:lineRule="auto"/>
              <w:ind w:left="1053"/>
              <w:rPr>
                <w:highlight w:val="none"/>
              </w:rPr>
            </w:pPr>
            <w:r>
              <w:rPr>
                <w:spacing w:val="6"/>
                <w:highlight w:val="none"/>
              </w:rPr>
              <w:t>资金使用</w:t>
            </w:r>
          </w:p>
        </w:tc>
        <w:tc>
          <w:tcPr>
            <w:tcW w:w="1768" w:type="dxa"/>
            <w:noWrap w:val="0"/>
            <w:vAlign w:val="top"/>
          </w:tcPr>
          <w:p w14:paraId="533E44DB">
            <w:pPr>
              <w:pStyle w:val="14"/>
              <w:spacing w:before="166"/>
              <w:jc w:val="center"/>
              <w:rPr>
                <w:rFonts w:hint="eastAsia"/>
                <w:highlight w:val="none"/>
                <w:lang w:val="en-US" w:eastAsia="zh-CN"/>
              </w:rPr>
            </w:pPr>
            <w:r>
              <w:rPr>
                <w:rFonts w:hint="eastAsia"/>
                <w:spacing w:val="-3"/>
                <w:highlight w:val="none"/>
                <w:lang w:val="en-US" w:eastAsia="zh-CN"/>
              </w:rPr>
              <w:t>6</w:t>
            </w:r>
          </w:p>
        </w:tc>
        <w:tc>
          <w:tcPr>
            <w:tcW w:w="1737" w:type="dxa"/>
            <w:noWrap w:val="0"/>
            <w:vAlign w:val="top"/>
          </w:tcPr>
          <w:p w14:paraId="21E4D282">
            <w:pPr>
              <w:pStyle w:val="14"/>
              <w:spacing w:before="166"/>
              <w:jc w:val="center"/>
              <w:rPr>
                <w:rFonts w:hint="default" w:eastAsia="宋体"/>
                <w:highlight w:val="none"/>
                <w:lang w:val="en-US" w:eastAsia="zh-CN"/>
              </w:rPr>
            </w:pPr>
            <w:r>
              <w:rPr>
                <w:rFonts w:hint="eastAsia"/>
                <w:highlight w:val="none"/>
                <w:lang w:val="en-US" w:eastAsia="zh-CN"/>
              </w:rPr>
              <w:t>6</w:t>
            </w:r>
          </w:p>
        </w:tc>
      </w:tr>
      <w:tr w14:paraId="7458FF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556" w:type="dxa"/>
            <w:vMerge w:val="continue"/>
            <w:noWrap w:val="0"/>
            <w:vAlign w:val="top"/>
          </w:tcPr>
          <w:p w14:paraId="63DF80C7">
            <w:pPr>
              <w:jc w:val="center"/>
              <w:rPr>
                <w:rFonts w:ascii="Arial"/>
                <w:sz w:val="21"/>
                <w:highlight w:val="none"/>
              </w:rPr>
            </w:pPr>
          </w:p>
        </w:tc>
        <w:tc>
          <w:tcPr>
            <w:tcW w:w="2133" w:type="dxa"/>
            <w:vMerge w:val="restart"/>
            <w:noWrap w:val="0"/>
            <w:vAlign w:val="top"/>
          </w:tcPr>
          <w:p w14:paraId="3FFF43C5">
            <w:pPr>
              <w:pStyle w:val="14"/>
              <w:spacing w:before="178" w:line="600" w:lineRule="auto"/>
              <w:jc w:val="center"/>
              <w:rPr>
                <w:highlight w:val="none"/>
              </w:rPr>
            </w:pPr>
            <w:r>
              <w:rPr>
                <w:spacing w:val="2"/>
                <w:highlight w:val="none"/>
              </w:rPr>
              <w:t>项目结果</w:t>
            </w:r>
          </w:p>
        </w:tc>
        <w:tc>
          <w:tcPr>
            <w:tcW w:w="2645" w:type="dxa"/>
            <w:noWrap w:val="0"/>
            <w:vAlign w:val="top"/>
          </w:tcPr>
          <w:p w14:paraId="5E5E5A08">
            <w:pPr>
              <w:pStyle w:val="14"/>
              <w:spacing w:before="178" w:line="219" w:lineRule="auto"/>
              <w:ind w:left="1053"/>
              <w:rPr>
                <w:highlight w:val="none"/>
              </w:rPr>
            </w:pPr>
            <w:r>
              <w:rPr>
                <w:spacing w:val="2"/>
                <w:highlight w:val="none"/>
              </w:rPr>
              <w:t>目标完成</w:t>
            </w:r>
          </w:p>
        </w:tc>
        <w:tc>
          <w:tcPr>
            <w:tcW w:w="1768" w:type="dxa"/>
            <w:noWrap w:val="0"/>
            <w:vAlign w:val="top"/>
          </w:tcPr>
          <w:p w14:paraId="1F883A4B">
            <w:pPr>
              <w:pStyle w:val="14"/>
              <w:spacing w:before="197"/>
              <w:jc w:val="center"/>
              <w:rPr>
                <w:rFonts w:hint="eastAsia"/>
                <w:highlight w:val="none"/>
                <w:lang w:val="en-US" w:eastAsia="zh-CN"/>
              </w:rPr>
            </w:pPr>
            <w:r>
              <w:rPr>
                <w:spacing w:val="-3"/>
                <w:highlight w:val="none"/>
              </w:rPr>
              <w:t>6</w:t>
            </w:r>
          </w:p>
        </w:tc>
        <w:tc>
          <w:tcPr>
            <w:tcW w:w="1737" w:type="dxa"/>
            <w:noWrap w:val="0"/>
            <w:vAlign w:val="top"/>
          </w:tcPr>
          <w:p w14:paraId="2DE11E46">
            <w:pPr>
              <w:pStyle w:val="14"/>
              <w:spacing w:before="197"/>
              <w:jc w:val="center"/>
              <w:rPr>
                <w:rFonts w:hint="default" w:eastAsia="宋体"/>
                <w:highlight w:val="none"/>
                <w:lang w:val="en-US" w:eastAsia="zh-CN"/>
              </w:rPr>
            </w:pPr>
            <w:r>
              <w:rPr>
                <w:rFonts w:hint="eastAsia"/>
                <w:highlight w:val="none"/>
                <w:lang w:val="en-US" w:eastAsia="zh-CN"/>
              </w:rPr>
              <w:t>6</w:t>
            </w:r>
          </w:p>
        </w:tc>
      </w:tr>
      <w:tr w14:paraId="1CDF1B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1556" w:type="dxa"/>
            <w:vMerge w:val="continue"/>
            <w:noWrap w:val="0"/>
            <w:vAlign w:val="top"/>
          </w:tcPr>
          <w:p w14:paraId="2E8987C4">
            <w:pPr>
              <w:jc w:val="center"/>
              <w:rPr>
                <w:rFonts w:ascii="Arial"/>
                <w:sz w:val="21"/>
                <w:highlight w:val="none"/>
              </w:rPr>
            </w:pPr>
          </w:p>
        </w:tc>
        <w:tc>
          <w:tcPr>
            <w:tcW w:w="2133" w:type="dxa"/>
            <w:vMerge w:val="continue"/>
            <w:noWrap w:val="0"/>
            <w:vAlign w:val="top"/>
          </w:tcPr>
          <w:p w14:paraId="33B00B29">
            <w:pPr>
              <w:jc w:val="center"/>
              <w:rPr>
                <w:rFonts w:ascii="Arial"/>
                <w:sz w:val="21"/>
                <w:highlight w:val="none"/>
              </w:rPr>
            </w:pPr>
          </w:p>
        </w:tc>
        <w:tc>
          <w:tcPr>
            <w:tcW w:w="2645" w:type="dxa"/>
            <w:noWrap w:val="0"/>
            <w:vAlign w:val="top"/>
          </w:tcPr>
          <w:p w14:paraId="37FCC664">
            <w:pPr>
              <w:pStyle w:val="14"/>
              <w:spacing w:before="173" w:line="219" w:lineRule="auto"/>
              <w:ind w:left="1053"/>
              <w:rPr>
                <w:highlight w:val="none"/>
              </w:rPr>
            </w:pPr>
            <w:r>
              <w:rPr>
                <w:spacing w:val="-2"/>
                <w:highlight w:val="none"/>
              </w:rPr>
              <w:t>完成时效</w:t>
            </w:r>
          </w:p>
        </w:tc>
        <w:tc>
          <w:tcPr>
            <w:tcW w:w="1768" w:type="dxa"/>
            <w:noWrap w:val="0"/>
            <w:vAlign w:val="top"/>
          </w:tcPr>
          <w:p w14:paraId="2412FA30">
            <w:pPr>
              <w:pStyle w:val="14"/>
              <w:spacing w:before="192"/>
              <w:jc w:val="center"/>
              <w:rPr>
                <w:rFonts w:hint="eastAsia"/>
                <w:highlight w:val="none"/>
                <w:lang w:val="en-US" w:eastAsia="zh-CN"/>
              </w:rPr>
            </w:pPr>
            <w:r>
              <w:rPr>
                <w:spacing w:val="-3"/>
                <w:highlight w:val="none"/>
              </w:rPr>
              <w:t>3</w:t>
            </w:r>
          </w:p>
        </w:tc>
        <w:tc>
          <w:tcPr>
            <w:tcW w:w="1737" w:type="dxa"/>
            <w:noWrap w:val="0"/>
            <w:vAlign w:val="top"/>
          </w:tcPr>
          <w:p w14:paraId="29CD01DB">
            <w:pPr>
              <w:pStyle w:val="14"/>
              <w:spacing w:before="192"/>
              <w:jc w:val="center"/>
              <w:rPr>
                <w:rFonts w:hint="eastAsia" w:eastAsia="宋体"/>
                <w:highlight w:val="none"/>
                <w:lang w:val="en-US" w:eastAsia="zh-CN"/>
              </w:rPr>
            </w:pPr>
            <w:r>
              <w:rPr>
                <w:rFonts w:hint="eastAsia"/>
                <w:highlight w:val="none"/>
                <w:lang w:val="en-US" w:eastAsia="zh-CN"/>
              </w:rPr>
              <w:t>3</w:t>
            </w:r>
          </w:p>
        </w:tc>
      </w:tr>
      <w:tr w14:paraId="4EBBF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556" w:type="dxa"/>
            <w:vMerge w:val="restart"/>
            <w:tcBorders>
              <w:top w:val="nil"/>
            </w:tcBorders>
            <w:noWrap w:val="0"/>
            <w:vAlign w:val="top"/>
          </w:tcPr>
          <w:p w14:paraId="197D20A6">
            <w:pPr>
              <w:pStyle w:val="14"/>
              <w:spacing w:before="65" w:line="240" w:lineRule="auto"/>
              <w:ind w:left="130"/>
              <w:jc w:val="center"/>
              <w:rPr>
                <w:rFonts w:hint="eastAsia" w:ascii="宋体" w:hAnsi="宋体" w:eastAsia="宋体" w:cs="宋体"/>
                <w:spacing w:val="-2"/>
                <w:highlight w:val="none"/>
              </w:rPr>
            </w:pPr>
          </w:p>
          <w:p w14:paraId="1185169B">
            <w:pPr>
              <w:pStyle w:val="14"/>
              <w:spacing w:before="65" w:line="480" w:lineRule="auto"/>
              <w:jc w:val="center"/>
              <w:rPr>
                <w:rFonts w:hint="eastAsia" w:ascii="Arial" w:eastAsia="宋体"/>
                <w:sz w:val="21"/>
                <w:highlight w:val="none"/>
                <w:lang w:val="en-US" w:eastAsia="zh-CN"/>
              </w:rPr>
            </w:pPr>
            <w:r>
              <w:rPr>
                <w:rFonts w:hint="eastAsia" w:ascii="Arial"/>
                <w:sz w:val="21"/>
                <w:highlight w:val="none"/>
                <w:lang w:val="en-US" w:eastAsia="zh-CN"/>
              </w:rPr>
              <w:t>专用指标</w:t>
            </w:r>
          </w:p>
        </w:tc>
        <w:tc>
          <w:tcPr>
            <w:tcW w:w="2133" w:type="dxa"/>
            <w:vMerge w:val="restart"/>
            <w:tcBorders>
              <w:top w:val="nil"/>
            </w:tcBorders>
            <w:noWrap w:val="0"/>
            <w:vAlign w:val="top"/>
          </w:tcPr>
          <w:p w14:paraId="452C38F5">
            <w:pPr>
              <w:jc w:val="center"/>
              <w:rPr>
                <w:rFonts w:hint="eastAsia" w:ascii="Arial"/>
                <w:sz w:val="21"/>
                <w:highlight w:val="none"/>
                <w:lang w:val="en-US" w:eastAsia="zh-CN"/>
              </w:rPr>
            </w:pPr>
          </w:p>
          <w:p w14:paraId="38A2EE60">
            <w:pPr>
              <w:jc w:val="center"/>
              <w:rPr>
                <w:rFonts w:hint="eastAsia" w:ascii="Arial"/>
                <w:sz w:val="21"/>
                <w:highlight w:val="none"/>
                <w:lang w:val="en-US" w:eastAsia="zh-CN"/>
              </w:rPr>
            </w:pPr>
          </w:p>
          <w:p w14:paraId="2101B7C0">
            <w:pPr>
              <w:jc w:val="center"/>
              <w:rPr>
                <w:rFonts w:hint="default" w:ascii="Arial" w:eastAsia="宋体"/>
                <w:sz w:val="21"/>
                <w:highlight w:val="none"/>
                <w:lang w:val="en-US" w:eastAsia="zh-CN"/>
              </w:rPr>
            </w:pPr>
            <w:r>
              <w:rPr>
                <w:rFonts w:hint="eastAsia" w:ascii="Arial"/>
                <w:sz w:val="21"/>
                <w:highlight w:val="none"/>
                <w:lang w:val="en-US" w:eastAsia="zh-CN"/>
              </w:rPr>
              <w:t>产业发展</w:t>
            </w:r>
          </w:p>
        </w:tc>
        <w:tc>
          <w:tcPr>
            <w:tcW w:w="2645" w:type="dxa"/>
            <w:noWrap w:val="0"/>
            <w:vAlign w:val="top"/>
          </w:tcPr>
          <w:p w14:paraId="5EBFF0BE">
            <w:pPr>
              <w:pStyle w:val="14"/>
              <w:spacing w:before="179" w:line="219" w:lineRule="auto"/>
              <w:jc w:val="center"/>
              <w:rPr>
                <w:highlight w:val="none"/>
              </w:rPr>
            </w:pPr>
            <w:r>
              <w:rPr>
                <w:rFonts w:hint="eastAsia"/>
                <w:spacing w:val="-2"/>
                <w:highlight w:val="none"/>
              </w:rPr>
              <w:t>符合性</w:t>
            </w:r>
          </w:p>
        </w:tc>
        <w:tc>
          <w:tcPr>
            <w:tcW w:w="1768" w:type="dxa"/>
            <w:noWrap w:val="0"/>
            <w:vAlign w:val="top"/>
          </w:tcPr>
          <w:p w14:paraId="4D387433">
            <w:pPr>
              <w:pStyle w:val="14"/>
              <w:spacing w:before="200"/>
              <w:jc w:val="center"/>
              <w:rPr>
                <w:rFonts w:hint="eastAsia"/>
                <w:highlight w:val="none"/>
                <w:lang w:val="en-US" w:eastAsia="zh-CN"/>
              </w:rPr>
            </w:pPr>
            <w:r>
              <w:rPr>
                <w:rFonts w:hint="eastAsia"/>
                <w:highlight w:val="none"/>
                <w:lang w:val="en-US" w:eastAsia="zh-CN"/>
              </w:rPr>
              <w:t>10</w:t>
            </w:r>
          </w:p>
        </w:tc>
        <w:tc>
          <w:tcPr>
            <w:tcW w:w="1737" w:type="dxa"/>
            <w:noWrap w:val="0"/>
            <w:vAlign w:val="top"/>
          </w:tcPr>
          <w:p w14:paraId="3A95FADF">
            <w:pPr>
              <w:pStyle w:val="14"/>
              <w:spacing w:before="200"/>
              <w:jc w:val="center"/>
              <w:rPr>
                <w:rFonts w:hint="default" w:eastAsia="宋体"/>
                <w:highlight w:val="yellow"/>
                <w:lang w:val="en-US" w:eastAsia="zh-CN"/>
              </w:rPr>
            </w:pPr>
            <w:r>
              <w:rPr>
                <w:rFonts w:hint="eastAsia"/>
                <w:highlight w:val="none"/>
                <w:lang w:val="en-US" w:eastAsia="zh-CN"/>
              </w:rPr>
              <w:t>10</w:t>
            </w:r>
          </w:p>
        </w:tc>
      </w:tr>
      <w:tr w14:paraId="78A47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trPr>
        <w:tc>
          <w:tcPr>
            <w:tcW w:w="1556" w:type="dxa"/>
            <w:vMerge w:val="continue"/>
            <w:noWrap w:val="0"/>
            <w:vAlign w:val="top"/>
          </w:tcPr>
          <w:p w14:paraId="62DCA3F5">
            <w:pPr>
              <w:jc w:val="center"/>
              <w:rPr>
                <w:rFonts w:ascii="Arial"/>
                <w:sz w:val="21"/>
                <w:highlight w:val="none"/>
              </w:rPr>
            </w:pPr>
          </w:p>
        </w:tc>
        <w:tc>
          <w:tcPr>
            <w:tcW w:w="2133" w:type="dxa"/>
            <w:vMerge w:val="continue"/>
            <w:noWrap w:val="0"/>
            <w:vAlign w:val="top"/>
          </w:tcPr>
          <w:p w14:paraId="0D51E303">
            <w:pPr>
              <w:jc w:val="center"/>
              <w:rPr>
                <w:rFonts w:ascii="Arial"/>
                <w:sz w:val="21"/>
                <w:highlight w:val="none"/>
              </w:rPr>
            </w:pPr>
          </w:p>
        </w:tc>
        <w:tc>
          <w:tcPr>
            <w:tcW w:w="2645" w:type="dxa"/>
            <w:noWrap w:val="0"/>
            <w:vAlign w:val="top"/>
          </w:tcPr>
          <w:p w14:paraId="366B5D5C">
            <w:pPr>
              <w:pStyle w:val="14"/>
              <w:spacing w:before="172" w:line="220" w:lineRule="auto"/>
              <w:jc w:val="center"/>
              <w:rPr>
                <w:highlight w:val="none"/>
              </w:rPr>
            </w:pPr>
            <w:r>
              <w:rPr>
                <w:rFonts w:hint="eastAsia"/>
                <w:spacing w:val="-2"/>
                <w:highlight w:val="none"/>
              </w:rPr>
              <w:t>成长性</w:t>
            </w:r>
          </w:p>
        </w:tc>
        <w:tc>
          <w:tcPr>
            <w:tcW w:w="1768" w:type="dxa"/>
            <w:noWrap w:val="0"/>
            <w:vAlign w:val="top"/>
          </w:tcPr>
          <w:p w14:paraId="663BD370">
            <w:pPr>
              <w:pStyle w:val="14"/>
              <w:spacing w:before="191"/>
              <w:jc w:val="center"/>
              <w:rPr>
                <w:rFonts w:hint="eastAsia"/>
                <w:highlight w:val="none"/>
                <w:lang w:val="en-US" w:eastAsia="zh-CN"/>
              </w:rPr>
            </w:pPr>
            <w:r>
              <w:rPr>
                <w:rFonts w:hint="eastAsia"/>
                <w:highlight w:val="none"/>
                <w:lang w:val="en-US" w:eastAsia="zh-CN"/>
              </w:rPr>
              <w:t>10</w:t>
            </w:r>
          </w:p>
        </w:tc>
        <w:tc>
          <w:tcPr>
            <w:tcW w:w="1737" w:type="dxa"/>
            <w:noWrap w:val="0"/>
            <w:vAlign w:val="top"/>
          </w:tcPr>
          <w:p w14:paraId="52B33896">
            <w:pPr>
              <w:pStyle w:val="14"/>
              <w:spacing w:before="191"/>
              <w:jc w:val="center"/>
              <w:rPr>
                <w:rFonts w:hint="default" w:eastAsia="宋体"/>
                <w:highlight w:val="none"/>
                <w:lang w:val="en-US" w:eastAsia="zh-CN"/>
              </w:rPr>
            </w:pPr>
            <w:r>
              <w:rPr>
                <w:rFonts w:hint="eastAsia"/>
                <w:highlight w:val="none"/>
                <w:lang w:val="en-US" w:eastAsia="zh-CN"/>
              </w:rPr>
              <w:t>8</w:t>
            </w:r>
          </w:p>
        </w:tc>
      </w:tr>
      <w:tr w14:paraId="78B8D8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6" w:type="dxa"/>
            <w:vMerge w:val="continue"/>
            <w:noWrap w:val="0"/>
            <w:vAlign w:val="top"/>
          </w:tcPr>
          <w:p w14:paraId="5E96E62A">
            <w:pPr>
              <w:jc w:val="center"/>
              <w:rPr>
                <w:rFonts w:ascii="Arial"/>
                <w:sz w:val="21"/>
                <w:highlight w:val="none"/>
              </w:rPr>
            </w:pPr>
          </w:p>
        </w:tc>
        <w:tc>
          <w:tcPr>
            <w:tcW w:w="2133" w:type="dxa"/>
            <w:vMerge w:val="continue"/>
            <w:noWrap w:val="0"/>
            <w:vAlign w:val="top"/>
          </w:tcPr>
          <w:p w14:paraId="7D9A92C2">
            <w:pPr>
              <w:jc w:val="center"/>
              <w:rPr>
                <w:rFonts w:ascii="Arial"/>
                <w:sz w:val="21"/>
                <w:highlight w:val="none"/>
              </w:rPr>
            </w:pPr>
          </w:p>
        </w:tc>
        <w:tc>
          <w:tcPr>
            <w:tcW w:w="2645" w:type="dxa"/>
            <w:noWrap w:val="0"/>
            <w:vAlign w:val="top"/>
          </w:tcPr>
          <w:p w14:paraId="1C14DF56">
            <w:pPr>
              <w:pStyle w:val="14"/>
              <w:spacing w:before="174" w:line="219" w:lineRule="auto"/>
              <w:jc w:val="center"/>
              <w:rPr>
                <w:highlight w:val="none"/>
              </w:rPr>
            </w:pPr>
            <w:r>
              <w:rPr>
                <w:rFonts w:hint="eastAsia"/>
                <w:spacing w:val="-2"/>
                <w:highlight w:val="none"/>
              </w:rPr>
              <w:t>经济性</w:t>
            </w:r>
          </w:p>
        </w:tc>
        <w:tc>
          <w:tcPr>
            <w:tcW w:w="1768" w:type="dxa"/>
            <w:noWrap w:val="0"/>
            <w:vAlign w:val="top"/>
          </w:tcPr>
          <w:p w14:paraId="71E44FE3">
            <w:pPr>
              <w:pStyle w:val="14"/>
              <w:spacing w:before="193"/>
              <w:jc w:val="center"/>
              <w:rPr>
                <w:rFonts w:hint="eastAsia"/>
                <w:highlight w:val="none"/>
                <w:lang w:val="en-US" w:eastAsia="zh-CN"/>
              </w:rPr>
            </w:pPr>
            <w:r>
              <w:rPr>
                <w:rFonts w:hint="eastAsia"/>
                <w:highlight w:val="none"/>
                <w:lang w:val="en-US" w:eastAsia="zh-CN"/>
              </w:rPr>
              <w:t>10</w:t>
            </w:r>
          </w:p>
        </w:tc>
        <w:tc>
          <w:tcPr>
            <w:tcW w:w="1737" w:type="dxa"/>
            <w:noWrap w:val="0"/>
            <w:vAlign w:val="top"/>
          </w:tcPr>
          <w:p w14:paraId="01204572">
            <w:pPr>
              <w:pStyle w:val="14"/>
              <w:spacing w:before="193"/>
              <w:jc w:val="center"/>
              <w:rPr>
                <w:rFonts w:hint="default" w:eastAsia="宋体"/>
                <w:highlight w:val="yellow"/>
                <w:lang w:val="en-US" w:eastAsia="zh-CN"/>
              </w:rPr>
            </w:pPr>
            <w:r>
              <w:rPr>
                <w:rFonts w:hint="eastAsia"/>
                <w:highlight w:val="none"/>
                <w:lang w:val="en-US" w:eastAsia="zh-CN"/>
              </w:rPr>
              <w:t>6</w:t>
            </w:r>
          </w:p>
        </w:tc>
      </w:tr>
      <w:tr w14:paraId="3578FE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6" w:type="dxa"/>
            <w:vMerge w:val="restart"/>
            <w:noWrap w:val="0"/>
            <w:vAlign w:val="top"/>
          </w:tcPr>
          <w:p w14:paraId="09B9EAEF">
            <w:pPr>
              <w:spacing w:line="378" w:lineRule="auto"/>
              <w:jc w:val="center"/>
              <w:rPr>
                <w:rFonts w:ascii="Arial"/>
                <w:sz w:val="21"/>
                <w:highlight w:val="none"/>
              </w:rPr>
            </w:pPr>
          </w:p>
          <w:p w14:paraId="55E00F5B">
            <w:pPr>
              <w:pStyle w:val="14"/>
              <w:spacing w:before="65" w:line="219" w:lineRule="auto"/>
              <w:ind w:left="130"/>
              <w:jc w:val="center"/>
              <w:rPr>
                <w:highlight w:val="none"/>
              </w:rPr>
            </w:pPr>
            <w:r>
              <w:rPr>
                <w:spacing w:val="-2"/>
                <w:highlight w:val="none"/>
              </w:rPr>
              <w:t>个性指标</w:t>
            </w:r>
          </w:p>
        </w:tc>
        <w:tc>
          <w:tcPr>
            <w:tcW w:w="2133" w:type="dxa"/>
            <w:vMerge w:val="restart"/>
            <w:noWrap w:val="0"/>
            <w:vAlign w:val="top"/>
          </w:tcPr>
          <w:p w14:paraId="2C5D1391">
            <w:pPr>
              <w:pStyle w:val="14"/>
              <w:spacing w:before="175" w:line="220" w:lineRule="auto"/>
              <w:jc w:val="center"/>
              <w:rPr>
                <w:rFonts w:hint="eastAsia"/>
                <w:highlight w:val="none"/>
              </w:rPr>
            </w:pPr>
          </w:p>
          <w:p w14:paraId="316238D3">
            <w:pPr>
              <w:pStyle w:val="14"/>
              <w:spacing w:before="175" w:line="220" w:lineRule="auto"/>
              <w:jc w:val="center"/>
              <w:rPr>
                <w:highlight w:val="none"/>
              </w:rPr>
            </w:pPr>
            <w:r>
              <w:rPr>
                <w:rFonts w:hint="eastAsia"/>
                <w:highlight w:val="none"/>
              </w:rPr>
              <w:t>根据具体项目制定</w:t>
            </w:r>
          </w:p>
        </w:tc>
        <w:tc>
          <w:tcPr>
            <w:tcW w:w="2645" w:type="dxa"/>
            <w:noWrap w:val="0"/>
            <w:vAlign w:val="top"/>
          </w:tcPr>
          <w:p w14:paraId="48B64738">
            <w:pPr>
              <w:pStyle w:val="14"/>
              <w:spacing w:before="175" w:line="219" w:lineRule="auto"/>
              <w:jc w:val="center"/>
              <w:rPr>
                <w:highlight w:val="none"/>
              </w:rPr>
            </w:pPr>
            <w:r>
              <w:rPr>
                <w:rFonts w:hint="eastAsia"/>
                <w:spacing w:val="-1"/>
                <w:highlight w:val="none"/>
              </w:rPr>
              <w:t>区域/行业品牌提及度增长率</w:t>
            </w:r>
          </w:p>
        </w:tc>
        <w:tc>
          <w:tcPr>
            <w:tcW w:w="1768" w:type="dxa"/>
            <w:noWrap w:val="0"/>
            <w:vAlign w:val="top"/>
          </w:tcPr>
          <w:p w14:paraId="4B58BB03">
            <w:pPr>
              <w:pStyle w:val="14"/>
              <w:spacing w:before="194"/>
              <w:jc w:val="center"/>
              <w:rPr>
                <w:rFonts w:hint="eastAsia"/>
                <w:highlight w:val="none"/>
                <w:lang w:val="en-US" w:eastAsia="zh-CN"/>
              </w:rPr>
            </w:pPr>
            <w:r>
              <w:rPr>
                <w:rFonts w:hint="eastAsia"/>
                <w:highlight w:val="none"/>
                <w:lang w:val="en-US" w:eastAsia="zh-CN"/>
              </w:rPr>
              <w:t>8</w:t>
            </w:r>
          </w:p>
        </w:tc>
        <w:tc>
          <w:tcPr>
            <w:tcW w:w="1737" w:type="dxa"/>
            <w:noWrap w:val="0"/>
            <w:vAlign w:val="top"/>
          </w:tcPr>
          <w:p w14:paraId="46844320">
            <w:pPr>
              <w:pStyle w:val="14"/>
              <w:spacing w:before="194"/>
              <w:jc w:val="center"/>
              <w:rPr>
                <w:rFonts w:hint="default" w:eastAsia="宋体"/>
                <w:highlight w:val="none"/>
                <w:lang w:val="en-US" w:eastAsia="zh-CN"/>
              </w:rPr>
            </w:pPr>
            <w:r>
              <w:rPr>
                <w:rFonts w:hint="eastAsia"/>
                <w:highlight w:val="none"/>
                <w:lang w:val="en-US" w:eastAsia="zh-CN"/>
              </w:rPr>
              <w:t>8</w:t>
            </w:r>
          </w:p>
        </w:tc>
      </w:tr>
      <w:tr w14:paraId="6FC6F3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6" w:type="dxa"/>
            <w:vMerge w:val="continue"/>
            <w:noWrap w:val="0"/>
            <w:vAlign w:val="top"/>
          </w:tcPr>
          <w:p w14:paraId="23C4EF64">
            <w:pPr>
              <w:rPr>
                <w:rFonts w:ascii="Arial"/>
                <w:sz w:val="21"/>
                <w:highlight w:val="yellow"/>
              </w:rPr>
            </w:pPr>
          </w:p>
        </w:tc>
        <w:tc>
          <w:tcPr>
            <w:tcW w:w="2133" w:type="dxa"/>
            <w:vMerge w:val="continue"/>
            <w:noWrap w:val="0"/>
            <w:vAlign w:val="top"/>
          </w:tcPr>
          <w:p w14:paraId="3E8D7A92">
            <w:pPr>
              <w:pStyle w:val="14"/>
              <w:spacing w:before="175" w:line="219" w:lineRule="auto"/>
              <w:jc w:val="center"/>
              <w:rPr>
                <w:highlight w:val="yellow"/>
              </w:rPr>
            </w:pPr>
          </w:p>
        </w:tc>
        <w:tc>
          <w:tcPr>
            <w:tcW w:w="2645" w:type="dxa"/>
            <w:noWrap w:val="0"/>
            <w:vAlign w:val="top"/>
          </w:tcPr>
          <w:p w14:paraId="06A16560">
            <w:pPr>
              <w:pStyle w:val="14"/>
              <w:spacing w:before="175" w:line="219" w:lineRule="auto"/>
              <w:jc w:val="center"/>
              <w:rPr>
                <w:highlight w:val="none"/>
              </w:rPr>
            </w:pPr>
            <w:r>
              <w:rPr>
                <w:rFonts w:hint="eastAsia"/>
                <w:spacing w:val="-2"/>
                <w:highlight w:val="none"/>
              </w:rPr>
              <w:t>重大节庆及外宣活动应急处置预案与记录完备性</w:t>
            </w:r>
          </w:p>
        </w:tc>
        <w:tc>
          <w:tcPr>
            <w:tcW w:w="1768" w:type="dxa"/>
            <w:noWrap w:val="0"/>
            <w:vAlign w:val="top"/>
          </w:tcPr>
          <w:p w14:paraId="069E7D53">
            <w:pPr>
              <w:pStyle w:val="14"/>
              <w:spacing w:before="195"/>
              <w:jc w:val="center"/>
              <w:rPr>
                <w:rFonts w:hint="eastAsia"/>
                <w:highlight w:val="none"/>
                <w:lang w:val="en-US" w:eastAsia="zh-CN"/>
              </w:rPr>
            </w:pPr>
            <w:r>
              <w:rPr>
                <w:rFonts w:hint="eastAsia"/>
                <w:highlight w:val="none"/>
                <w:lang w:val="en-US" w:eastAsia="zh-CN"/>
              </w:rPr>
              <w:t>8</w:t>
            </w:r>
          </w:p>
        </w:tc>
        <w:tc>
          <w:tcPr>
            <w:tcW w:w="1737" w:type="dxa"/>
            <w:noWrap w:val="0"/>
            <w:vAlign w:val="top"/>
          </w:tcPr>
          <w:p w14:paraId="3D2B48C0">
            <w:pPr>
              <w:pStyle w:val="14"/>
              <w:spacing w:before="195"/>
              <w:jc w:val="center"/>
              <w:rPr>
                <w:rFonts w:hint="default" w:eastAsia="宋体"/>
                <w:highlight w:val="none"/>
                <w:lang w:val="en-US" w:eastAsia="zh-CN"/>
              </w:rPr>
            </w:pPr>
            <w:r>
              <w:rPr>
                <w:rFonts w:hint="eastAsia"/>
                <w:highlight w:val="none"/>
                <w:lang w:val="en-US" w:eastAsia="zh-CN"/>
              </w:rPr>
              <w:t>0</w:t>
            </w:r>
          </w:p>
        </w:tc>
      </w:tr>
      <w:tr w14:paraId="4C4E3B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6" w:type="dxa"/>
            <w:vMerge w:val="restart"/>
            <w:noWrap w:val="0"/>
            <w:vAlign w:val="top"/>
          </w:tcPr>
          <w:p w14:paraId="4295DD2F">
            <w:pPr>
              <w:jc w:val="center"/>
              <w:rPr>
                <w:rFonts w:hint="eastAsia"/>
                <w:spacing w:val="-2"/>
                <w:highlight w:val="none"/>
                <w:lang w:val="en-US" w:eastAsia="zh-CN"/>
              </w:rPr>
            </w:pPr>
          </w:p>
          <w:p w14:paraId="115127E1">
            <w:pPr>
              <w:jc w:val="center"/>
              <w:rPr>
                <w:rFonts w:ascii="Arial"/>
                <w:sz w:val="21"/>
                <w:highlight w:val="yellow"/>
              </w:rPr>
            </w:pPr>
            <w:r>
              <w:rPr>
                <w:rFonts w:hint="eastAsia"/>
                <w:spacing w:val="-2"/>
                <w:highlight w:val="none"/>
                <w:lang w:val="en-US" w:eastAsia="zh-CN"/>
              </w:rPr>
              <w:t>扣分项</w:t>
            </w:r>
          </w:p>
        </w:tc>
        <w:tc>
          <w:tcPr>
            <w:tcW w:w="2133" w:type="dxa"/>
            <w:noWrap w:val="0"/>
            <w:vAlign w:val="top"/>
          </w:tcPr>
          <w:p w14:paraId="1145A365">
            <w:pPr>
              <w:pStyle w:val="14"/>
              <w:spacing w:before="175" w:line="219" w:lineRule="auto"/>
              <w:jc w:val="center"/>
              <w:rPr>
                <w:spacing w:val="-2"/>
                <w:highlight w:val="yellow"/>
              </w:rPr>
            </w:pPr>
            <w:r>
              <w:rPr>
                <w:rFonts w:hint="eastAsia"/>
                <w:highlight w:val="none"/>
              </w:rPr>
              <w:t>绩效管理存在问题</w:t>
            </w:r>
          </w:p>
        </w:tc>
        <w:tc>
          <w:tcPr>
            <w:tcW w:w="2645" w:type="dxa"/>
            <w:noWrap w:val="0"/>
            <w:vAlign w:val="top"/>
          </w:tcPr>
          <w:p w14:paraId="50B67800">
            <w:pPr>
              <w:pStyle w:val="14"/>
              <w:spacing w:before="175" w:line="219" w:lineRule="auto"/>
              <w:jc w:val="center"/>
              <w:rPr>
                <w:rFonts w:hint="eastAsia"/>
                <w:spacing w:val="-2"/>
                <w:highlight w:val="none"/>
              </w:rPr>
            </w:pPr>
            <w:r>
              <w:rPr>
                <w:rFonts w:hint="default"/>
                <w:spacing w:val="-1"/>
                <w:highlight w:val="none"/>
                <w:lang w:val="en-US" w:eastAsia="zh-CN"/>
              </w:rPr>
              <w:t>预算绩效管理工作存在问题</w:t>
            </w:r>
          </w:p>
        </w:tc>
        <w:tc>
          <w:tcPr>
            <w:tcW w:w="1768" w:type="dxa"/>
            <w:noWrap w:val="0"/>
            <w:vAlign w:val="top"/>
          </w:tcPr>
          <w:p w14:paraId="1657EE71">
            <w:pPr>
              <w:pStyle w:val="14"/>
              <w:spacing w:before="195"/>
              <w:jc w:val="center"/>
              <w:rPr>
                <w:rFonts w:hint="default"/>
                <w:highlight w:val="none"/>
                <w:lang w:val="en-US" w:eastAsia="zh-CN"/>
              </w:rPr>
            </w:pPr>
            <w:r>
              <w:rPr>
                <w:rFonts w:hint="eastAsia"/>
                <w:highlight w:val="none"/>
                <w:lang w:val="en-US" w:eastAsia="zh-CN"/>
              </w:rPr>
              <w:t>-</w:t>
            </w:r>
          </w:p>
        </w:tc>
        <w:tc>
          <w:tcPr>
            <w:tcW w:w="1737" w:type="dxa"/>
            <w:noWrap w:val="0"/>
            <w:vAlign w:val="top"/>
          </w:tcPr>
          <w:p w14:paraId="1F808F05">
            <w:pPr>
              <w:pStyle w:val="14"/>
              <w:spacing w:before="195"/>
              <w:jc w:val="center"/>
              <w:rPr>
                <w:rFonts w:hint="default" w:eastAsia="宋体"/>
                <w:highlight w:val="none"/>
                <w:lang w:val="en-US" w:eastAsia="zh-CN"/>
              </w:rPr>
            </w:pPr>
            <w:r>
              <w:rPr>
                <w:rFonts w:hint="eastAsia"/>
                <w:highlight w:val="none"/>
                <w:lang w:val="en-US" w:eastAsia="zh-CN"/>
              </w:rPr>
              <w:t>0</w:t>
            </w:r>
          </w:p>
        </w:tc>
      </w:tr>
      <w:tr w14:paraId="381A30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6" w:type="dxa"/>
            <w:vMerge w:val="continue"/>
            <w:noWrap w:val="0"/>
            <w:vAlign w:val="top"/>
          </w:tcPr>
          <w:p w14:paraId="79A5BAE1">
            <w:pPr>
              <w:rPr>
                <w:rFonts w:ascii="Arial"/>
                <w:sz w:val="21"/>
                <w:highlight w:val="yellow"/>
              </w:rPr>
            </w:pPr>
          </w:p>
        </w:tc>
        <w:tc>
          <w:tcPr>
            <w:tcW w:w="2133" w:type="dxa"/>
            <w:noWrap w:val="0"/>
            <w:vAlign w:val="top"/>
          </w:tcPr>
          <w:p w14:paraId="4875F1F7">
            <w:pPr>
              <w:pStyle w:val="14"/>
              <w:spacing w:before="175" w:line="219" w:lineRule="auto"/>
              <w:jc w:val="center"/>
              <w:rPr>
                <w:spacing w:val="-2"/>
                <w:highlight w:val="yellow"/>
              </w:rPr>
            </w:pPr>
            <w:r>
              <w:rPr>
                <w:rFonts w:hint="eastAsia"/>
                <w:highlight w:val="none"/>
              </w:rPr>
              <w:t>被评价部门配合度</w:t>
            </w:r>
          </w:p>
        </w:tc>
        <w:tc>
          <w:tcPr>
            <w:tcW w:w="2645" w:type="dxa"/>
            <w:noWrap w:val="0"/>
            <w:vAlign w:val="top"/>
          </w:tcPr>
          <w:p w14:paraId="4EBDBF58">
            <w:pPr>
              <w:pStyle w:val="14"/>
              <w:spacing w:before="175" w:line="219" w:lineRule="auto"/>
              <w:jc w:val="center"/>
              <w:rPr>
                <w:rFonts w:hint="eastAsia"/>
                <w:spacing w:val="-2"/>
                <w:highlight w:val="none"/>
              </w:rPr>
            </w:pPr>
            <w:r>
              <w:rPr>
                <w:rFonts w:hint="default"/>
                <w:spacing w:val="-1"/>
                <w:highlight w:val="none"/>
                <w:lang w:val="en-US" w:eastAsia="zh-CN"/>
              </w:rPr>
              <w:t>被评价对象工作配合情况</w:t>
            </w:r>
          </w:p>
        </w:tc>
        <w:tc>
          <w:tcPr>
            <w:tcW w:w="1768" w:type="dxa"/>
            <w:noWrap w:val="0"/>
            <w:vAlign w:val="top"/>
          </w:tcPr>
          <w:p w14:paraId="075147FB">
            <w:pPr>
              <w:pStyle w:val="14"/>
              <w:spacing w:before="195"/>
              <w:jc w:val="center"/>
              <w:rPr>
                <w:rFonts w:hint="default"/>
                <w:highlight w:val="none"/>
                <w:lang w:val="en-US" w:eastAsia="zh-CN"/>
              </w:rPr>
            </w:pPr>
            <w:r>
              <w:rPr>
                <w:rFonts w:hint="eastAsia"/>
                <w:highlight w:val="none"/>
                <w:lang w:val="en-US" w:eastAsia="zh-CN"/>
              </w:rPr>
              <w:t>-</w:t>
            </w:r>
          </w:p>
        </w:tc>
        <w:tc>
          <w:tcPr>
            <w:tcW w:w="1737" w:type="dxa"/>
            <w:noWrap w:val="0"/>
            <w:vAlign w:val="top"/>
          </w:tcPr>
          <w:p w14:paraId="31FB33DB">
            <w:pPr>
              <w:pStyle w:val="14"/>
              <w:spacing w:before="195"/>
              <w:jc w:val="center"/>
              <w:rPr>
                <w:rFonts w:hint="default" w:eastAsia="宋体"/>
                <w:highlight w:val="none"/>
                <w:lang w:val="en-US" w:eastAsia="zh-CN"/>
              </w:rPr>
            </w:pPr>
            <w:r>
              <w:rPr>
                <w:rFonts w:hint="eastAsia"/>
                <w:highlight w:val="none"/>
                <w:lang w:val="en-US" w:eastAsia="zh-CN"/>
              </w:rPr>
              <w:t>0</w:t>
            </w:r>
          </w:p>
        </w:tc>
      </w:tr>
      <w:tr w14:paraId="754FB8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6334" w:type="dxa"/>
            <w:gridSpan w:val="3"/>
            <w:noWrap w:val="0"/>
            <w:vAlign w:val="top"/>
          </w:tcPr>
          <w:p w14:paraId="073CB547">
            <w:pPr>
              <w:pStyle w:val="14"/>
              <w:spacing w:before="175" w:line="219" w:lineRule="auto"/>
              <w:jc w:val="center"/>
              <w:rPr>
                <w:rFonts w:hint="default"/>
                <w:spacing w:val="-1"/>
                <w:highlight w:val="none"/>
                <w:lang w:val="en-US" w:eastAsia="zh-CN"/>
              </w:rPr>
            </w:pPr>
            <w:r>
              <w:rPr>
                <w:rFonts w:hint="eastAsia"/>
                <w:b/>
                <w:bCs/>
                <w:spacing w:val="-1"/>
                <w:highlight w:val="none"/>
                <w:lang w:val="en-US" w:eastAsia="zh-CN"/>
              </w:rPr>
              <w:t>合计</w:t>
            </w:r>
          </w:p>
        </w:tc>
        <w:tc>
          <w:tcPr>
            <w:tcW w:w="1768" w:type="dxa"/>
            <w:noWrap w:val="0"/>
            <w:vAlign w:val="top"/>
          </w:tcPr>
          <w:p w14:paraId="19338E6A">
            <w:pPr>
              <w:pStyle w:val="14"/>
              <w:spacing w:before="195"/>
              <w:jc w:val="center"/>
              <w:rPr>
                <w:rFonts w:hint="default"/>
                <w:highlight w:val="none"/>
                <w:lang w:val="en-US" w:eastAsia="zh-CN"/>
              </w:rPr>
            </w:pPr>
            <w:r>
              <w:rPr>
                <w:rFonts w:hint="eastAsia"/>
                <w:highlight w:val="none"/>
                <w:lang w:val="en-US" w:eastAsia="zh-CN"/>
              </w:rPr>
              <w:t>100.00</w:t>
            </w:r>
          </w:p>
        </w:tc>
        <w:tc>
          <w:tcPr>
            <w:tcW w:w="1737" w:type="dxa"/>
            <w:noWrap w:val="0"/>
            <w:vAlign w:val="top"/>
          </w:tcPr>
          <w:p w14:paraId="1AD09AF3">
            <w:pPr>
              <w:pStyle w:val="14"/>
              <w:spacing w:before="195"/>
              <w:jc w:val="center"/>
              <w:rPr>
                <w:rFonts w:hint="default"/>
                <w:highlight w:val="none"/>
                <w:lang w:val="en-US" w:eastAsia="zh-CN"/>
              </w:rPr>
            </w:pPr>
            <w:r>
              <w:rPr>
                <w:rFonts w:hint="eastAsia"/>
                <w:highlight w:val="none"/>
                <w:lang w:val="en-US" w:eastAsia="zh-CN"/>
              </w:rPr>
              <w:t>86</w:t>
            </w:r>
          </w:p>
        </w:tc>
      </w:tr>
    </w:tbl>
    <w:p w14:paraId="14C716F3">
      <w:pPr>
        <w:spacing w:line="560" w:lineRule="exact"/>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（注：评价结果的等级划分为四档：90（含）-100分为“优”、80（含）-90分为“良”、70（含）-80分为“中”、70分以下为“差”）</w:t>
      </w:r>
    </w:p>
    <w:p w14:paraId="67DFC034">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default" w:ascii="Times New Roman" w:hAnsi="Times New Roman" w:eastAsia="宋体" w:cs="Times New Roman"/>
          <w:b/>
          <w:bCs/>
          <w:color w:val="auto"/>
          <w:sz w:val="24"/>
          <w:szCs w:val="24"/>
          <w:highlight w:val="none"/>
          <w:lang w:val="en-US" w:eastAsia="zh-CN"/>
        </w:rPr>
      </w:pPr>
      <w:bookmarkStart w:id="26" w:name="_Toc23097"/>
      <w:bookmarkStart w:id="27" w:name="_Toc5273"/>
      <w:bookmarkStart w:id="28" w:name="_Toc21529"/>
      <w:r>
        <w:rPr>
          <w:rFonts w:hint="eastAsia" w:ascii="Times New Roman" w:hAnsi="Times New Roman" w:eastAsia="宋体" w:cs="Times New Roman"/>
          <w:b/>
          <w:bCs/>
          <w:color w:val="auto"/>
          <w:sz w:val="24"/>
          <w:szCs w:val="24"/>
          <w:highlight w:val="none"/>
          <w:lang w:val="en-US" w:eastAsia="zh-CN"/>
        </w:rPr>
        <w:t>五、项目绩效分析</w:t>
      </w:r>
      <w:bookmarkEnd w:id="26"/>
      <w:bookmarkEnd w:id="27"/>
      <w:bookmarkEnd w:id="28"/>
    </w:p>
    <w:p w14:paraId="16DB66F7">
      <w:pPr>
        <w:numPr>
          <w:ilvl w:val="0"/>
          <w:numId w:val="0"/>
        </w:numPr>
        <w:tabs>
          <w:tab w:val="left" w:pos="0"/>
        </w:tabs>
        <w:spacing w:line="360" w:lineRule="auto"/>
        <w:ind w:left="0" w:leftChars="0" w:firstLine="482" w:firstLineChars="200"/>
        <w:jc w:val="left"/>
        <w:outlineLvl w:val="1"/>
        <w:rPr>
          <w:rFonts w:hint="default" w:ascii="Times New Roman" w:hAnsi="Times New Roman" w:cs="Times New Roman"/>
          <w:b/>
          <w:bCs/>
          <w:color w:val="auto"/>
          <w:sz w:val="24"/>
          <w:szCs w:val="24"/>
          <w:highlight w:val="none"/>
          <w:lang w:val="en-US" w:eastAsia="zh-CN"/>
        </w:rPr>
      </w:pPr>
      <w:bookmarkStart w:id="29" w:name="_Toc27067"/>
      <w:bookmarkStart w:id="30" w:name="_Toc153"/>
      <w:r>
        <w:rPr>
          <w:rFonts w:hint="eastAsia" w:ascii="Times New Roman" w:hAnsi="Times New Roman" w:cs="Times New Roman"/>
          <w:b/>
          <w:bCs/>
          <w:color w:val="auto"/>
          <w:sz w:val="24"/>
          <w:szCs w:val="24"/>
          <w:highlight w:val="none"/>
          <w:lang w:val="en-US" w:eastAsia="zh-CN"/>
        </w:rPr>
        <w:t>（一）</w:t>
      </w:r>
      <w:r>
        <w:rPr>
          <w:rFonts w:hint="default" w:ascii="Times New Roman" w:hAnsi="Times New Roman" w:cs="Times New Roman"/>
          <w:b/>
          <w:bCs/>
          <w:color w:val="auto"/>
          <w:sz w:val="24"/>
          <w:szCs w:val="24"/>
          <w:highlight w:val="none"/>
          <w:lang w:val="en-US" w:eastAsia="zh-CN"/>
        </w:rPr>
        <w:t>通用指标</w:t>
      </w:r>
      <w:bookmarkEnd w:id="29"/>
      <w:bookmarkEnd w:id="30"/>
    </w:p>
    <w:p w14:paraId="657C53C2">
      <w:pPr>
        <w:numPr>
          <w:ilvl w:val="0"/>
          <w:numId w:val="0"/>
        </w:numPr>
        <w:tabs>
          <w:tab w:val="left" w:pos="0"/>
        </w:tabs>
        <w:spacing w:line="360" w:lineRule="auto"/>
        <w:ind w:left="0" w:leftChars="0" w:firstLine="482" w:firstLineChars="200"/>
        <w:jc w:val="left"/>
        <w:outlineLvl w:val="2"/>
        <w:rPr>
          <w:rFonts w:hint="default" w:ascii="Times New Roman" w:hAnsi="Times New Roman" w:cs="Times New Roman"/>
          <w:b/>
          <w:bCs/>
          <w:color w:val="auto"/>
          <w:sz w:val="24"/>
          <w:szCs w:val="24"/>
          <w:highlight w:val="none"/>
          <w:lang w:val="en-US" w:eastAsia="zh-CN"/>
        </w:rPr>
      </w:pPr>
      <w:bookmarkStart w:id="31" w:name="_Toc8914"/>
      <w:bookmarkStart w:id="32" w:name="_Toc21744"/>
      <w:r>
        <w:rPr>
          <w:rFonts w:hint="default" w:ascii="Times New Roman" w:hAnsi="Times New Roman" w:cs="Times New Roman"/>
          <w:b/>
          <w:bCs/>
          <w:color w:val="auto"/>
          <w:sz w:val="24"/>
          <w:szCs w:val="24"/>
          <w:highlight w:val="none"/>
          <w:lang w:val="en-US" w:eastAsia="zh-CN"/>
        </w:rPr>
        <w:t>1.项目决策</w:t>
      </w:r>
      <w:bookmarkEnd w:id="31"/>
      <w:bookmarkEnd w:id="32"/>
    </w:p>
    <w:p w14:paraId="061BA283">
      <w:pPr>
        <w:numPr>
          <w:ilvl w:val="0"/>
          <w:numId w:val="0"/>
        </w:numPr>
        <w:tabs>
          <w:tab w:val="left" w:pos="0"/>
        </w:tabs>
        <w:spacing w:line="360" w:lineRule="auto"/>
        <w:ind w:left="0" w:leftChars="0" w:firstLine="482" w:firstLineChars="200"/>
        <w:jc w:val="left"/>
        <w:outlineLvl w:val="3"/>
        <w:rPr>
          <w:rFonts w:hint="default" w:ascii="Times New Roman" w:hAnsi="Times New Roman" w:cs="Times New Roman"/>
          <w:b/>
          <w:bCs/>
          <w:color w:val="auto"/>
          <w:sz w:val="24"/>
          <w:szCs w:val="24"/>
          <w:highlight w:val="none"/>
          <w:lang w:val="en-US" w:eastAsia="zh-CN"/>
        </w:rPr>
      </w:pPr>
      <w:bookmarkStart w:id="33" w:name="_Toc11669"/>
      <w:r>
        <w:rPr>
          <w:rFonts w:hint="eastAsia" w:ascii="Times New Roman" w:hAnsi="Times New Roman" w:cs="Times New Roman"/>
          <w:b/>
          <w:bCs/>
          <w:color w:val="auto"/>
          <w:sz w:val="24"/>
          <w:szCs w:val="24"/>
          <w:highlight w:val="none"/>
          <w:lang w:val="en-US" w:eastAsia="zh-CN"/>
        </w:rPr>
        <w:t>（1）</w:t>
      </w:r>
      <w:r>
        <w:rPr>
          <w:rFonts w:hint="default" w:ascii="Times New Roman" w:hAnsi="Times New Roman" w:cs="Times New Roman"/>
          <w:b/>
          <w:bCs/>
          <w:color w:val="auto"/>
          <w:sz w:val="24"/>
          <w:szCs w:val="24"/>
          <w:highlight w:val="none"/>
          <w:lang w:val="en-US" w:eastAsia="zh-CN"/>
        </w:rPr>
        <w:t>决策程序</w:t>
      </w:r>
      <w:bookmarkEnd w:id="33"/>
    </w:p>
    <w:p w14:paraId="07600778">
      <w:pPr>
        <w:spacing w:line="560" w:lineRule="exact"/>
        <w:ind w:firstLine="480" w:firstLineChars="200"/>
        <w:jc w:val="left"/>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根据《攀枝花市仁和区促进文旅产业发展若干措施》（攀仁文旅产〔2024〕1 号）等规定，该项目资金主要</w:t>
      </w:r>
      <w:r>
        <w:rPr>
          <w:rFonts w:hint="eastAsia" w:ascii="宋体" w:hAnsi="宋体" w:cs="宋体"/>
          <w:bCs/>
          <w:sz w:val="24"/>
          <w:szCs w:val="24"/>
          <w:lang w:val="en-US" w:eastAsia="zh-CN"/>
        </w:rPr>
        <w:t>用于</w:t>
      </w:r>
      <w:r>
        <w:rPr>
          <w:rFonts w:hint="default" w:ascii="宋体" w:hAnsi="宋体" w:eastAsia="宋体" w:cs="宋体"/>
          <w:bCs/>
          <w:sz w:val="24"/>
          <w:szCs w:val="24"/>
          <w:lang w:val="en-US" w:eastAsia="zh-CN"/>
        </w:rPr>
        <w:t>举办全年重大文化活动、节庆活动、城市推介等活动，做好引客入攀等文旅宣传营销，支持文旅产业发展。展示“天时地利 这里仁和”多元的文化地域特色，丰富群众精神文化生活，巩固服务业发展良好</w:t>
      </w:r>
      <w:r>
        <w:rPr>
          <w:rFonts w:hint="eastAsia" w:ascii="宋体" w:hAnsi="宋体" w:cs="宋体"/>
          <w:bCs/>
          <w:sz w:val="24"/>
          <w:szCs w:val="24"/>
          <w:lang w:val="en-US" w:eastAsia="zh-CN"/>
        </w:rPr>
        <w:t>势态</w:t>
      </w:r>
      <w:r>
        <w:rPr>
          <w:rFonts w:hint="default" w:ascii="宋体" w:hAnsi="宋体" w:eastAsia="宋体" w:cs="宋体"/>
          <w:bCs/>
          <w:sz w:val="24"/>
          <w:szCs w:val="24"/>
          <w:lang w:val="en-US" w:eastAsia="zh-CN"/>
        </w:rPr>
        <w:t>，助推仁和区经济社会高质量发展</w:t>
      </w:r>
      <w:r>
        <w:rPr>
          <w:rFonts w:hint="eastAsia" w:ascii="宋体" w:hAnsi="宋体" w:cs="宋体"/>
          <w:bCs/>
          <w:sz w:val="24"/>
          <w:szCs w:val="24"/>
          <w:lang w:val="en-US" w:eastAsia="zh-CN"/>
        </w:rPr>
        <w:t>。</w:t>
      </w:r>
    </w:p>
    <w:p w14:paraId="124A8C4B">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该项目设立符合专项项目的基本规范及程序标准，项目定位与对应部门的职责范畴高度适配，符合地方事权支出责任划分原则</w:t>
      </w:r>
      <w:r>
        <w:rPr>
          <w:rFonts w:hint="eastAsia" w:ascii="宋体" w:hAnsi="宋体" w:cs="宋体"/>
          <w:bCs/>
          <w:sz w:val="24"/>
          <w:szCs w:val="24"/>
          <w:highlight w:val="none"/>
          <w:lang w:val="en-US" w:eastAsia="zh-CN"/>
        </w:rPr>
        <w:t>。</w:t>
      </w:r>
    </w:p>
    <w:p w14:paraId="48411D25">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综上，“决策程序”指标权重为6分，扣0分，得6分</w:t>
      </w:r>
      <w:r>
        <w:rPr>
          <w:rFonts w:hint="eastAsia" w:ascii="宋体" w:hAnsi="宋体" w:eastAsia="宋体" w:cs="宋体"/>
          <w:bCs/>
          <w:sz w:val="24"/>
          <w:szCs w:val="24"/>
          <w:highlight w:val="none"/>
          <w:lang w:val="en-US" w:eastAsia="zh-CN"/>
        </w:rPr>
        <w:t>。</w:t>
      </w:r>
    </w:p>
    <w:p w14:paraId="0FF33360">
      <w:pPr>
        <w:numPr>
          <w:ilvl w:val="0"/>
          <w:numId w:val="0"/>
        </w:numPr>
        <w:tabs>
          <w:tab w:val="left" w:pos="0"/>
        </w:tabs>
        <w:spacing w:line="360" w:lineRule="auto"/>
        <w:ind w:left="0" w:leftChars="0"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34" w:name="_Toc1693"/>
      <w:r>
        <w:rPr>
          <w:rFonts w:hint="eastAsia" w:ascii="Times New Roman" w:hAnsi="Times New Roman" w:eastAsia="宋体" w:cs="Times New Roman"/>
          <w:b/>
          <w:bCs/>
          <w:color w:val="auto"/>
          <w:sz w:val="24"/>
          <w:szCs w:val="24"/>
          <w:highlight w:val="none"/>
          <w:lang w:val="en-US" w:eastAsia="zh-CN"/>
        </w:rPr>
        <w:t>（2）规划论证</w:t>
      </w:r>
      <w:bookmarkEnd w:id="34"/>
    </w:p>
    <w:p w14:paraId="725A2F97">
      <w:pPr>
        <w:spacing w:line="560" w:lineRule="exact"/>
        <w:ind w:firstLine="480" w:firstLineChars="200"/>
        <w:jc w:val="left"/>
        <w:rPr>
          <w:rFonts w:hint="default" w:ascii="宋体" w:hAnsi="宋体" w:eastAsia="宋体" w:cs="宋体"/>
          <w:bCs/>
          <w:sz w:val="24"/>
          <w:szCs w:val="24"/>
          <w:highlight w:val="yellow"/>
          <w:lang w:val="en-US" w:eastAsia="zh-CN"/>
        </w:rPr>
      </w:pPr>
      <w:r>
        <w:rPr>
          <w:rFonts w:hint="default" w:ascii="宋体" w:hAnsi="宋体" w:eastAsia="宋体" w:cs="宋体"/>
          <w:bCs/>
          <w:sz w:val="24"/>
          <w:szCs w:val="24"/>
          <w:highlight w:val="none"/>
          <w:lang w:val="en-US" w:eastAsia="zh-CN"/>
        </w:rPr>
        <w:t>该项目设立依据充分，项目规划符合省委、省政府决策部署和宏观政策规划，</w:t>
      </w:r>
      <w:r>
        <w:rPr>
          <w:rFonts w:hint="eastAsia" w:ascii="宋体" w:hAnsi="宋体" w:eastAsia="宋体" w:cs="宋体"/>
          <w:bCs/>
          <w:sz w:val="24"/>
          <w:szCs w:val="24"/>
          <w:highlight w:val="none"/>
          <w:lang w:val="en-US" w:eastAsia="zh-CN"/>
        </w:rPr>
        <w:t>具备</w:t>
      </w:r>
      <w:r>
        <w:rPr>
          <w:rFonts w:hint="default" w:ascii="宋体" w:hAnsi="宋体" w:eastAsia="宋体" w:cs="宋体"/>
          <w:bCs/>
          <w:sz w:val="24"/>
          <w:szCs w:val="24"/>
          <w:highlight w:val="none"/>
          <w:lang w:val="en-US" w:eastAsia="zh-CN"/>
        </w:rPr>
        <w:t>项目</w:t>
      </w:r>
      <w:r>
        <w:rPr>
          <w:rFonts w:hint="eastAsia" w:ascii="宋体" w:hAnsi="宋体" w:eastAsia="宋体" w:cs="宋体"/>
          <w:bCs/>
          <w:sz w:val="24"/>
          <w:szCs w:val="24"/>
          <w:highlight w:val="none"/>
          <w:lang w:val="en-US" w:eastAsia="zh-CN"/>
        </w:rPr>
        <w:t>立项的必要性、前瞻性、合理性和可行性。</w:t>
      </w:r>
      <w:r>
        <w:rPr>
          <w:rFonts w:hint="default" w:ascii="宋体" w:hAnsi="宋体" w:eastAsia="宋体" w:cs="宋体"/>
          <w:bCs/>
          <w:sz w:val="24"/>
          <w:szCs w:val="24"/>
          <w:highlight w:val="none"/>
          <w:lang w:val="en-US" w:eastAsia="zh-CN"/>
        </w:rPr>
        <w:t>不存在因规划不够合理导致项目效益欠佳的情况。</w:t>
      </w:r>
    </w:p>
    <w:p w14:paraId="2C5BBA6F">
      <w:pPr>
        <w:spacing w:line="560" w:lineRule="exact"/>
        <w:ind w:firstLine="480" w:firstLineChars="200"/>
        <w:jc w:val="left"/>
        <w:rPr>
          <w:rFonts w:hint="eastAsia"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该项目设置绩效目标表详情见项目结果中“(一)目标 完成”,该项目总体绩效目标设置科学合理、规范完整、量化细化</w:t>
      </w:r>
      <w:r>
        <w:rPr>
          <w:rFonts w:hint="eastAsia" w:ascii="宋体" w:hAnsi="宋体" w:eastAsia="宋体" w:cs="宋体"/>
          <w:bCs/>
          <w:sz w:val="24"/>
          <w:szCs w:val="24"/>
          <w:highlight w:val="none"/>
          <w:lang w:val="en-US" w:eastAsia="zh-CN"/>
        </w:rPr>
        <w:t>，与</w:t>
      </w:r>
      <w:r>
        <w:rPr>
          <w:rFonts w:hint="default" w:ascii="宋体" w:hAnsi="宋体" w:eastAsia="宋体" w:cs="宋体"/>
          <w:bCs/>
          <w:sz w:val="24"/>
          <w:szCs w:val="24"/>
          <w:highlight w:val="none"/>
          <w:lang w:val="en-US" w:eastAsia="zh-CN"/>
        </w:rPr>
        <w:t>预算匹配</w:t>
      </w:r>
      <w:r>
        <w:rPr>
          <w:rFonts w:hint="eastAsia" w:ascii="宋体" w:hAnsi="宋体" w:eastAsia="宋体" w:cs="宋体"/>
          <w:bCs/>
          <w:sz w:val="24"/>
          <w:szCs w:val="24"/>
          <w:highlight w:val="none"/>
          <w:lang w:val="en-US" w:eastAsia="zh-CN"/>
        </w:rPr>
        <w:t>。</w:t>
      </w:r>
    </w:p>
    <w:p w14:paraId="31500DD4">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综上，“规划论证”指标权重为6分，扣0分，得6分。</w:t>
      </w:r>
    </w:p>
    <w:p w14:paraId="5BDDD5BD">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35" w:name="_Toc26317"/>
      <w:r>
        <w:rPr>
          <w:rFonts w:hint="eastAsia" w:ascii="Times New Roman" w:hAnsi="Times New Roman" w:eastAsia="宋体" w:cs="Times New Roman"/>
          <w:b/>
          <w:bCs/>
          <w:color w:val="auto"/>
          <w:sz w:val="24"/>
          <w:szCs w:val="24"/>
          <w:highlight w:val="none"/>
          <w:lang w:val="en-US" w:eastAsia="zh-CN"/>
        </w:rPr>
        <w:t>（3）资金投向</w:t>
      </w:r>
      <w:bookmarkEnd w:id="35"/>
    </w:p>
    <w:p w14:paraId="1EE7B5AC">
      <w:pPr>
        <w:spacing w:line="560" w:lineRule="exact"/>
        <w:ind w:firstLine="480" w:firstLineChars="200"/>
        <w:jc w:val="left"/>
        <w:rPr>
          <w:rFonts w:hint="eastAsia" w:ascii="宋体" w:hAnsi="宋体" w:eastAsia="宋体" w:cs="宋体"/>
          <w:bCs/>
          <w:sz w:val="24"/>
          <w:szCs w:val="24"/>
          <w:highlight w:val="yellow"/>
          <w:lang w:val="en-US" w:eastAsia="zh-CN"/>
        </w:rPr>
      </w:pPr>
      <w:r>
        <w:rPr>
          <w:rFonts w:hint="default" w:ascii="宋体" w:hAnsi="宋体" w:eastAsia="宋体" w:cs="宋体"/>
          <w:bCs/>
          <w:sz w:val="24"/>
          <w:szCs w:val="24"/>
          <w:highlight w:val="none"/>
          <w:lang w:val="en-US" w:eastAsia="zh-CN"/>
        </w:rPr>
        <w:t>该项目属于政府支持范围，且符合财政事权支出责任划分规定，项目资金的使用方向既与项目自身的总体发展规划高度契合，也紧密适配相关行业的事业发展需求</w:t>
      </w:r>
      <w:r>
        <w:rPr>
          <w:rFonts w:hint="eastAsia" w:ascii="宋体" w:hAnsi="宋体" w:cs="宋体"/>
          <w:bCs/>
          <w:sz w:val="24"/>
          <w:szCs w:val="24"/>
          <w:highlight w:val="none"/>
          <w:lang w:val="en-US" w:eastAsia="zh-CN"/>
        </w:rPr>
        <w:t>，投放锚定重点领域，</w:t>
      </w:r>
      <w:r>
        <w:rPr>
          <w:rFonts w:hint="default" w:ascii="宋体" w:hAnsi="宋体" w:eastAsia="宋体" w:cs="宋体"/>
          <w:bCs/>
          <w:sz w:val="24"/>
          <w:szCs w:val="24"/>
          <w:highlight w:val="none"/>
          <w:lang w:val="en-US" w:eastAsia="zh-CN"/>
        </w:rPr>
        <w:t>未与其他同类项目或部门内部相关项目交叉重复</w:t>
      </w:r>
      <w:r>
        <w:rPr>
          <w:rFonts w:hint="eastAsia" w:ascii="宋体" w:hAnsi="宋体" w:eastAsia="宋体" w:cs="宋体"/>
          <w:bCs/>
          <w:sz w:val="24"/>
          <w:szCs w:val="24"/>
          <w:highlight w:val="none"/>
          <w:lang w:val="en-US" w:eastAsia="zh-CN"/>
        </w:rPr>
        <w:t>。</w:t>
      </w:r>
    </w:p>
    <w:p w14:paraId="3200096D">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综上，“资金投向”指标权重为6分，扣0分，得6分。</w:t>
      </w:r>
    </w:p>
    <w:p w14:paraId="350ACCB7">
      <w:pPr>
        <w:numPr>
          <w:ilvl w:val="0"/>
          <w:numId w:val="0"/>
        </w:numPr>
        <w:tabs>
          <w:tab w:val="left" w:pos="0"/>
        </w:tabs>
        <w:spacing w:line="360" w:lineRule="auto"/>
        <w:ind w:left="0" w:leftChars="0" w:firstLine="482" w:firstLineChars="200"/>
        <w:jc w:val="left"/>
        <w:outlineLvl w:val="2"/>
        <w:rPr>
          <w:rFonts w:hint="eastAsia" w:ascii="Times New Roman" w:hAnsi="Times New Roman" w:eastAsia="宋体" w:cs="Times New Roman"/>
          <w:b/>
          <w:bCs/>
          <w:color w:val="auto"/>
          <w:sz w:val="24"/>
          <w:szCs w:val="24"/>
          <w:highlight w:val="none"/>
          <w:lang w:val="en-US" w:eastAsia="zh-CN"/>
        </w:rPr>
      </w:pPr>
      <w:bookmarkStart w:id="36" w:name="_Toc26497"/>
      <w:bookmarkStart w:id="37" w:name="_Toc1999"/>
      <w:r>
        <w:rPr>
          <w:rFonts w:hint="eastAsia" w:ascii="Times New Roman" w:hAnsi="Times New Roman" w:eastAsia="宋体" w:cs="Times New Roman"/>
          <w:b/>
          <w:bCs/>
          <w:color w:val="auto"/>
          <w:sz w:val="24"/>
          <w:szCs w:val="24"/>
          <w:highlight w:val="none"/>
          <w:lang w:val="en-US" w:eastAsia="zh-CN"/>
        </w:rPr>
        <w:t>2.项目管理</w:t>
      </w:r>
      <w:bookmarkEnd w:id="36"/>
      <w:bookmarkEnd w:id="37"/>
    </w:p>
    <w:p w14:paraId="5C103585">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38" w:name="_Toc5573"/>
      <w:r>
        <w:rPr>
          <w:rFonts w:hint="eastAsia"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lang w:val="en-US" w:eastAsia="zh-CN"/>
        </w:rPr>
        <w:t>制度办法</w:t>
      </w:r>
      <w:bookmarkEnd w:id="38"/>
    </w:p>
    <w:p w14:paraId="413E3938">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攀枝花市仁和区文化广播电视和旅游局</w:t>
      </w:r>
      <w:r>
        <w:rPr>
          <w:rFonts w:hint="default" w:ascii="宋体" w:hAnsi="宋体" w:eastAsia="宋体" w:cs="宋体"/>
          <w:bCs/>
          <w:sz w:val="24"/>
          <w:szCs w:val="24"/>
          <w:highlight w:val="none"/>
          <w:lang w:val="en-US" w:eastAsia="zh-CN"/>
        </w:rPr>
        <w:t>制定</w:t>
      </w:r>
      <w:r>
        <w:rPr>
          <w:rFonts w:hint="eastAsia" w:ascii="宋体" w:hAnsi="宋体" w:eastAsia="宋体" w:cs="宋体"/>
          <w:bCs/>
          <w:sz w:val="24"/>
          <w:szCs w:val="24"/>
          <w:highlight w:val="none"/>
          <w:lang w:val="en-US" w:eastAsia="zh-CN"/>
        </w:rPr>
        <w:t>了</w:t>
      </w:r>
      <w:r>
        <w:rPr>
          <w:rFonts w:hint="eastAsia" w:ascii="宋体" w:hAnsi="宋体" w:cs="宋体"/>
          <w:bCs/>
          <w:sz w:val="24"/>
          <w:szCs w:val="24"/>
          <w:highlight w:val="none"/>
          <w:lang w:val="en-US" w:eastAsia="zh-CN"/>
        </w:rPr>
        <w:t>内控制度及专项</w:t>
      </w:r>
      <w:r>
        <w:rPr>
          <w:rFonts w:hint="default" w:ascii="宋体" w:hAnsi="宋体" w:eastAsia="宋体" w:cs="宋体"/>
          <w:bCs/>
          <w:sz w:val="24"/>
          <w:szCs w:val="24"/>
          <w:highlight w:val="none"/>
          <w:lang w:val="en-US" w:eastAsia="zh-CN"/>
        </w:rPr>
        <w:t>资金管理办法</w:t>
      </w:r>
      <w:r>
        <w:rPr>
          <w:rFonts w:hint="eastAsia" w:ascii="宋体" w:hAnsi="宋体" w:eastAsia="宋体" w:cs="宋体"/>
          <w:bCs/>
          <w:sz w:val="24"/>
          <w:szCs w:val="24"/>
          <w:highlight w:val="none"/>
          <w:lang w:val="en-US" w:eastAsia="zh-CN"/>
        </w:rPr>
        <w:t>，资产使用严格遵照《攀枝花市仁和区文广旅局重大节庆及外宣专项资金管理暂行办法》执行。</w:t>
      </w:r>
    </w:p>
    <w:p w14:paraId="512BE8CC">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综上，“制度办法”指标权重为2分，扣0分，得2分。</w:t>
      </w:r>
    </w:p>
    <w:p w14:paraId="5F2DDC8C">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39" w:name="_Toc14306"/>
      <w:r>
        <w:rPr>
          <w:rFonts w:hint="eastAsia"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lang w:val="en-US" w:eastAsia="zh-CN"/>
        </w:rPr>
        <w:t>分配管理</w:t>
      </w:r>
      <w:bookmarkEnd w:id="39"/>
    </w:p>
    <w:p w14:paraId="677FA321">
      <w:pPr>
        <w:spacing w:line="560" w:lineRule="exact"/>
        <w:ind w:firstLine="480" w:firstLineChars="200"/>
        <w:jc w:val="left"/>
        <w:rPr>
          <w:rFonts w:hint="eastAsia" w:ascii="宋体" w:hAnsi="宋体" w:cs="宋体"/>
          <w:bCs/>
          <w:sz w:val="24"/>
          <w:szCs w:val="24"/>
          <w:highlight w:val="none"/>
          <w:lang w:val="en-US" w:eastAsia="zh-CN"/>
        </w:rPr>
      </w:pPr>
      <w:r>
        <w:rPr>
          <w:rFonts w:hint="default" w:ascii="宋体" w:hAnsi="宋体" w:eastAsia="宋体" w:cs="宋体"/>
          <w:bCs/>
          <w:sz w:val="24"/>
          <w:szCs w:val="24"/>
          <w:highlight w:val="none"/>
          <w:lang w:val="en-US" w:eastAsia="zh-CN"/>
        </w:rPr>
        <w:t>根据仁和区文化广播电视和旅游局</w:t>
      </w:r>
      <w:r>
        <w:rPr>
          <w:rFonts w:hint="eastAsia" w:ascii="宋体" w:hAnsi="宋体" w:eastAsia="宋体" w:cs="宋体"/>
          <w:bCs/>
          <w:sz w:val="24"/>
          <w:szCs w:val="24"/>
          <w:highlight w:val="none"/>
          <w:lang w:val="en-US" w:eastAsia="zh-CN"/>
        </w:rPr>
        <w:t>《</w:t>
      </w:r>
      <w:r>
        <w:rPr>
          <w:rFonts w:hint="default" w:ascii="宋体" w:hAnsi="宋体" w:eastAsia="宋体" w:cs="宋体"/>
          <w:bCs/>
          <w:sz w:val="24"/>
          <w:szCs w:val="24"/>
          <w:highlight w:val="none"/>
          <w:lang w:val="en-US" w:eastAsia="zh-CN"/>
        </w:rPr>
        <w:t>2024年部门预算编制》,年初重大节庆及外宣经费</w:t>
      </w:r>
      <w:r>
        <w:rPr>
          <w:rFonts w:hint="eastAsia" w:ascii="宋体" w:hAnsi="宋体" w:eastAsia="宋体" w:cs="宋体"/>
          <w:bCs/>
          <w:sz w:val="24"/>
          <w:szCs w:val="24"/>
          <w:highlight w:val="none"/>
          <w:lang w:val="en-US" w:eastAsia="zh-CN"/>
        </w:rPr>
        <w:t>项目</w:t>
      </w:r>
      <w:r>
        <w:rPr>
          <w:rFonts w:hint="default" w:ascii="宋体" w:hAnsi="宋体" w:eastAsia="宋体" w:cs="宋体"/>
          <w:bCs/>
          <w:sz w:val="24"/>
          <w:szCs w:val="24"/>
          <w:highlight w:val="none"/>
          <w:lang w:val="en-US" w:eastAsia="zh-CN"/>
        </w:rPr>
        <w:t>预算数为33</w:t>
      </w:r>
      <w:r>
        <w:rPr>
          <w:rFonts w:hint="eastAsia" w:ascii="宋体" w:hAnsi="宋体" w:cs="宋体"/>
          <w:bCs/>
          <w:sz w:val="24"/>
          <w:szCs w:val="24"/>
          <w:highlight w:val="none"/>
          <w:lang w:val="en-US" w:eastAsia="zh-CN"/>
        </w:rPr>
        <w:t>,</w:t>
      </w:r>
      <w:r>
        <w:rPr>
          <w:rFonts w:hint="default" w:ascii="宋体" w:hAnsi="宋体" w:eastAsia="宋体" w:cs="宋体"/>
          <w:bCs/>
          <w:sz w:val="24"/>
          <w:szCs w:val="24"/>
          <w:highlight w:val="none"/>
          <w:lang w:val="en-US" w:eastAsia="zh-CN"/>
        </w:rPr>
        <w:t>000</w:t>
      </w:r>
      <w:r>
        <w:rPr>
          <w:rFonts w:hint="eastAsia" w:ascii="宋体" w:hAnsi="宋体" w:cs="宋体"/>
          <w:bCs/>
          <w:sz w:val="24"/>
          <w:szCs w:val="24"/>
          <w:highlight w:val="none"/>
          <w:lang w:val="en-US" w:eastAsia="zh-CN"/>
        </w:rPr>
        <w:t>,</w:t>
      </w:r>
      <w:r>
        <w:rPr>
          <w:rFonts w:hint="default" w:ascii="宋体" w:hAnsi="宋体" w:eastAsia="宋体" w:cs="宋体"/>
          <w:bCs/>
          <w:sz w:val="24"/>
          <w:szCs w:val="24"/>
          <w:highlight w:val="none"/>
          <w:lang w:val="en-US" w:eastAsia="zh-CN"/>
        </w:rPr>
        <w:t>000</w:t>
      </w:r>
      <w:r>
        <w:rPr>
          <w:rFonts w:hint="eastAsia" w:ascii="宋体" w:hAnsi="宋体" w:cs="宋体"/>
          <w:bCs/>
          <w:sz w:val="24"/>
          <w:szCs w:val="24"/>
          <w:highlight w:val="none"/>
          <w:lang w:val="en-US" w:eastAsia="zh-CN"/>
        </w:rPr>
        <w:t>.00</w:t>
      </w:r>
      <w:r>
        <w:rPr>
          <w:rFonts w:hint="default" w:ascii="宋体" w:hAnsi="宋体" w:eastAsia="宋体" w:cs="宋体"/>
          <w:bCs/>
          <w:sz w:val="24"/>
          <w:szCs w:val="24"/>
          <w:highlight w:val="none"/>
          <w:lang w:val="en-US" w:eastAsia="zh-CN"/>
        </w:rPr>
        <w:t>元，</w:t>
      </w:r>
      <w:r>
        <w:rPr>
          <w:rFonts w:hint="eastAsia" w:ascii="宋体" w:hAnsi="宋体" w:cs="宋体"/>
          <w:bCs/>
          <w:sz w:val="24"/>
          <w:szCs w:val="24"/>
          <w:highlight w:val="none"/>
          <w:lang w:val="en-US" w:eastAsia="zh-CN"/>
        </w:rPr>
        <w:t>预算收回指标</w:t>
      </w:r>
      <w:r>
        <w:rPr>
          <w:rFonts w:hint="default" w:ascii="宋体" w:hAnsi="宋体" w:eastAsia="宋体" w:cs="宋体"/>
          <w:bCs/>
          <w:sz w:val="24"/>
          <w:szCs w:val="24"/>
          <w:highlight w:val="none"/>
          <w:lang w:val="en-US" w:eastAsia="zh-CN"/>
        </w:rPr>
        <w:t>24</w:t>
      </w:r>
      <w:r>
        <w:rPr>
          <w:rFonts w:hint="eastAsia" w:ascii="宋体" w:hAnsi="宋体" w:cs="宋体"/>
          <w:bCs/>
          <w:sz w:val="24"/>
          <w:szCs w:val="24"/>
          <w:highlight w:val="none"/>
          <w:lang w:val="en-US" w:eastAsia="zh-CN"/>
        </w:rPr>
        <w:t>,</w:t>
      </w:r>
      <w:r>
        <w:rPr>
          <w:rFonts w:hint="default" w:ascii="宋体" w:hAnsi="宋体" w:eastAsia="宋体" w:cs="宋体"/>
          <w:bCs/>
          <w:sz w:val="24"/>
          <w:szCs w:val="24"/>
          <w:highlight w:val="none"/>
          <w:lang w:val="en-US" w:eastAsia="zh-CN"/>
        </w:rPr>
        <w:t>736</w:t>
      </w:r>
      <w:r>
        <w:rPr>
          <w:rFonts w:hint="eastAsia" w:ascii="宋体" w:hAnsi="宋体" w:cs="宋体"/>
          <w:bCs/>
          <w:sz w:val="24"/>
          <w:szCs w:val="24"/>
          <w:highlight w:val="none"/>
          <w:lang w:val="en-US" w:eastAsia="zh-CN"/>
        </w:rPr>
        <w:t>,</w:t>
      </w:r>
      <w:r>
        <w:rPr>
          <w:rFonts w:hint="default" w:ascii="宋体" w:hAnsi="宋体" w:eastAsia="宋体" w:cs="宋体"/>
          <w:bCs/>
          <w:sz w:val="24"/>
          <w:szCs w:val="24"/>
          <w:highlight w:val="none"/>
          <w:lang w:val="en-US" w:eastAsia="zh-CN"/>
        </w:rPr>
        <w:t>967.06</w:t>
      </w:r>
      <w:r>
        <w:rPr>
          <w:rFonts w:hint="eastAsia" w:ascii="宋体" w:hAnsi="宋体" w:cs="宋体"/>
          <w:bCs/>
          <w:sz w:val="24"/>
          <w:szCs w:val="24"/>
          <w:highlight w:val="none"/>
          <w:lang w:val="en-US" w:eastAsia="zh-CN"/>
        </w:rPr>
        <w:t>元，</w:t>
      </w:r>
      <w:r>
        <w:rPr>
          <w:rFonts w:hint="default" w:ascii="宋体" w:hAnsi="宋体" w:eastAsia="宋体" w:cs="宋体"/>
          <w:bCs/>
          <w:sz w:val="24"/>
          <w:szCs w:val="24"/>
          <w:highlight w:val="none"/>
          <w:lang w:val="en-US" w:eastAsia="zh-CN"/>
        </w:rPr>
        <w:t>该项目到位资金</w:t>
      </w:r>
      <w:r>
        <w:rPr>
          <w:rFonts w:hint="eastAsia" w:ascii="宋体" w:hAnsi="宋体" w:eastAsia="宋体" w:cs="宋体"/>
          <w:bCs/>
          <w:sz w:val="24"/>
          <w:szCs w:val="24"/>
          <w:highlight w:val="none"/>
          <w:lang w:val="en-US" w:eastAsia="zh-CN"/>
        </w:rPr>
        <w:t>8</w:t>
      </w:r>
      <w:r>
        <w:rPr>
          <w:rFonts w:hint="eastAsia" w:ascii="宋体" w:hAnsi="宋体" w:cs="宋体"/>
          <w:bCs/>
          <w:sz w:val="24"/>
          <w:szCs w:val="24"/>
          <w:highlight w:val="none"/>
          <w:lang w:val="en-US" w:eastAsia="zh-CN"/>
        </w:rPr>
        <w:t>,</w:t>
      </w:r>
      <w:r>
        <w:rPr>
          <w:rFonts w:hint="eastAsia" w:ascii="宋体" w:hAnsi="宋体" w:eastAsia="宋体" w:cs="宋体"/>
          <w:bCs/>
          <w:sz w:val="24"/>
          <w:szCs w:val="24"/>
          <w:highlight w:val="none"/>
          <w:lang w:val="en-US" w:eastAsia="zh-CN"/>
        </w:rPr>
        <w:t>263</w:t>
      </w:r>
      <w:r>
        <w:rPr>
          <w:rFonts w:hint="eastAsia" w:ascii="宋体" w:hAnsi="宋体" w:cs="宋体"/>
          <w:bCs/>
          <w:sz w:val="24"/>
          <w:szCs w:val="24"/>
          <w:highlight w:val="none"/>
          <w:lang w:val="en-US" w:eastAsia="zh-CN"/>
        </w:rPr>
        <w:t>,</w:t>
      </w:r>
      <w:r>
        <w:rPr>
          <w:rFonts w:hint="eastAsia" w:ascii="宋体" w:hAnsi="宋体" w:eastAsia="宋体" w:cs="宋体"/>
          <w:bCs/>
          <w:sz w:val="24"/>
          <w:szCs w:val="24"/>
          <w:highlight w:val="none"/>
          <w:lang w:val="en-US" w:eastAsia="zh-CN"/>
        </w:rPr>
        <w:t>032.94</w:t>
      </w:r>
      <w:r>
        <w:rPr>
          <w:rFonts w:hint="default" w:ascii="宋体" w:hAnsi="宋体" w:eastAsia="宋体" w:cs="宋体"/>
          <w:bCs/>
          <w:sz w:val="24"/>
          <w:szCs w:val="24"/>
          <w:highlight w:val="none"/>
          <w:lang w:val="en-US" w:eastAsia="zh-CN"/>
        </w:rPr>
        <w:t>元</w:t>
      </w:r>
      <w:r>
        <w:rPr>
          <w:rFonts w:hint="eastAsia" w:ascii="宋体" w:hAnsi="宋体" w:cs="宋体"/>
          <w:bCs/>
          <w:sz w:val="24"/>
          <w:szCs w:val="24"/>
          <w:highlight w:val="none"/>
          <w:lang w:val="en-US" w:eastAsia="zh-CN"/>
        </w:rPr>
        <w:t>，资金到位率100%。</w:t>
      </w:r>
    </w:p>
    <w:p w14:paraId="4F10BAAB">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综上，“制度办法”指标权重为10分，扣0分，得10分。</w:t>
      </w:r>
    </w:p>
    <w:p w14:paraId="6B321D8C">
      <w:pPr>
        <w:numPr>
          <w:ilvl w:val="0"/>
          <w:numId w:val="0"/>
        </w:numPr>
        <w:tabs>
          <w:tab w:val="left" w:pos="0"/>
        </w:tabs>
        <w:spacing w:line="360" w:lineRule="auto"/>
        <w:ind w:left="420" w:leftChars="200" w:firstLine="0" w:firstLineChars="0"/>
        <w:jc w:val="left"/>
        <w:outlineLvl w:val="3"/>
        <w:rPr>
          <w:rFonts w:hint="eastAsia" w:ascii="Times New Roman" w:hAnsi="Times New Roman" w:eastAsia="宋体" w:cs="Times New Roman"/>
          <w:b/>
          <w:bCs/>
          <w:color w:val="auto"/>
          <w:sz w:val="24"/>
          <w:szCs w:val="24"/>
          <w:highlight w:val="none"/>
          <w:lang w:val="en-US" w:eastAsia="zh-CN"/>
        </w:rPr>
      </w:pPr>
      <w:bookmarkStart w:id="40" w:name="_Toc20670"/>
      <w:r>
        <w:rPr>
          <w:rFonts w:hint="eastAsia" w:ascii="Times New Roman" w:hAnsi="Times New Roman" w:eastAsia="宋体" w:cs="Times New Roman"/>
          <w:b/>
          <w:bCs/>
          <w:color w:val="auto"/>
          <w:sz w:val="24"/>
          <w:szCs w:val="24"/>
          <w:highlight w:val="none"/>
          <w:lang w:val="en-US" w:eastAsia="zh-CN"/>
        </w:rPr>
        <w:t>（3）绩效监管</w:t>
      </w:r>
      <w:bookmarkEnd w:id="40"/>
    </w:p>
    <w:p w14:paraId="4A2632A9">
      <w:pPr>
        <w:spacing w:line="560" w:lineRule="exact"/>
        <w:ind w:firstLine="480" w:firstLineChars="200"/>
        <w:jc w:val="left"/>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仁和区</w:t>
      </w:r>
      <w:r>
        <w:rPr>
          <w:rFonts w:hint="eastAsia" w:ascii="宋体" w:hAnsi="宋体" w:cs="宋体"/>
          <w:bCs/>
          <w:sz w:val="24"/>
          <w:szCs w:val="24"/>
          <w:lang w:val="en-US" w:eastAsia="zh-CN"/>
        </w:rPr>
        <w:t>商务局</w:t>
      </w:r>
      <w:r>
        <w:rPr>
          <w:rFonts w:hint="default" w:ascii="宋体" w:hAnsi="宋体" w:eastAsia="宋体" w:cs="宋体"/>
          <w:bCs/>
          <w:sz w:val="24"/>
          <w:szCs w:val="24"/>
          <w:lang w:val="en-US" w:eastAsia="zh-CN"/>
        </w:rPr>
        <w:t>已完成该项目绩效目标（含事前评估）、绩效监控和绩效评价等预算绩效管理工作</w:t>
      </w:r>
      <w:r>
        <w:rPr>
          <w:rFonts w:hint="eastAsia" w:ascii="宋体" w:hAnsi="宋体" w:eastAsia="宋体" w:cs="宋体"/>
          <w:bCs/>
          <w:sz w:val="24"/>
          <w:szCs w:val="24"/>
          <w:lang w:val="en-US" w:eastAsia="zh-CN"/>
        </w:rPr>
        <w:t>。</w:t>
      </w:r>
    </w:p>
    <w:p w14:paraId="429000D1">
      <w:pPr>
        <w:spacing w:line="560" w:lineRule="exact"/>
        <w:ind w:firstLine="480" w:firstLineChars="200"/>
        <w:jc w:val="left"/>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综上，“绩效监管”指标权重为</w:t>
      </w:r>
      <w:r>
        <w:rPr>
          <w:rFonts w:hint="eastAsia" w:ascii="宋体" w:hAnsi="宋体" w:eastAsia="宋体" w:cs="宋体"/>
          <w:bCs/>
          <w:sz w:val="24"/>
          <w:szCs w:val="24"/>
          <w:lang w:val="en-US" w:eastAsia="zh-CN"/>
        </w:rPr>
        <w:t>6</w:t>
      </w:r>
      <w:r>
        <w:rPr>
          <w:rFonts w:hint="default" w:ascii="宋体" w:hAnsi="宋体" w:eastAsia="宋体" w:cs="宋体"/>
          <w:bCs/>
          <w:sz w:val="24"/>
          <w:szCs w:val="24"/>
          <w:lang w:val="en-US" w:eastAsia="zh-CN"/>
        </w:rPr>
        <w:t>分，扣0分，得</w:t>
      </w:r>
      <w:r>
        <w:rPr>
          <w:rFonts w:hint="eastAsia" w:ascii="宋体" w:hAnsi="宋体" w:eastAsia="宋体" w:cs="宋体"/>
          <w:bCs/>
          <w:sz w:val="24"/>
          <w:szCs w:val="24"/>
          <w:lang w:val="en-US" w:eastAsia="zh-CN"/>
        </w:rPr>
        <w:t>6</w:t>
      </w:r>
      <w:r>
        <w:rPr>
          <w:rFonts w:hint="default" w:ascii="宋体" w:hAnsi="宋体" w:eastAsia="宋体" w:cs="宋体"/>
          <w:bCs/>
          <w:sz w:val="24"/>
          <w:szCs w:val="24"/>
          <w:lang w:val="en-US" w:eastAsia="zh-CN"/>
        </w:rPr>
        <w:t>分。</w:t>
      </w:r>
    </w:p>
    <w:p w14:paraId="38BA7928">
      <w:pPr>
        <w:numPr>
          <w:ilvl w:val="0"/>
          <w:numId w:val="0"/>
        </w:numPr>
        <w:tabs>
          <w:tab w:val="left" w:pos="0"/>
        </w:tabs>
        <w:spacing w:line="360" w:lineRule="auto"/>
        <w:ind w:left="0" w:leftChars="0" w:firstLine="482" w:firstLineChars="200"/>
        <w:jc w:val="left"/>
        <w:outlineLvl w:val="2"/>
        <w:rPr>
          <w:rFonts w:hint="eastAsia" w:ascii="Times New Roman" w:hAnsi="Times New Roman" w:eastAsia="宋体" w:cs="Times New Roman"/>
          <w:b/>
          <w:bCs/>
          <w:color w:val="auto"/>
          <w:sz w:val="24"/>
          <w:szCs w:val="24"/>
          <w:highlight w:val="none"/>
          <w:lang w:val="en-US" w:eastAsia="zh-CN"/>
        </w:rPr>
      </w:pPr>
      <w:bookmarkStart w:id="41" w:name="_Toc28617"/>
      <w:bookmarkStart w:id="42" w:name="_Toc7938"/>
      <w:r>
        <w:rPr>
          <w:rFonts w:hint="eastAsia" w:ascii="Times New Roman" w:hAnsi="Times New Roman" w:eastAsia="宋体" w:cs="Times New Roman"/>
          <w:b/>
          <w:bCs/>
          <w:color w:val="auto"/>
          <w:sz w:val="24"/>
          <w:szCs w:val="24"/>
          <w:highlight w:val="none"/>
          <w:lang w:val="en-US" w:eastAsia="zh-CN"/>
        </w:rPr>
        <w:t>3.项目实施</w:t>
      </w:r>
      <w:bookmarkEnd w:id="41"/>
      <w:bookmarkEnd w:id="42"/>
    </w:p>
    <w:p w14:paraId="3D1A5801">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43" w:name="_Toc26206"/>
      <w:r>
        <w:rPr>
          <w:rFonts w:hint="eastAsia"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lang w:val="en-US" w:eastAsia="zh-CN"/>
        </w:rPr>
        <w:t>预算执行</w:t>
      </w:r>
      <w:bookmarkEnd w:id="43"/>
    </w:p>
    <w:p w14:paraId="08BD45CB">
      <w:pPr>
        <w:spacing w:line="560" w:lineRule="exact"/>
        <w:ind w:firstLine="480" w:firstLineChars="200"/>
        <w:jc w:val="left"/>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该</w:t>
      </w:r>
      <w:r>
        <w:rPr>
          <w:rFonts w:hint="default" w:ascii="宋体" w:hAnsi="宋体" w:eastAsia="宋体" w:cs="宋体"/>
          <w:bCs/>
          <w:sz w:val="24"/>
          <w:szCs w:val="24"/>
          <w:highlight w:val="none"/>
          <w:lang w:val="en-US" w:eastAsia="zh-CN"/>
        </w:rPr>
        <w:t>项目预算资金8,263,032.94元，实际到位资金8,263,032.94元</w:t>
      </w:r>
      <w:r>
        <w:rPr>
          <w:rFonts w:hint="eastAsia" w:ascii="宋体" w:hAnsi="宋体" w:eastAsia="宋体" w:cs="宋体"/>
          <w:bCs/>
          <w:sz w:val="24"/>
          <w:szCs w:val="24"/>
          <w:highlight w:val="none"/>
          <w:lang w:val="en-US" w:eastAsia="zh-CN"/>
        </w:rPr>
        <w:t>。</w:t>
      </w:r>
      <w:r>
        <w:rPr>
          <w:rFonts w:hint="default" w:ascii="宋体" w:hAnsi="宋体" w:eastAsia="宋体" w:cs="宋体"/>
          <w:bCs/>
          <w:sz w:val="24"/>
          <w:szCs w:val="24"/>
          <w:highlight w:val="none"/>
          <w:lang w:val="en-US" w:eastAsia="zh-CN"/>
        </w:rPr>
        <w:t>单位实际支付资金</w:t>
      </w:r>
      <w:r>
        <w:rPr>
          <w:rFonts w:hint="eastAsia" w:ascii="宋体" w:hAnsi="宋体" w:eastAsia="宋体" w:cs="宋体"/>
          <w:bCs/>
          <w:sz w:val="24"/>
          <w:szCs w:val="24"/>
          <w:highlight w:val="none"/>
          <w:lang w:val="en-US" w:eastAsia="zh-CN"/>
        </w:rPr>
        <w:t>8,263,032.94</w:t>
      </w:r>
      <w:r>
        <w:rPr>
          <w:rFonts w:hint="default" w:ascii="宋体" w:hAnsi="宋体" w:eastAsia="宋体" w:cs="宋体"/>
          <w:bCs/>
          <w:sz w:val="24"/>
          <w:szCs w:val="24"/>
          <w:highlight w:val="none"/>
          <w:lang w:val="en-US" w:eastAsia="zh-CN"/>
        </w:rPr>
        <w:t>元</w:t>
      </w:r>
      <w:r>
        <w:rPr>
          <w:rFonts w:hint="eastAsia" w:ascii="宋体" w:hAnsi="宋体" w:eastAsia="宋体" w:cs="宋体"/>
          <w:bCs/>
          <w:sz w:val="24"/>
          <w:szCs w:val="24"/>
          <w:highlight w:val="none"/>
          <w:lang w:val="en-US" w:eastAsia="zh-CN"/>
        </w:rPr>
        <w:t>。资金使用率100%。</w:t>
      </w:r>
    </w:p>
    <w:p w14:paraId="16218796">
      <w:pPr>
        <w:spacing w:line="560" w:lineRule="exact"/>
        <w:ind w:firstLine="480" w:firstLineChars="200"/>
        <w:jc w:val="left"/>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综上，“预算执行”指标权重为</w:t>
      </w:r>
      <w:r>
        <w:rPr>
          <w:rFonts w:hint="eastAsia" w:ascii="宋体" w:hAnsi="宋体" w:eastAsia="宋体" w:cs="宋体"/>
          <w:bCs/>
          <w:sz w:val="24"/>
          <w:szCs w:val="24"/>
          <w:lang w:val="en-US" w:eastAsia="zh-CN"/>
        </w:rPr>
        <w:t>3</w:t>
      </w:r>
      <w:r>
        <w:rPr>
          <w:rFonts w:hint="default" w:ascii="宋体" w:hAnsi="宋体" w:eastAsia="宋体" w:cs="宋体"/>
          <w:bCs/>
          <w:sz w:val="24"/>
          <w:szCs w:val="24"/>
          <w:lang w:val="en-US" w:eastAsia="zh-CN"/>
        </w:rPr>
        <w:t>分，扣0分，得</w:t>
      </w:r>
      <w:r>
        <w:rPr>
          <w:rFonts w:hint="eastAsia" w:ascii="宋体" w:hAnsi="宋体" w:eastAsia="宋体" w:cs="宋体"/>
          <w:bCs/>
          <w:sz w:val="24"/>
          <w:szCs w:val="24"/>
          <w:lang w:val="en-US" w:eastAsia="zh-CN"/>
        </w:rPr>
        <w:t>3</w:t>
      </w:r>
      <w:r>
        <w:rPr>
          <w:rFonts w:hint="default" w:ascii="宋体" w:hAnsi="宋体" w:eastAsia="宋体" w:cs="宋体"/>
          <w:bCs/>
          <w:sz w:val="24"/>
          <w:szCs w:val="24"/>
          <w:lang w:val="en-US" w:eastAsia="zh-CN"/>
        </w:rPr>
        <w:t>分。</w:t>
      </w:r>
    </w:p>
    <w:p w14:paraId="702C37E1">
      <w:pPr>
        <w:numPr>
          <w:ilvl w:val="0"/>
          <w:numId w:val="6"/>
        </w:numPr>
        <w:tabs>
          <w:tab w:val="left" w:pos="0"/>
        </w:tabs>
        <w:spacing w:line="360" w:lineRule="auto"/>
        <w:ind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44" w:name="_Toc17342"/>
      <w:r>
        <w:rPr>
          <w:rFonts w:hint="eastAsia" w:ascii="Times New Roman" w:hAnsi="Times New Roman" w:eastAsia="宋体" w:cs="Times New Roman"/>
          <w:b/>
          <w:bCs/>
          <w:color w:val="auto"/>
          <w:sz w:val="24"/>
          <w:szCs w:val="24"/>
          <w:highlight w:val="none"/>
          <w:lang w:val="en-US" w:eastAsia="zh-CN"/>
        </w:rPr>
        <w:t>资金使用</w:t>
      </w:r>
      <w:bookmarkEnd w:id="44"/>
    </w:p>
    <w:p w14:paraId="1556E356">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截至202</w:t>
      </w:r>
      <w:r>
        <w:rPr>
          <w:rFonts w:hint="eastAsia" w:ascii="宋体" w:hAnsi="宋体" w:eastAsia="宋体" w:cs="宋体"/>
          <w:bCs/>
          <w:sz w:val="24"/>
          <w:szCs w:val="24"/>
          <w:highlight w:val="none"/>
          <w:lang w:val="en-US" w:eastAsia="zh-CN"/>
        </w:rPr>
        <w:t>4</w:t>
      </w:r>
      <w:r>
        <w:rPr>
          <w:rFonts w:hint="default" w:ascii="宋体" w:hAnsi="宋体" w:eastAsia="宋体" w:cs="宋体"/>
          <w:bCs/>
          <w:sz w:val="24"/>
          <w:szCs w:val="24"/>
          <w:highlight w:val="none"/>
          <w:lang w:val="en-US" w:eastAsia="zh-CN"/>
        </w:rPr>
        <w:t>年12月31日，该项目资金支付金额合计8,263,032.94元。经查看财务资料和项目资料，项目资金使用、 拨付符合国家财经法规、财务管理制度及有关专项资金管理制度办法规定和审批程序</w:t>
      </w:r>
      <w:r>
        <w:rPr>
          <w:rFonts w:hint="eastAsia" w:ascii="宋体" w:hAnsi="宋体" w:eastAsia="宋体" w:cs="宋体"/>
          <w:bCs/>
          <w:sz w:val="24"/>
          <w:szCs w:val="24"/>
          <w:highlight w:val="none"/>
          <w:lang w:val="en-US" w:eastAsia="zh-CN"/>
        </w:rPr>
        <w:t>。未发现资金损失浪费、长期沉淀、 截留、挤占、挪用、虚列支出等情况，项目实施遵守相关法律法规</w:t>
      </w:r>
      <w:r>
        <w:rPr>
          <w:rFonts w:hint="eastAsia" w:ascii="宋体" w:hAnsi="宋体" w:cs="宋体"/>
          <w:bCs/>
          <w:sz w:val="24"/>
          <w:szCs w:val="24"/>
          <w:highlight w:val="none"/>
          <w:lang w:val="en-US" w:eastAsia="zh-CN"/>
        </w:rPr>
        <w:t>。</w:t>
      </w:r>
    </w:p>
    <w:p w14:paraId="3CC11D79">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综上，“资金使用”指标权重为</w:t>
      </w:r>
      <w:r>
        <w:rPr>
          <w:rFonts w:hint="eastAsia" w:ascii="宋体" w:hAnsi="宋体" w:eastAsia="宋体" w:cs="宋体"/>
          <w:bCs/>
          <w:sz w:val="24"/>
          <w:szCs w:val="24"/>
          <w:highlight w:val="none"/>
          <w:lang w:val="en-US" w:eastAsia="zh-CN"/>
        </w:rPr>
        <w:t>6</w:t>
      </w:r>
      <w:r>
        <w:rPr>
          <w:rFonts w:hint="default" w:ascii="宋体" w:hAnsi="宋体" w:eastAsia="宋体" w:cs="宋体"/>
          <w:bCs/>
          <w:sz w:val="24"/>
          <w:szCs w:val="24"/>
          <w:highlight w:val="none"/>
          <w:lang w:val="en-US" w:eastAsia="zh-CN"/>
        </w:rPr>
        <w:t>分，扣</w:t>
      </w:r>
      <w:r>
        <w:rPr>
          <w:rFonts w:hint="eastAsia" w:ascii="宋体" w:hAnsi="宋体" w:cs="宋体"/>
          <w:bCs/>
          <w:sz w:val="24"/>
          <w:szCs w:val="24"/>
          <w:highlight w:val="none"/>
          <w:lang w:val="en-US" w:eastAsia="zh-CN"/>
        </w:rPr>
        <w:t>0</w:t>
      </w:r>
      <w:r>
        <w:rPr>
          <w:rFonts w:hint="default"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6</w:t>
      </w:r>
      <w:r>
        <w:rPr>
          <w:rFonts w:hint="default" w:ascii="宋体" w:hAnsi="宋体" w:eastAsia="宋体" w:cs="宋体"/>
          <w:bCs/>
          <w:sz w:val="24"/>
          <w:szCs w:val="24"/>
          <w:highlight w:val="none"/>
          <w:lang w:val="en-US" w:eastAsia="zh-CN"/>
        </w:rPr>
        <w:t>分。</w:t>
      </w:r>
    </w:p>
    <w:p w14:paraId="059D295E">
      <w:pPr>
        <w:numPr>
          <w:ilvl w:val="0"/>
          <w:numId w:val="0"/>
        </w:numPr>
        <w:tabs>
          <w:tab w:val="left" w:pos="0"/>
        </w:tabs>
        <w:spacing w:line="360" w:lineRule="auto"/>
        <w:ind w:left="0" w:leftChars="0" w:firstLine="482" w:firstLineChars="200"/>
        <w:jc w:val="left"/>
        <w:outlineLvl w:val="2"/>
        <w:rPr>
          <w:rFonts w:hint="eastAsia" w:ascii="Times New Roman" w:hAnsi="Times New Roman" w:eastAsia="宋体" w:cs="Times New Roman"/>
          <w:b/>
          <w:bCs/>
          <w:color w:val="auto"/>
          <w:sz w:val="24"/>
          <w:szCs w:val="24"/>
          <w:highlight w:val="none"/>
          <w:lang w:val="en-US" w:eastAsia="zh-CN"/>
        </w:rPr>
      </w:pPr>
      <w:bookmarkStart w:id="45" w:name="_Toc29559"/>
      <w:bookmarkStart w:id="46" w:name="_Toc8548"/>
      <w:r>
        <w:rPr>
          <w:rFonts w:hint="eastAsia" w:ascii="Times New Roman" w:hAnsi="Times New Roman" w:eastAsia="宋体" w:cs="Times New Roman"/>
          <w:b/>
          <w:bCs/>
          <w:color w:val="auto"/>
          <w:sz w:val="24"/>
          <w:szCs w:val="24"/>
          <w:highlight w:val="none"/>
          <w:lang w:val="en-US" w:eastAsia="zh-CN"/>
        </w:rPr>
        <w:t>4.项目结果</w:t>
      </w:r>
      <w:bookmarkEnd w:id="45"/>
      <w:bookmarkEnd w:id="46"/>
    </w:p>
    <w:p w14:paraId="0495549B">
      <w:pPr>
        <w:numPr>
          <w:ilvl w:val="0"/>
          <w:numId w:val="0"/>
        </w:numPr>
        <w:tabs>
          <w:tab w:val="left" w:pos="0"/>
        </w:tabs>
        <w:spacing w:line="360" w:lineRule="auto"/>
        <w:ind w:left="0" w:leftChars="0"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47" w:name="_Toc9780"/>
      <w:r>
        <w:rPr>
          <w:rFonts w:hint="eastAsia" w:ascii="Times New Roman" w:hAnsi="Times New Roman" w:eastAsia="宋体" w:cs="Times New Roman"/>
          <w:b/>
          <w:bCs/>
          <w:color w:val="auto"/>
          <w:sz w:val="24"/>
          <w:szCs w:val="24"/>
          <w:highlight w:val="none"/>
          <w:lang w:val="en-US" w:eastAsia="zh-CN"/>
        </w:rPr>
        <w:t>（1）目标完成</w:t>
      </w:r>
      <w:bookmarkEnd w:id="47"/>
    </w:p>
    <w:p w14:paraId="7C64E250">
      <w:pPr>
        <w:spacing w:line="560" w:lineRule="exact"/>
        <w:ind w:firstLine="480" w:firstLineChars="200"/>
        <w:jc w:val="left"/>
        <w:rPr>
          <w:rFonts w:hint="eastAsia" w:ascii="宋体" w:hAnsi="宋体" w:eastAsia="宋体" w:cs="宋体"/>
          <w:bCs/>
          <w:sz w:val="24"/>
          <w:szCs w:val="24"/>
          <w:lang w:val="en-US" w:eastAsia="zh-CN"/>
        </w:rPr>
      </w:pPr>
      <w:r>
        <w:rPr>
          <w:rFonts w:hint="default" w:ascii="宋体" w:hAnsi="宋体" w:eastAsia="宋体" w:cs="宋体"/>
          <w:bCs/>
          <w:sz w:val="24"/>
          <w:szCs w:val="24"/>
          <w:highlight w:val="none"/>
          <w:lang w:val="en-US" w:eastAsia="zh-CN"/>
        </w:rPr>
        <w:t>根据该项目</w:t>
      </w:r>
      <w:r>
        <w:rPr>
          <w:rFonts w:hint="eastAsia" w:ascii="宋体" w:hAnsi="宋体" w:eastAsia="宋体" w:cs="宋体"/>
          <w:bCs/>
          <w:sz w:val="24"/>
          <w:szCs w:val="24"/>
          <w:highlight w:val="none"/>
          <w:lang w:val="en-US" w:eastAsia="zh-CN"/>
        </w:rPr>
        <w:t>《</w:t>
      </w:r>
      <w:r>
        <w:rPr>
          <w:rFonts w:hint="default" w:ascii="宋体" w:hAnsi="宋体" w:eastAsia="宋体" w:cs="宋体"/>
          <w:bCs/>
          <w:sz w:val="24"/>
          <w:szCs w:val="24"/>
          <w:highlight w:val="none"/>
          <w:lang w:val="en-US" w:eastAsia="zh-CN"/>
        </w:rPr>
        <w:t>绩效目标</w:t>
      </w:r>
      <w:r>
        <w:rPr>
          <w:rFonts w:hint="eastAsia" w:ascii="宋体" w:hAnsi="宋体" w:eastAsia="宋体" w:cs="宋体"/>
          <w:bCs/>
          <w:sz w:val="24"/>
          <w:szCs w:val="24"/>
          <w:highlight w:val="none"/>
          <w:lang w:val="en-US" w:eastAsia="zh-CN"/>
        </w:rPr>
        <w:t>申报</w:t>
      </w:r>
      <w:r>
        <w:rPr>
          <w:rFonts w:hint="default" w:ascii="宋体" w:hAnsi="宋体" w:eastAsia="宋体" w:cs="宋体"/>
          <w:bCs/>
          <w:sz w:val="24"/>
          <w:szCs w:val="24"/>
          <w:highlight w:val="none"/>
          <w:lang w:val="en-US" w:eastAsia="zh-CN"/>
        </w:rPr>
        <w:t>表</w:t>
      </w:r>
      <w:r>
        <w:rPr>
          <w:rFonts w:hint="eastAsia" w:ascii="宋体" w:hAnsi="宋体" w:eastAsia="宋体" w:cs="宋体"/>
          <w:bCs/>
          <w:sz w:val="24"/>
          <w:szCs w:val="24"/>
          <w:highlight w:val="none"/>
          <w:lang w:val="en-US" w:eastAsia="zh-CN"/>
        </w:rPr>
        <w:t>》</w:t>
      </w:r>
      <w:r>
        <w:rPr>
          <w:rFonts w:hint="default" w:ascii="宋体" w:hAnsi="宋体" w:eastAsia="宋体" w:cs="宋体"/>
          <w:bCs/>
          <w:sz w:val="24"/>
          <w:szCs w:val="24"/>
          <w:highlight w:val="none"/>
          <w:lang w:val="en-US" w:eastAsia="zh-CN"/>
        </w:rPr>
        <w:t>，项目总体目标为</w:t>
      </w:r>
      <w:r>
        <w:rPr>
          <w:rFonts w:hint="eastAsia" w:ascii="宋体" w:hAnsi="宋体" w:eastAsia="宋体" w:cs="宋体"/>
          <w:bCs/>
          <w:sz w:val="24"/>
          <w:szCs w:val="24"/>
          <w:highlight w:val="none"/>
          <w:lang w:val="en-US" w:eastAsia="zh-CN"/>
        </w:rPr>
        <w:t>围绕举办全年重大文化活动、节庆活动、城市推介等活动，做好引客入攀等文旅宣传营销，支持文旅产业发展</w:t>
      </w:r>
      <w:r>
        <w:rPr>
          <w:rFonts w:hint="eastAsia" w:ascii="宋体" w:hAnsi="宋体" w:cs="宋体"/>
          <w:bCs/>
          <w:sz w:val="24"/>
          <w:szCs w:val="24"/>
          <w:highlight w:val="none"/>
          <w:lang w:val="en-US" w:eastAsia="zh-CN"/>
        </w:rPr>
        <w:t>等三</w:t>
      </w:r>
      <w:r>
        <w:rPr>
          <w:rFonts w:hint="eastAsia" w:ascii="宋体" w:hAnsi="宋体" w:eastAsia="宋体" w:cs="宋体"/>
          <w:bCs/>
          <w:sz w:val="24"/>
          <w:szCs w:val="24"/>
          <w:highlight w:val="none"/>
          <w:lang w:val="en-US" w:eastAsia="zh-CN"/>
        </w:rPr>
        <w:t>大核心事项，合理统筹项目经费，确保各项工作有序落地</w:t>
      </w:r>
      <w:r>
        <w:rPr>
          <w:rFonts w:hint="default" w:ascii="宋体" w:hAnsi="宋体" w:eastAsia="宋体" w:cs="宋体"/>
          <w:bCs/>
          <w:sz w:val="24"/>
          <w:szCs w:val="24"/>
          <w:highlight w:val="none"/>
          <w:lang w:val="en-US" w:eastAsia="zh-CN"/>
        </w:rPr>
        <w:t>。具体指标设置如下</w:t>
      </w:r>
      <w:r>
        <w:rPr>
          <w:rFonts w:hint="eastAsia" w:ascii="宋体" w:hAnsi="宋体" w:eastAsia="宋体" w:cs="宋体"/>
          <w:bCs/>
          <w:sz w:val="24"/>
          <w:szCs w:val="24"/>
          <w:highlight w:val="none"/>
          <w:lang w:val="en-US" w:eastAsia="zh-CN"/>
        </w:rPr>
        <w:t>：</w:t>
      </w:r>
    </w:p>
    <w:tbl>
      <w:tblPr>
        <w:tblStyle w:val="11"/>
        <w:tblW w:w="107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21"/>
        <w:gridCol w:w="1351"/>
        <w:gridCol w:w="4444"/>
        <w:gridCol w:w="1539"/>
        <w:gridCol w:w="2316"/>
      </w:tblGrid>
      <w:tr w14:paraId="7E20C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blHeader/>
          <w:jc w:val="center"/>
        </w:trPr>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0C58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1"/>
                <w:szCs w:val="21"/>
                <w:u w:val="none"/>
              </w:rPr>
            </w:pPr>
            <w:r>
              <w:rPr>
                <w:rFonts w:hint="eastAsia" w:ascii="宋体" w:hAnsi="宋体" w:eastAsia="宋体" w:cs="宋体"/>
                <w:b/>
                <w:i w:val="0"/>
                <w:iCs w:val="0"/>
                <w:color w:val="000000"/>
                <w:kern w:val="0"/>
                <w:sz w:val="21"/>
                <w:szCs w:val="21"/>
                <w:u w:val="none"/>
                <w:lang w:val="en-US" w:eastAsia="zh-CN" w:bidi="ar"/>
              </w:rPr>
              <w:t>一级指标</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D85E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1"/>
                <w:szCs w:val="21"/>
                <w:u w:val="none"/>
              </w:rPr>
            </w:pPr>
            <w:r>
              <w:rPr>
                <w:rFonts w:hint="eastAsia" w:ascii="宋体" w:hAnsi="宋体" w:eastAsia="宋体" w:cs="宋体"/>
                <w:b/>
                <w:i w:val="0"/>
                <w:iCs w:val="0"/>
                <w:color w:val="000000"/>
                <w:kern w:val="0"/>
                <w:sz w:val="21"/>
                <w:szCs w:val="21"/>
                <w:u w:val="none"/>
                <w:lang w:val="en-US" w:eastAsia="zh-CN" w:bidi="ar"/>
              </w:rPr>
              <w:t>二级指标</w:t>
            </w:r>
          </w:p>
        </w:tc>
        <w:tc>
          <w:tcPr>
            <w:tcW w:w="4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D3D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1"/>
                <w:szCs w:val="21"/>
                <w:u w:val="none"/>
              </w:rPr>
            </w:pPr>
            <w:r>
              <w:rPr>
                <w:rFonts w:hint="eastAsia" w:ascii="宋体" w:hAnsi="宋体" w:eastAsia="宋体" w:cs="宋体"/>
                <w:b/>
                <w:i w:val="0"/>
                <w:iCs w:val="0"/>
                <w:color w:val="000000"/>
                <w:kern w:val="0"/>
                <w:sz w:val="21"/>
                <w:szCs w:val="21"/>
                <w:u w:val="none"/>
                <w:lang w:val="en-US" w:eastAsia="zh-CN" w:bidi="ar"/>
              </w:rPr>
              <w:t>三级指标</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588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1"/>
                <w:szCs w:val="21"/>
                <w:u w:val="none"/>
              </w:rPr>
            </w:pPr>
            <w:r>
              <w:rPr>
                <w:rFonts w:hint="eastAsia" w:ascii="宋体" w:hAnsi="宋体" w:eastAsia="宋体" w:cs="宋体"/>
                <w:b/>
                <w:i w:val="0"/>
                <w:iCs w:val="0"/>
                <w:color w:val="000000"/>
                <w:kern w:val="0"/>
                <w:sz w:val="21"/>
                <w:szCs w:val="21"/>
                <w:u w:val="none"/>
                <w:lang w:val="en-US" w:eastAsia="zh-CN" w:bidi="ar"/>
              </w:rPr>
              <w:t>指标值</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74EC3">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i w:val="0"/>
                <w:iCs w:val="0"/>
                <w:color w:val="000000"/>
                <w:kern w:val="0"/>
                <w:sz w:val="21"/>
                <w:szCs w:val="21"/>
                <w:u w:val="none"/>
                <w:lang w:val="en-US" w:eastAsia="zh-CN" w:bidi="ar"/>
              </w:rPr>
            </w:pPr>
            <w:r>
              <w:rPr>
                <w:rFonts w:hint="eastAsia" w:ascii="宋体" w:hAnsi="宋体" w:eastAsia="宋体" w:cs="宋体"/>
                <w:b/>
                <w:i w:val="0"/>
                <w:iCs w:val="0"/>
                <w:color w:val="000000"/>
                <w:kern w:val="0"/>
                <w:sz w:val="21"/>
                <w:szCs w:val="21"/>
                <w:u w:val="none"/>
                <w:lang w:val="en-US" w:eastAsia="zh-CN" w:bidi="ar"/>
              </w:rPr>
              <w:t>完成情况</w:t>
            </w:r>
          </w:p>
        </w:tc>
      </w:tr>
      <w:tr w14:paraId="6A9BD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jc w:val="center"/>
        </w:trPr>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30CF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项目完成</w:t>
            </w:r>
          </w:p>
        </w:tc>
        <w:tc>
          <w:tcPr>
            <w:tcW w:w="13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F664C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4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8964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2023年重大文化节庆活动</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1605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21场</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E95D9">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完成</w:t>
            </w:r>
          </w:p>
        </w:tc>
      </w:tr>
      <w:tr w14:paraId="66D11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22944">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3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DAD72">
            <w:pPr>
              <w:snapToGrid w:val="0"/>
              <w:ind w:left="0" w:leftChars="0" w:right="0" w:rightChars="0" w:firstLine="0" w:firstLineChars="0"/>
              <w:jc w:val="left"/>
              <w:rPr>
                <w:rFonts w:hint="eastAsia" w:ascii="宋体" w:hAnsi="宋体" w:eastAsia="宋体" w:cs="宋体"/>
                <w:i w:val="0"/>
                <w:iCs w:val="0"/>
                <w:color w:val="000000"/>
                <w:sz w:val="24"/>
                <w:szCs w:val="24"/>
                <w:u w:val="none"/>
              </w:rPr>
            </w:pPr>
          </w:p>
        </w:tc>
        <w:tc>
          <w:tcPr>
            <w:tcW w:w="4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ABA2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2024年重大文化节庆活动</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65E0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≥18场</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6D35C">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完成</w:t>
            </w:r>
          </w:p>
        </w:tc>
      </w:tr>
      <w:tr w14:paraId="4B23D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93C9A">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3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A36E9">
            <w:pPr>
              <w:snapToGrid w:val="0"/>
              <w:ind w:left="0" w:leftChars="0" w:right="0" w:rightChars="0" w:firstLine="0" w:firstLineChars="0"/>
              <w:jc w:val="left"/>
              <w:rPr>
                <w:rFonts w:hint="eastAsia" w:ascii="宋体" w:hAnsi="宋体" w:eastAsia="宋体" w:cs="宋体"/>
                <w:i w:val="0"/>
                <w:iCs w:val="0"/>
                <w:color w:val="000000"/>
                <w:sz w:val="24"/>
                <w:szCs w:val="24"/>
                <w:u w:val="none"/>
              </w:rPr>
            </w:pPr>
          </w:p>
        </w:tc>
        <w:tc>
          <w:tcPr>
            <w:tcW w:w="4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E719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开展城市推介活动</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924C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≥4场</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260F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完成</w:t>
            </w:r>
          </w:p>
        </w:tc>
      </w:tr>
      <w:tr w14:paraId="59054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3BB61">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3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00070">
            <w:pPr>
              <w:snapToGrid w:val="0"/>
              <w:ind w:left="0" w:leftChars="0" w:right="0" w:rightChars="0" w:firstLine="0" w:firstLineChars="0"/>
              <w:jc w:val="left"/>
              <w:rPr>
                <w:rFonts w:hint="eastAsia" w:ascii="宋体" w:hAnsi="宋体" w:eastAsia="宋体" w:cs="宋体"/>
                <w:i w:val="0"/>
                <w:iCs w:val="0"/>
                <w:color w:val="000000"/>
                <w:sz w:val="24"/>
                <w:szCs w:val="24"/>
                <w:u w:val="none"/>
              </w:rPr>
            </w:pPr>
          </w:p>
        </w:tc>
        <w:tc>
          <w:tcPr>
            <w:tcW w:w="4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41E4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搭建文旅宣传账号</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9790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3个</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D1BD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完成</w:t>
            </w:r>
          </w:p>
        </w:tc>
      </w:tr>
      <w:tr w14:paraId="0D23F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FD55D">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3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46773E">
            <w:pPr>
              <w:snapToGrid w:val="0"/>
              <w:ind w:left="0" w:leftChars="0" w:right="0" w:rightChars="0" w:firstLine="0" w:firstLineChars="0"/>
              <w:jc w:val="left"/>
              <w:rPr>
                <w:rFonts w:hint="eastAsia" w:ascii="宋体" w:hAnsi="宋体" w:eastAsia="宋体" w:cs="宋体"/>
                <w:i w:val="0"/>
                <w:iCs w:val="0"/>
                <w:color w:val="000000"/>
                <w:sz w:val="24"/>
                <w:szCs w:val="24"/>
                <w:u w:val="none"/>
              </w:rPr>
            </w:pPr>
          </w:p>
        </w:tc>
        <w:tc>
          <w:tcPr>
            <w:tcW w:w="4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DF98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制作文旅宣传品</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4309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≥3类</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9F4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完成</w:t>
            </w:r>
          </w:p>
        </w:tc>
      </w:tr>
      <w:tr w14:paraId="3704B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4DD18">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3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B7B7E">
            <w:pPr>
              <w:snapToGrid w:val="0"/>
              <w:ind w:left="0" w:leftChars="0" w:right="0" w:rightChars="0" w:firstLine="0" w:firstLineChars="0"/>
              <w:jc w:val="left"/>
              <w:rPr>
                <w:rFonts w:hint="eastAsia" w:ascii="宋体" w:hAnsi="宋体" w:eastAsia="宋体" w:cs="宋体"/>
                <w:i w:val="0"/>
                <w:iCs w:val="0"/>
                <w:color w:val="000000"/>
                <w:sz w:val="24"/>
                <w:szCs w:val="24"/>
                <w:u w:val="none"/>
              </w:rPr>
            </w:pPr>
          </w:p>
        </w:tc>
        <w:tc>
          <w:tcPr>
            <w:tcW w:w="4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4024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旅游商品研发创作</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4367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≥2个系列</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1A21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完成</w:t>
            </w:r>
          </w:p>
        </w:tc>
      </w:tr>
      <w:tr w14:paraId="1FE1C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8F578">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3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AE27F">
            <w:pPr>
              <w:snapToGrid w:val="0"/>
              <w:ind w:left="0" w:leftChars="0" w:right="0" w:rightChars="0" w:firstLine="0" w:firstLineChars="0"/>
              <w:jc w:val="left"/>
              <w:rPr>
                <w:rFonts w:hint="eastAsia" w:ascii="宋体" w:hAnsi="宋体" w:eastAsia="宋体" w:cs="宋体"/>
                <w:i w:val="0"/>
                <w:iCs w:val="0"/>
                <w:color w:val="000000"/>
                <w:sz w:val="24"/>
                <w:szCs w:val="24"/>
                <w:u w:val="none"/>
              </w:rPr>
            </w:pPr>
          </w:p>
        </w:tc>
        <w:tc>
          <w:tcPr>
            <w:tcW w:w="4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79E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扶持文旅品牌创建</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1303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≥3个</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BCC9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完成</w:t>
            </w:r>
          </w:p>
        </w:tc>
      </w:tr>
      <w:tr w14:paraId="6B19D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609237">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3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13ED5">
            <w:pPr>
              <w:snapToGrid w:val="0"/>
              <w:ind w:left="0" w:leftChars="0" w:right="0" w:rightChars="0" w:firstLine="0" w:firstLineChars="0"/>
              <w:jc w:val="left"/>
              <w:rPr>
                <w:rFonts w:hint="eastAsia" w:ascii="宋体" w:hAnsi="宋体" w:eastAsia="宋体" w:cs="宋体"/>
                <w:i w:val="0"/>
                <w:iCs w:val="0"/>
                <w:color w:val="000000"/>
                <w:sz w:val="24"/>
                <w:szCs w:val="24"/>
                <w:u w:val="none"/>
              </w:rPr>
            </w:pPr>
          </w:p>
        </w:tc>
        <w:tc>
          <w:tcPr>
            <w:tcW w:w="4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2433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扶持旅行社发展</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5AD3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≥1家</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FDFA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完成</w:t>
            </w:r>
          </w:p>
        </w:tc>
      </w:tr>
      <w:tr w14:paraId="742E3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434F8">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62D9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4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4B74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相关文旅工作正常开展效率</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5C20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2F09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完成</w:t>
            </w:r>
          </w:p>
        </w:tc>
      </w:tr>
      <w:tr w14:paraId="31D88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D3C73">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4EC9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4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B9CD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完成全年重大文化节庆活动、宣传营销工作、实施《攀枝花市仁和区促进文旅产业发展措施 》</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F172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2024.01-2024.12</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08CE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完成</w:t>
            </w:r>
          </w:p>
        </w:tc>
      </w:tr>
      <w:tr w14:paraId="5A632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0A355">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3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83D9C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4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7A3C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2023年重大活动经费</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7C6B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≤1300万元</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544E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完成</w:t>
            </w:r>
          </w:p>
        </w:tc>
      </w:tr>
      <w:tr w14:paraId="10934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5C34B">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3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74AE2">
            <w:pPr>
              <w:snapToGrid w:val="0"/>
              <w:ind w:left="0" w:leftChars="0" w:right="0" w:rightChars="0" w:firstLine="0" w:firstLineChars="0"/>
              <w:jc w:val="left"/>
              <w:rPr>
                <w:rFonts w:hint="eastAsia" w:ascii="宋体" w:hAnsi="宋体" w:eastAsia="宋体" w:cs="宋体"/>
                <w:i w:val="0"/>
                <w:iCs w:val="0"/>
                <w:color w:val="000000"/>
                <w:sz w:val="24"/>
                <w:szCs w:val="24"/>
                <w:u w:val="none"/>
              </w:rPr>
            </w:pPr>
          </w:p>
        </w:tc>
        <w:tc>
          <w:tcPr>
            <w:tcW w:w="4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D584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2024年重大活动</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85D0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≤1200万元</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6CA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完成</w:t>
            </w:r>
          </w:p>
        </w:tc>
      </w:tr>
      <w:tr w14:paraId="63A48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A5FCB">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3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79FCC">
            <w:pPr>
              <w:snapToGrid w:val="0"/>
              <w:ind w:left="0" w:leftChars="0" w:right="0" w:rightChars="0" w:firstLine="0" w:firstLineChars="0"/>
              <w:jc w:val="left"/>
              <w:rPr>
                <w:rFonts w:hint="eastAsia" w:ascii="宋体" w:hAnsi="宋体" w:eastAsia="宋体" w:cs="宋体"/>
                <w:i w:val="0"/>
                <w:iCs w:val="0"/>
                <w:color w:val="000000"/>
                <w:sz w:val="24"/>
                <w:szCs w:val="24"/>
                <w:u w:val="none"/>
              </w:rPr>
            </w:pPr>
          </w:p>
        </w:tc>
        <w:tc>
          <w:tcPr>
            <w:tcW w:w="4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B6C6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文旅产业扶持资金</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7A79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≤800万元</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3E2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完成</w:t>
            </w:r>
          </w:p>
        </w:tc>
      </w:tr>
      <w:tr w14:paraId="2F20A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72199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项目效益</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2F1F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4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73F3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打造文旅品牌</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E845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带动文旅综合消费发展持续升温</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B188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1"/>
                <w:szCs w:val="21"/>
                <w:u w:val="none"/>
                <w:lang w:val="en-US" w:eastAsia="zh-CN" w:bidi="ar"/>
              </w:rPr>
              <w:t>通过成功举办围绕迤沙拉的 “姊妹节”“火把节”“五一慢漫生活” 等节庆活动，有效带动当地民宿产业发展，助力地方增收，推动文旅综合消费发展持续升温</w:t>
            </w:r>
          </w:p>
        </w:tc>
      </w:tr>
      <w:tr w14:paraId="38D07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8F0A0">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28E1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4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D61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提高仁和区城市知名度和影响力</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C0A2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扩大城市知名度</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31755">
            <w:pPr>
              <w:keepNext w:val="0"/>
              <w:keepLines w:val="0"/>
              <w:widowControl/>
              <w:suppressLineNumbers w:val="0"/>
              <w:snapToGrid w:val="0"/>
              <w:ind w:left="0" w:leftChars="0" w:right="0" w:rightChars="0" w:firstLine="0" w:firstLineChars="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1"/>
                <w:szCs w:val="21"/>
                <w:u w:val="none"/>
                <w:lang w:val="en-US" w:eastAsia="zh-CN" w:bidi="ar"/>
              </w:rPr>
              <w:t>通过各种宣传渠道，对</w:t>
            </w:r>
            <w:r>
              <w:rPr>
                <w:rFonts w:hint="eastAsia" w:ascii="宋体" w:hAnsi="宋体" w:eastAsia="宋体" w:cs="宋体"/>
                <w:i w:val="0"/>
                <w:iCs w:val="0"/>
                <w:color w:val="000000"/>
                <w:kern w:val="0"/>
                <w:sz w:val="21"/>
                <w:szCs w:val="21"/>
                <w:u w:val="none"/>
                <w:lang w:val="en-US" w:eastAsia="zh-CN" w:bidi="ar"/>
              </w:rPr>
              <w:t>仁和区城市知名度和影响力</w:t>
            </w:r>
            <w:r>
              <w:rPr>
                <w:rFonts w:hint="eastAsia" w:ascii="宋体" w:hAnsi="宋体" w:cs="宋体"/>
                <w:i w:val="0"/>
                <w:iCs w:val="0"/>
                <w:color w:val="000000"/>
                <w:kern w:val="0"/>
                <w:sz w:val="21"/>
                <w:szCs w:val="21"/>
                <w:u w:val="none"/>
                <w:lang w:val="en-US" w:eastAsia="zh-CN" w:bidi="ar"/>
              </w:rPr>
              <w:t>起到了促进作用</w:t>
            </w:r>
          </w:p>
        </w:tc>
      </w:tr>
      <w:tr w14:paraId="5AAC6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62B6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1A15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4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1EB3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群众满意度</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AB30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Style w:val="15"/>
                <w:lang w:val="en-US" w:eastAsia="zh-CN" w:bidi="ar"/>
              </w:rPr>
              <w:t>≥</w:t>
            </w:r>
            <w:r>
              <w:rPr>
                <w:rFonts w:hint="eastAsia" w:ascii="宋体" w:hAnsi="宋体" w:eastAsia="宋体" w:cs="宋体"/>
                <w:i w:val="0"/>
                <w:iCs w:val="0"/>
                <w:color w:val="000000"/>
                <w:kern w:val="0"/>
                <w:sz w:val="24"/>
                <w:szCs w:val="24"/>
                <w:u w:val="none"/>
                <w:lang w:val="en-US" w:eastAsia="zh-CN" w:bidi="ar"/>
              </w:rPr>
              <w:t>90%</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DDABB">
            <w:pPr>
              <w:keepNext w:val="0"/>
              <w:keepLines w:val="0"/>
              <w:widowControl/>
              <w:suppressLineNumbers w:val="0"/>
              <w:snapToGrid w:val="0"/>
              <w:ind w:left="0" w:leftChars="0" w:right="0" w:rightChars="0" w:firstLine="0" w:firstLineChars="0"/>
              <w:jc w:val="center"/>
              <w:textAlignment w:val="center"/>
              <w:rPr>
                <w:rStyle w:val="15"/>
                <w:lang w:val="en-US" w:eastAsia="zh-CN" w:bidi="ar"/>
              </w:rPr>
            </w:pPr>
            <w:r>
              <w:rPr>
                <w:rFonts w:hint="eastAsia" w:ascii="宋体" w:hAnsi="宋体" w:cs="宋体"/>
                <w:i w:val="0"/>
                <w:iCs w:val="0"/>
                <w:color w:val="000000"/>
                <w:kern w:val="0"/>
                <w:sz w:val="24"/>
                <w:szCs w:val="24"/>
                <w:u w:val="none"/>
                <w:lang w:val="en-US" w:eastAsia="zh-CN" w:bidi="ar"/>
              </w:rPr>
              <w:t>完成</w:t>
            </w:r>
          </w:p>
        </w:tc>
      </w:tr>
    </w:tbl>
    <w:p w14:paraId="457FB7F2">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综上，“目标完成”指标权重为6分，扣</w:t>
      </w:r>
      <w:r>
        <w:rPr>
          <w:rFonts w:hint="eastAsia" w:ascii="宋体" w:hAnsi="宋体" w:cs="宋体"/>
          <w:bCs/>
          <w:sz w:val="24"/>
          <w:szCs w:val="24"/>
          <w:highlight w:val="none"/>
          <w:lang w:val="en-US" w:eastAsia="zh-CN"/>
        </w:rPr>
        <w:t>0</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6</w:t>
      </w:r>
      <w:r>
        <w:rPr>
          <w:rFonts w:hint="eastAsia" w:ascii="宋体" w:hAnsi="宋体" w:eastAsia="宋体" w:cs="宋体"/>
          <w:bCs/>
          <w:sz w:val="24"/>
          <w:szCs w:val="24"/>
          <w:highlight w:val="none"/>
          <w:lang w:val="en-US" w:eastAsia="zh-CN"/>
        </w:rPr>
        <w:t>分。</w:t>
      </w:r>
    </w:p>
    <w:p w14:paraId="55C40211">
      <w:pPr>
        <w:numPr>
          <w:ilvl w:val="0"/>
          <w:numId w:val="0"/>
        </w:numPr>
        <w:tabs>
          <w:tab w:val="left" w:pos="0"/>
        </w:tabs>
        <w:spacing w:line="360" w:lineRule="auto"/>
        <w:ind w:left="0" w:leftChars="0"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48" w:name="_Toc15344"/>
      <w:r>
        <w:rPr>
          <w:rFonts w:hint="eastAsia" w:ascii="Times New Roman" w:hAnsi="Times New Roman" w:eastAsia="宋体" w:cs="Times New Roman"/>
          <w:b/>
          <w:bCs/>
          <w:color w:val="auto"/>
          <w:sz w:val="24"/>
          <w:szCs w:val="24"/>
          <w:highlight w:val="none"/>
          <w:lang w:val="en-US" w:eastAsia="zh-CN"/>
        </w:rPr>
        <w:t>（2）完成时效</w:t>
      </w:r>
      <w:bookmarkEnd w:id="48"/>
    </w:p>
    <w:p w14:paraId="5FBF5CA3">
      <w:pPr>
        <w:spacing w:line="560" w:lineRule="exact"/>
        <w:ind w:firstLine="480" w:firstLineChars="200"/>
        <w:jc w:val="left"/>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该项目计划完成期间为202</w:t>
      </w:r>
      <w:r>
        <w:rPr>
          <w:rFonts w:hint="eastAsia" w:ascii="宋体" w:hAnsi="宋体" w:eastAsia="宋体" w:cs="宋体"/>
          <w:bCs/>
          <w:sz w:val="24"/>
          <w:szCs w:val="24"/>
          <w:lang w:val="en-US" w:eastAsia="zh-CN"/>
        </w:rPr>
        <w:t>4</w:t>
      </w:r>
      <w:r>
        <w:rPr>
          <w:rFonts w:hint="default" w:ascii="宋体" w:hAnsi="宋体" w:eastAsia="宋体" w:cs="宋体"/>
          <w:bCs/>
          <w:sz w:val="24"/>
          <w:szCs w:val="24"/>
          <w:lang w:val="en-US" w:eastAsia="zh-CN"/>
        </w:rPr>
        <w:t>年1月至202</w:t>
      </w:r>
      <w:r>
        <w:rPr>
          <w:rFonts w:hint="eastAsia" w:ascii="宋体" w:hAnsi="宋体" w:eastAsia="宋体" w:cs="宋体"/>
          <w:bCs/>
          <w:sz w:val="24"/>
          <w:szCs w:val="24"/>
          <w:lang w:val="en-US" w:eastAsia="zh-CN"/>
        </w:rPr>
        <w:t>4</w:t>
      </w:r>
      <w:r>
        <w:rPr>
          <w:rFonts w:hint="default" w:ascii="宋体" w:hAnsi="宋体" w:eastAsia="宋体" w:cs="宋体"/>
          <w:bCs/>
          <w:sz w:val="24"/>
          <w:szCs w:val="24"/>
          <w:lang w:val="en-US" w:eastAsia="zh-CN"/>
        </w:rPr>
        <w:t>年12月， 实际完成期间为202</w:t>
      </w:r>
      <w:r>
        <w:rPr>
          <w:rFonts w:hint="eastAsia" w:ascii="宋体" w:hAnsi="宋体" w:eastAsia="宋体" w:cs="宋体"/>
          <w:bCs/>
          <w:sz w:val="24"/>
          <w:szCs w:val="24"/>
          <w:lang w:val="en-US" w:eastAsia="zh-CN"/>
        </w:rPr>
        <w:t>4</w:t>
      </w:r>
      <w:r>
        <w:rPr>
          <w:rFonts w:hint="default" w:ascii="宋体" w:hAnsi="宋体" w:eastAsia="宋体" w:cs="宋体"/>
          <w:bCs/>
          <w:sz w:val="24"/>
          <w:szCs w:val="24"/>
          <w:lang w:val="en-US" w:eastAsia="zh-CN"/>
        </w:rPr>
        <w:t>年1月至202</w:t>
      </w:r>
      <w:r>
        <w:rPr>
          <w:rFonts w:hint="eastAsia" w:ascii="宋体" w:hAnsi="宋体" w:eastAsia="宋体" w:cs="宋体"/>
          <w:bCs/>
          <w:sz w:val="24"/>
          <w:szCs w:val="24"/>
          <w:lang w:val="en-US" w:eastAsia="zh-CN"/>
        </w:rPr>
        <w:t>4</w:t>
      </w:r>
      <w:r>
        <w:rPr>
          <w:rFonts w:hint="default" w:ascii="宋体" w:hAnsi="宋体" w:eastAsia="宋体" w:cs="宋体"/>
          <w:bCs/>
          <w:sz w:val="24"/>
          <w:szCs w:val="24"/>
          <w:lang w:val="en-US" w:eastAsia="zh-CN"/>
        </w:rPr>
        <w:t>年12月</w:t>
      </w:r>
      <w:r>
        <w:rPr>
          <w:rFonts w:hint="eastAsia" w:ascii="宋体" w:hAnsi="宋体" w:eastAsia="宋体" w:cs="宋体"/>
          <w:bCs/>
          <w:sz w:val="24"/>
          <w:szCs w:val="24"/>
          <w:lang w:val="en-US" w:eastAsia="zh-CN"/>
        </w:rPr>
        <w:t>。</w:t>
      </w:r>
    </w:p>
    <w:p w14:paraId="2237C8D6">
      <w:pPr>
        <w:spacing w:line="560" w:lineRule="exact"/>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综上，“完成时效”指标权重为3分，扣0分，得3分。</w:t>
      </w:r>
    </w:p>
    <w:p w14:paraId="42F37992">
      <w:pPr>
        <w:numPr>
          <w:ilvl w:val="0"/>
          <w:numId w:val="7"/>
        </w:numPr>
        <w:tabs>
          <w:tab w:val="left" w:pos="0"/>
        </w:tabs>
        <w:spacing w:line="360" w:lineRule="auto"/>
        <w:ind w:firstLine="482" w:firstLineChars="200"/>
        <w:jc w:val="left"/>
        <w:outlineLvl w:val="1"/>
        <w:rPr>
          <w:rFonts w:hint="default" w:ascii="Times New Roman" w:hAnsi="Times New Roman" w:eastAsia="宋体" w:cs="Times New Roman"/>
          <w:b/>
          <w:bCs/>
          <w:color w:val="auto"/>
          <w:sz w:val="24"/>
          <w:szCs w:val="24"/>
          <w:highlight w:val="none"/>
          <w:lang w:val="en-US" w:eastAsia="zh-CN"/>
        </w:rPr>
      </w:pPr>
      <w:bookmarkStart w:id="49" w:name="_Toc21968"/>
      <w:bookmarkStart w:id="50" w:name="_Toc1261"/>
      <w:r>
        <w:rPr>
          <w:rFonts w:hint="eastAsia" w:ascii="Times New Roman" w:hAnsi="Times New Roman" w:eastAsia="宋体" w:cs="Times New Roman"/>
          <w:b/>
          <w:bCs/>
          <w:color w:val="auto"/>
          <w:sz w:val="24"/>
          <w:szCs w:val="24"/>
          <w:highlight w:val="none"/>
          <w:lang w:val="en-US" w:eastAsia="zh-CN"/>
        </w:rPr>
        <w:t>专用指标</w:t>
      </w:r>
      <w:bookmarkEnd w:id="49"/>
      <w:bookmarkEnd w:id="50"/>
    </w:p>
    <w:p w14:paraId="03AC0D69">
      <w:pPr>
        <w:numPr>
          <w:ilvl w:val="0"/>
          <w:numId w:val="0"/>
        </w:numPr>
        <w:tabs>
          <w:tab w:val="left" w:pos="0"/>
        </w:tabs>
        <w:spacing w:line="360" w:lineRule="auto"/>
        <w:ind w:left="0" w:leftChars="0" w:firstLine="482" w:firstLineChars="200"/>
        <w:jc w:val="left"/>
        <w:outlineLvl w:val="2"/>
        <w:rPr>
          <w:rFonts w:hint="default" w:ascii="Times New Roman" w:hAnsi="Times New Roman" w:eastAsia="宋体" w:cs="Times New Roman"/>
          <w:b/>
          <w:bCs/>
          <w:color w:val="auto"/>
          <w:sz w:val="24"/>
          <w:szCs w:val="24"/>
          <w:highlight w:val="none"/>
          <w:lang w:val="en-US" w:eastAsia="zh-CN"/>
        </w:rPr>
      </w:pPr>
      <w:bookmarkStart w:id="51" w:name="_Toc2089"/>
      <w:bookmarkStart w:id="52" w:name="_Toc10806"/>
      <w:r>
        <w:rPr>
          <w:rFonts w:hint="eastAsia" w:ascii="Times New Roman" w:hAnsi="Times New Roman" w:eastAsia="宋体" w:cs="Times New Roman"/>
          <w:b/>
          <w:bCs/>
          <w:color w:val="auto"/>
          <w:sz w:val="24"/>
          <w:szCs w:val="24"/>
          <w:highlight w:val="none"/>
          <w:lang w:val="en-US" w:eastAsia="zh-CN"/>
        </w:rPr>
        <w:t>1.</w:t>
      </w:r>
      <w:bookmarkEnd w:id="51"/>
      <w:r>
        <w:rPr>
          <w:rFonts w:hint="eastAsia" w:ascii="Times New Roman" w:hAnsi="Times New Roman" w:eastAsia="宋体" w:cs="Times New Roman"/>
          <w:b/>
          <w:bCs/>
          <w:color w:val="auto"/>
          <w:sz w:val="24"/>
          <w:szCs w:val="24"/>
          <w:highlight w:val="none"/>
          <w:lang w:val="en-US" w:eastAsia="zh-CN"/>
        </w:rPr>
        <w:t>产业发展</w:t>
      </w:r>
      <w:bookmarkEnd w:id="52"/>
    </w:p>
    <w:p w14:paraId="6F2B8EB5">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53" w:name="_Toc32163"/>
      <w:r>
        <w:rPr>
          <w:rFonts w:hint="eastAsia" w:ascii="Times New Roman" w:hAnsi="Times New Roman" w:eastAsia="宋体" w:cs="Times New Roman"/>
          <w:b/>
          <w:bCs/>
          <w:color w:val="auto"/>
          <w:sz w:val="24"/>
          <w:szCs w:val="24"/>
          <w:highlight w:val="none"/>
          <w:lang w:val="en-US" w:eastAsia="zh-CN"/>
        </w:rPr>
        <w:t>（1）</w:t>
      </w:r>
      <w:bookmarkEnd w:id="53"/>
      <w:r>
        <w:rPr>
          <w:rFonts w:hint="default" w:ascii="Times New Roman" w:hAnsi="Times New Roman" w:eastAsia="宋体" w:cs="Times New Roman"/>
          <w:b/>
          <w:bCs/>
          <w:color w:val="auto"/>
          <w:sz w:val="24"/>
          <w:szCs w:val="24"/>
          <w:highlight w:val="none"/>
          <w:lang w:val="en-US" w:eastAsia="zh-CN"/>
        </w:rPr>
        <w:t>符合性</w:t>
      </w:r>
    </w:p>
    <w:p w14:paraId="362C1196">
      <w:pPr>
        <w:spacing w:line="560" w:lineRule="exact"/>
        <w:ind w:firstLine="480" w:firstLineChars="200"/>
        <w:jc w:val="left"/>
        <w:rPr>
          <w:rFonts w:hint="eastAsia"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该项目实施内容</w:t>
      </w:r>
      <w:r>
        <w:rPr>
          <w:rFonts w:hint="eastAsia" w:ascii="宋体" w:hAnsi="宋体" w:cs="宋体"/>
          <w:bCs/>
          <w:sz w:val="24"/>
          <w:szCs w:val="24"/>
          <w:highlight w:val="none"/>
          <w:lang w:val="en-US" w:eastAsia="zh-CN"/>
        </w:rPr>
        <w:t>为“文化节庆活动举办”“文旅品牌打造”“城市宣传推介”“文旅产业培育”等，与区委、区政府支持重点、产业支持政策契合。项目实施的重大文化节庆活动符合地方以节庆活动赋能文旅经济的政策导向。项目完成城市推介活动符合城市形象宣传的政策要求。项目推进“扶持文旅品牌创建”打造文旅品牌带动文旅消费升级符合区委、区政府的支持重点。</w:t>
      </w:r>
    </w:p>
    <w:p w14:paraId="62DE945E">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lang w:val="en-US" w:eastAsia="zh-CN"/>
        </w:rPr>
        <w:t>综上，“符合性”指标权重为10分，扣0分，得10分。</w:t>
      </w:r>
    </w:p>
    <w:p w14:paraId="32238B4F">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54" w:name="_Toc4689"/>
      <w:r>
        <w:rPr>
          <w:rFonts w:hint="eastAsia" w:ascii="Times New Roman" w:hAnsi="Times New Roman" w:eastAsia="宋体" w:cs="Times New Roman"/>
          <w:b/>
          <w:bCs/>
          <w:color w:val="auto"/>
          <w:sz w:val="24"/>
          <w:szCs w:val="24"/>
          <w:highlight w:val="none"/>
          <w:lang w:val="en-US" w:eastAsia="zh-CN"/>
        </w:rPr>
        <w:t>（2）</w:t>
      </w:r>
      <w:bookmarkEnd w:id="54"/>
      <w:r>
        <w:rPr>
          <w:rFonts w:hint="default" w:ascii="Times New Roman" w:hAnsi="Times New Roman" w:eastAsia="宋体" w:cs="Times New Roman"/>
          <w:b/>
          <w:bCs/>
          <w:color w:val="auto"/>
          <w:sz w:val="24"/>
          <w:szCs w:val="24"/>
          <w:highlight w:val="none"/>
          <w:lang w:val="en-US" w:eastAsia="zh-CN"/>
        </w:rPr>
        <w:t>成长性</w:t>
      </w:r>
    </w:p>
    <w:p w14:paraId="23138285">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项目落实“开展城市推介活动”“扶持文旅品牌创建”</w:t>
      </w:r>
      <w:r>
        <w:rPr>
          <w:rFonts w:hint="eastAsia" w:ascii="宋体" w:hAnsi="宋体" w:cs="宋体"/>
          <w:bCs/>
          <w:sz w:val="24"/>
          <w:szCs w:val="24"/>
          <w:highlight w:val="none"/>
          <w:lang w:val="en-US" w:eastAsia="zh-CN"/>
        </w:rPr>
        <w:t>“扶持旅行社发展”</w:t>
      </w:r>
      <w:r>
        <w:rPr>
          <w:rFonts w:hint="eastAsia" w:ascii="宋体" w:hAnsi="宋体" w:eastAsia="宋体" w:cs="宋体"/>
          <w:bCs/>
          <w:sz w:val="24"/>
          <w:szCs w:val="24"/>
          <w:highlight w:val="none"/>
          <w:lang w:val="en-US" w:eastAsia="zh-CN"/>
        </w:rPr>
        <w:t>等任务，为当地文旅运营、文旅服务类企业提供了市场曝光、业务拓展的载体，</w:t>
      </w:r>
      <w:r>
        <w:rPr>
          <w:rFonts w:hint="eastAsia" w:ascii="宋体" w:hAnsi="宋体" w:cs="宋体"/>
          <w:bCs/>
          <w:sz w:val="24"/>
          <w:szCs w:val="24"/>
          <w:highlight w:val="none"/>
          <w:lang w:val="en-US" w:eastAsia="zh-CN"/>
        </w:rPr>
        <w:t>对</w:t>
      </w:r>
      <w:r>
        <w:rPr>
          <w:rFonts w:hint="eastAsia" w:ascii="宋体" w:hAnsi="宋体" w:eastAsia="宋体" w:cs="宋体"/>
          <w:bCs/>
          <w:sz w:val="24"/>
          <w:szCs w:val="24"/>
          <w:highlight w:val="none"/>
          <w:lang w:val="en-US" w:eastAsia="zh-CN"/>
        </w:rPr>
        <w:t>提升相关企业的行业参与度与经营规模，赋能企业成长</w:t>
      </w:r>
      <w:r>
        <w:rPr>
          <w:rFonts w:hint="eastAsia" w:ascii="宋体" w:hAnsi="宋体" w:cs="宋体"/>
          <w:bCs/>
          <w:sz w:val="24"/>
          <w:szCs w:val="24"/>
          <w:highlight w:val="none"/>
          <w:lang w:val="en-US" w:eastAsia="zh-CN"/>
        </w:rPr>
        <w:t>起到了一定促进作用，但根据指标“扶持旅行社发展≥1家”来看，仅少数旅行社参与了城市推介活动获得曝光，但多数旅行社未实现业务量、经营规模的预期增长，未体现对旅行社发展的成长性起到积极作用。</w:t>
      </w:r>
    </w:p>
    <w:p w14:paraId="47A7C6AD">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综上，“成长性”指标权重为10分，扣2分，得8分。</w:t>
      </w:r>
    </w:p>
    <w:p w14:paraId="6E46B1D9">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55" w:name="_Toc25829"/>
      <w:r>
        <w:rPr>
          <w:rFonts w:hint="eastAsia" w:ascii="Times New Roman" w:hAnsi="Times New Roman" w:eastAsia="宋体" w:cs="Times New Roman"/>
          <w:b/>
          <w:bCs/>
          <w:color w:val="auto"/>
          <w:sz w:val="24"/>
          <w:szCs w:val="24"/>
          <w:highlight w:val="none"/>
          <w:lang w:val="en-US" w:eastAsia="zh-CN"/>
        </w:rPr>
        <w:t>（3）</w:t>
      </w:r>
      <w:bookmarkEnd w:id="55"/>
      <w:r>
        <w:rPr>
          <w:rFonts w:hint="eastAsia" w:ascii="Times New Roman" w:hAnsi="Times New Roman" w:cs="Times New Roman"/>
          <w:b/>
          <w:bCs/>
          <w:color w:val="auto"/>
          <w:sz w:val="24"/>
          <w:szCs w:val="24"/>
          <w:highlight w:val="none"/>
          <w:lang w:val="en-US" w:eastAsia="zh-CN"/>
        </w:rPr>
        <w:t>经济性</w:t>
      </w:r>
    </w:p>
    <w:p w14:paraId="28E6B1FA">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项目落实“举办迤沙拉‘姊妹节’‘火把节’等节庆活动”“开展城市推介活动”“扶持文旅品牌创建”等任务，对相关企业经济指标增长形成了一定支撑</w:t>
      </w:r>
      <w:r>
        <w:rPr>
          <w:rFonts w:hint="eastAsia" w:ascii="宋体" w:hAnsi="宋体" w:cs="宋体"/>
          <w:bCs/>
          <w:sz w:val="24"/>
          <w:szCs w:val="24"/>
          <w:highlight w:val="none"/>
          <w:lang w:val="en-US" w:eastAsia="zh-CN"/>
        </w:rPr>
        <w:t>。如迤沙拉当地民宿企业借助节庆活动实现客流量与订单量提升，多数民宿的收入较上年有所增长。文旅服务企业依托城市推介与品牌创建拓宽了客源渠道，营收端得到一定拉动，项目对这些企业的经济指标增长起到了正向促进作用。但从经济指标的综合表现来看，仍存在局部短板，如：文旅企业的税收贡献未实现明显增长。</w:t>
      </w:r>
    </w:p>
    <w:p w14:paraId="440A5A82">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综上，“经济性”指标权重为10分，扣4分，得6分。</w:t>
      </w:r>
    </w:p>
    <w:p w14:paraId="2FC23B82">
      <w:pPr>
        <w:numPr>
          <w:ilvl w:val="0"/>
          <w:numId w:val="7"/>
        </w:numPr>
        <w:tabs>
          <w:tab w:val="left" w:pos="0"/>
        </w:tabs>
        <w:spacing w:line="360" w:lineRule="auto"/>
        <w:ind w:firstLine="482" w:firstLineChars="200"/>
        <w:jc w:val="left"/>
        <w:outlineLvl w:val="1"/>
        <w:rPr>
          <w:rFonts w:hint="default" w:ascii="Times New Roman" w:hAnsi="Times New Roman" w:eastAsia="宋体" w:cs="Times New Roman"/>
          <w:b/>
          <w:bCs/>
          <w:color w:val="auto"/>
          <w:sz w:val="24"/>
          <w:szCs w:val="24"/>
          <w:highlight w:val="none"/>
          <w:lang w:val="en-US" w:eastAsia="zh-CN"/>
        </w:rPr>
      </w:pPr>
      <w:bookmarkStart w:id="56" w:name="_Toc11134"/>
      <w:bookmarkStart w:id="57" w:name="_Toc24543"/>
      <w:r>
        <w:rPr>
          <w:rFonts w:hint="eastAsia" w:ascii="Times New Roman" w:hAnsi="Times New Roman" w:eastAsia="宋体" w:cs="Times New Roman"/>
          <w:b/>
          <w:bCs/>
          <w:color w:val="auto"/>
          <w:sz w:val="24"/>
          <w:szCs w:val="24"/>
          <w:highlight w:val="none"/>
          <w:lang w:val="en-US" w:eastAsia="zh-CN"/>
        </w:rPr>
        <w:t>个性指标</w:t>
      </w:r>
      <w:bookmarkEnd w:id="56"/>
      <w:bookmarkEnd w:id="57"/>
    </w:p>
    <w:p w14:paraId="2EB4B4D3">
      <w:pPr>
        <w:spacing w:line="560" w:lineRule="exact"/>
        <w:ind w:firstLine="482" w:firstLineChars="200"/>
        <w:jc w:val="left"/>
        <w:outlineLvl w:val="2"/>
        <w:rPr>
          <w:rFonts w:hint="default" w:ascii="宋体" w:hAnsi="宋体" w:eastAsia="宋体" w:cs="宋体"/>
          <w:b/>
          <w:bCs w:val="0"/>
          <w:sz w:val="24"/>
          <w:szCs w:val="24"/>
          <w:lang w:val="en-US" w:eastAsia="zh-CN"/>
        </w:rPr>
      </w:pPr>
      <w:bookmarkStart w:id="58" w:name="_Toc3107"/>
      <w:bookmarkStart w:id="59" w:name="_Toc20165"/>
      <w:r>
        <w:rPr>
          <w:rFonts w:hint="default" w:ascii="宋体" w:hAnsi="宋体" w:eastAsia="宋体" w:cs="宋体"/>
          <w:b/>
          <w:bCs w:val="0"/>
          <w:sz w:val="24"/>
          <w:szCs w:val="24"/>
          <w:lang w:val="en-US" w:eastAsia="zh-CN"/>
        </w:rPr>
        <w:t>1.</w:t>
      </w:r>
      <w:bookmarkEnd w:id="58"/>
      <w:r>
        <w:rPr>
          <w:rFonts w:hint="default" w:ascii="宋体" w:hAnsi="宋体" w:eastAsia="宋体" w:cs="宋体"/>
          <w:b/>
          <w:bCs w:val="0"/>
          <w:sz w:val="24"/>
          <w:szCs w:val="24"/>
          <w:lang w:val="en-US" w:eastAsia="zh-CN"/>
        </w:rPr>
        <w:t>区域/行业品牌提及度增长率</w:t>
      </w:r>
      <w:bookmarkEnd w:id="59"/>
    </w:p>
    <w:p w14:paraId="41E8A464">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2024年，攀枝花市仁和区文化广播电视和旅游局围绕迤沙拉举办节庆活动，打造“姊妹节”“火把节”“五一慢漫生活”等节庆IP，让这些IP的提及次数较项目实施前实现了明显增长</w:t>
      </w:r>
      <w:r>
        <w:rPr>
          <w:rFonts w:hint="eastAsia" w:ascii="宋体" w:hAnsi="宋体" w:cs="宋体"/>
          <w:bCs/>
          <w:sz w:val="24"/>
          <w:szCs w:val="24"/>
          <w:highlight w:val="none"/>
          <w:lang w:val="en-US" w:eastAsia="zh-CN"/>
        </w:rPr>
        <w:t>。项目依托新华社四川频道、川观新闻、封面视频等主流媒体矩阵进行传播，其中新华社四川频道发布的迤沙拉节庆相关报道，合计浏览量达到50万人次。对比项目实施前的传播效果，本次系列报道在覆盖范围与关注度上实现了质的突破。</w:t>
      </w:r>
    </w:p>
    <w:p w14:paraId="0E30D572">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lang w:val="en-US" w:eastAsia="zh-CN"/>
        </w:rPr>
        <w:t>综上，“活动品牌传播影响力”指标权重为</w:t>
      </w:r>
      <w:r>
        <w:rPr>
          <w:rFonts w:hint="eastAsia" w:ascii="宋体" w:hAnsi="宋体" w:cs="宋体"/>
          <w:bCs/>
          <w:sz w:val="24"/>
          <w:szCs w:val="24"/>
          <w:lang w:val="en-US" w:eastAsia="zh-CN"/>
        </w:rPr>
        <w:t>8</w:t>
      </w:r>
      <w:r>
        <w:rPr>
          <w:rFonts w:hint="eastAsia" w:ascii="宋体" w:hAnsi="宋体" w:eastAsia="宋体" w:cs="宋体"/>
          <w:bCs/>
          <w:sz w:val="24"/>
          <w:szCs w:val="24"/>
          <w:lang w:val="en-US" w:eastAsia="zh-CN"/>
        </w:rPr>
        <w:t>分，扣0分，得</w:t>
      </w:r>
      <w:r>
        <w:rPr>
          <w:rFonts w:hint="eastAsia" w:ascii="宋体" w:hAnsi="宋体" w:cs="宋体"/>
          <w:bCs/>
          <w:sz w:val="24"/>
          <w:szCs w:val="24"/>
          <w:lang w:val="en-US" w:eastAsia="zh-CN"/>
        </w:rPr>
        <w:t>8</w:t>
      </w:r>
      <w:r>
        <w:rPr>
          <w:rFonts w:hint="eastAsia" w:ascii="宋体" w:hAnsi="宋体" w:eastAsia="宋体" w:cs="宋体"/>
          <w:bCs/>
          <w:sz w:val="24"/>
          <w:szCs w:val="24"/>
          <w:lang w:val="en-US" w:eastAsia="zh-CN"/>
        </w:rPr>
        <w:t>分。</w:t>
      </w:r>
    </w:p>
    <w:p w14:paraId="42934DE5">
      <w:pPr>
        <w:spacing w:line="560" w:lineRule="exact"/>
        <w:ind w:firstLine="482" w:firstLineChars="200"/>
        <w:jc w:val="left"/>
        <w:outlineLvl w:val="2"/>
        <w:rPr>
          <w:rFonts w:hint="default" w:ascii="宋体" w:hAnsi="宋体" w:eastAsia="宋体" w:cs="宋体"/>
          <w:b/>
          <w:bCs w:val="0"/>
          <w:sz w:val="24"/>
          <w:szCs w:val="24"/>
          <w:lang w:val="en-US" w:eastAsia="zh-CN"/>
        </w:rPr>
      </w:pPr>
      <w:bookmarkStart w:id="60" w:name="_Toc16018"/>
      <w:bookmarkStart w:id="61" w:name="_Toc4388"/>
      <w:r>
        <w:rPr>
          <w:rFonts w:hint="default" w:ascii="宋体" w:hAnsi="宋体" w:eastAsia="宋体" w:cs="宋体"/>
          <w:b/>
          <w:bCs w:val="0"/>
          <w:sz w:val="24"/>
          <w:szCs w:val="24"/>
          <w:lang w:val="en-US" w:eastAsia="zh-CN"/>
        </w:rPr>
        <w:t>2.</w:t>
      </w:r>
      <w:bookmarkEnd w:id="60"/>
      <w:r>
        <w:rPr>
          <w:rFonts w:hint="default" w:ascii="宋体" w:hAnsi="宋体" w:eastAsia="宋体" w:cs="宋体"/>
          <w:b/>
          <w:bCs w:val="0"/>
          <w:sz w:val="24"/>
          <w:szCs w:val="24"/>
          <w:lang w:val="en-US" w:eastAsia="zh-CN"/>
        </w:rPr>
        <w:t>重大节庆及外宣活动应急处置预案与记录完备性</w:t>
      </w:r>
      <w:bookmarkEnd w:id="61"/>
    </w:p>
    <w:p w14:paraId="4E2EE520">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攀枝花市仁和区文化广播电视和旅游局在重大文化节庆活动的组织实施过程中，均协调公安、消防、医疗等职能单位参与现场保障工作，明确了各单位在不同风险场景下的联动职责。但从整体来看，作为项目实施单位，仁和区文化广播电视和旅游局在应急处置预案与记录的完备性管理上，存在过度依赖公安、消防、医疗等参与单位的情况。尽管已明确各单位的联动分工，但并未独立做好应急预案相关资料的留存工作，影响了预案与记录的自主完备性。</w:t>
      </w:r>
    </w:p>
    <w:p w14:paraId="6E48FE01">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综上，“重大节庆及外宣活动应急处置预案与记录完备性”指标权重为</w:t>
      </w:r>
      <w:r>
        <w:rPr>
          <w:rFonts w:hint="eastAsia" w:ascii="宋体" w:hAnsi="宋体" w:cs="宋体"/>
          <w:bCs/>
          <w:sz w:val="24"/>
          <w:szCs w:val="24"/>
          <w:highlight w:val="none"/>
          <w:lang w:val="en-US" w:eastAsia="zh-CN"/>
        </w:rPr>
        <w:t>8</w:t>
      </w:r>
      <w:r>
        <w:rPr>
          <w:rFonts w:hint="eastAsia" w:ascii="宋体" w:hAnsi="宋体" w:eastAsia="宋体" w:cs="宋体"/>
          <w:bCs/>
          <w:sz w:val="24"/>
          <w:szCs w:val="24"/>
          <w:highlight w:val="none"/>
          <w:lang w:val="en-US" w:eastAsia="zh-CN"/>
        </w:rPr>
        <w:t>分，扣</w:t>
      </w:r>
      <w:r>
        <w:rPr>
          <w:rFonts w:hint="eastAsia" w:ascii="宋体" w:hAnsi="宋体" w:cs="宋体"/>
          <w:bCs/>
          <w:sz w:val="24"/>
          <w:szCs w:val="24"/>
          <w:highlight w:val="none"/>
          <w:lang w:val="en-US" w:eastAsia="zh-CN"/>
        </w:rPr>
        <w:t>8</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0</w:t>
      </w:r>
      <w:r>
        <w:rPr>
          <w:rFonts w:hint="eastAsia" w:ascii="宋体" w:hAnsi="宋体" w:eastAsia="宋体" w:cs="宋体"/>
          <w:bCs/>
          <w:sz w:val="24"/>
          <w:szCs w:val="24"/>
          <w:highlight w:val="none"/>
          <w:lang w:val="en-US" w:eastAsia="zh-CN"/>
        </w:rPr>
        <w:t>分。</w:t>
      </w:r>
    </w:p>
    <w:p w14:paraId="261EB28E">
      <w:pPr>
        <w:numPr>
          <w:ilvl w:val="0"/>
          <w:numId w:val="7"/>
        </w:numPr>
        <w:tabs>
          <w:tab w:val="left" w:pos="0"/>
        </w:tabs>
        <w:spacing w:line="360" w:lineRule="auto"/>
        <w:ind w:firstLine="482" w:firstLineChars="200"/>
        <w:jc w:val="left"/>
        <w:outlineLvl w:val="1"/>
        <w:rPr>
          <w:rFonts w:hint="eastAsia" w:ascii="Times New Roman" w:hAnsi="Times New Roman" w:eastAsia="宋体" w:cs="Times New Roman"/>
          <w:b/>
          <w:bCs/>
          <w:color w:val="auto"/>
          <w:sz w:val="24"/>
          <w:szCs w:val="24"/>
          <w:highlight w:val="none"/>
          <w:lang w:val="en-US" w:eastAsia="zh-CN"/>
        </w:rPr>
      </w:pPr>
      <w:bookmarkStart w:id="62" w:name="_Toc8390"/>
      <w:r>
        <w:rPr>
          <w:rFonts w:hint="eastAsia" w:ascii="Times New Roman" w:hAnsi="Times New Roman" w:eastAsia="宋体" w:cs="Times New Roman"/>
          <w:b/>
          <w:bCs/>
          <w:color w:val="auto"/>
          <w:sz w:val="24"/>
          <w:szCs w:val="24"/>
          <w:highlight w:val="none"/>
          <w:lang w:val="en-US" w:eastAsia="zh-CN"/>
        </w:rPr>
        <w:t>扣分项</w:t>
      </w:r>
      <w:bookmarkEnd w:id="62"/>
      <w:bookmarkStart w:id="63" w:name="_Toc9237"/>
    </w:p>
    <w:p w14:paraId="39186FBA">
      <w:pPr>
        <w:numPr>
          <w:ilvl w:val="0"/>
          <w:numId w:val="8"/>
        </w:numPr>
        <w:tabs>
          <w:tab w:val="left" w:pos="0"/>
          <w:tab w:val="clear" w:pos="312"/>
        </w:tabs>
        <w:spacing w:line="360" w:lineRule="auto"/>
        <w:ind w:firstLine="482" w:firstLineChars="200"/>
        <w:jc w:val="left"/>
        <w:outlineLvl w:val="2"/>
        <w:rPr>
          <w:rFonts w:hint="eastAsia" w:ascii="Times New Roman" w:hAnsi="Times New Roman" w:eastAsia="宋体" w:cs="Times New Roman"/>
          <w:b/>
          <w:bCs/>
          <w:color w:val="auto"/>
          <w:sz w:val="24"/>
          <w:szCs w:val="24"/>
          <w:highlight w:val="none"/>
          <w:lang w:val="en-US" w:eastAsia="zh-CN"/>
        </w:rPr>
      </w:pPr>
      <w:bookmarkStart w:id="64" w:name="_Toc8659"/>
      <w:r>
        <w:rPr>
          <w:rFonts w:hint="eastAsia" w:ascii="Times New Roman" w:hAnsi="Times New Roman" w:eastAsia="宋体" w:cs="Times New Roman"/>
          <w:b/>
          <w:bCs/>
          <w:color w:val="auto"/>
          <w:sz w:val="24"/>
          <w:szCs w:val="24"/>
          <w:highlight w:val="none"/>
          <w:lang w:val="en-US" w:eastAsia="zh-CN"/>
        </w:rPr>
        <w:t>绩效管理存在问题</w:t>
      </w:r>
      <w:bookmarkEnd w:id="63"/>
      <w:bookmarkEnd w:id="64"/>
    </w:p>
    <w:p w14:paraId="31FD1715">
      <w:pPr>
        <w:spacing w:line="560" w:lineRule="exact"/>
        <w:ind w:firstLine="480" w:firstLineChars="200"/>
        <w:jc w:val="left"/>
        <w:rPr>
          <w:rFonts w:hint="eastAsia" w:ascii="宋体" w:hAnsi="宋体" w:cs="宋体"/>
          <w:bCs/>
          <w:sz w:val="24"/>
          <w:szCs w:val="24"/>
          <w:highlight w:val="none"/>
          <w:lang w:val="en-US" w:eastAsia="zh-CN"/>
        </w:rPr>
      </w:pPr>
      <w:r>
        <w:rPr>
          <w:rFonts w:hint="default" w:ascii="宋体" w:hAnsi="宋体" w:cs="宋体"/>
          <w:bCs/>
          <w:sz w:val="24"/>
          <w:szCs w:val="24"/>
          <w:highlight w:val="none"/>
          <w:lang w:val="en-US" w:eastAsia="zh-CN"/>
        </w:rPr>
        <w:t>在评价年度内，涉及该项目的人大监督、巡视巡察、审计监督、财会监督等各类监督结果中，均未出现预算绩效管理相关的问题</w:t>
      </w:r>
      <w:r>
        <w:rPr>
          <w:rFonts w:hint="eastAsia" w:ascii="宋体" w:hAnsi="宋体" w:cs="宋体"/>
          <w:bCs/>
          <w:sz w:val="24"/>
          <w:szCs w:val="24"/>
          <w:highlight w:val="none"/>
          <w:lang w:val="en-US" w:eastAsia="zh-CN"/>
        </w:rPr>
        <w:t>。</w:t>
      </w:r>
    </w:p>
    <w:p w14:paraId="6A760C14">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综上，“绩效管理存在问题”指标未产生扣分情形。</w:t>
      </w:r>
    </w:p>
    <w:p w14:paraId="73B1C394">
      <w:pPr>
        <w:numPr>
          <w:ilvl w:val="0"/>
          <w:numId w:val="8"/>
        </w:numPr>
        <w:tabs>
          <w:tab w:val="left" w:pos="0"/>
          <w:tab w:val="clear" w:pos="312"/>
        </w:tabs>
        <w:spacing w:line="360" w:lineRule="auto"/>
        <w:ind w:firstLine="482" w:firstLineChars="200"/>
        <w:jc w:val="left"/>
        <w:outlineLvl w:val="2"/>
        <w:rPr>
          <w:rFonts w:hint="default" w:ascii="Times New Roman" w:hAnsi="Times New Roman" w:cs="Times New Roman"/>
          <w:b/>
          <w:bCs/>
          <w:color w:val="auto"/>
          <w:sz w:val="24"/>
          <w:szCs w:val="24"/>
          <w:highlight w:val="none"/>
          <w:lang w:val="en-US" w:eastAsia="zh-CN"/>
        </w:rPr>
      </w:pPr>
      <w:bookmarkStart w:id="65" w:name="_Toc15652"/>
      <w:bookmarkStart w:id="66" w:name="_Toc12870"/>
      <w:r>
        <w:rPr>
          <w:rFonts w:hint="eastAsia" w:ascii="Times New Roman" w:hAnsi="Times New Roman" w:cs="Times New Roman"/>
          <w:b/>
          <w:bCs/>
          <w:color w:val="auto"/>
          <w:sz w:val="24"/>
          <w:szCs w:val="24"/>
          <w:highlight w:val="none"/>
          <w:lang w:val="en-US" w:eastAsia="zh-CN"/>
        </w:rPr>
        <w:t>被评价部门配合度</w:t>
      </w:r>
      <w:bookmarkEnd w:id="65"/>
      <w:bookmarkEnd w:id="66"/>
    </w:p>
    <w:p w14:paraId="3BC9C0D0">
      <w:pPr>
        <w:spacing w:line="560" w:lineRule="exact"/>
        <w:ind w:firstLine="480" w:firstLineChars="200"/>
        <w:jc w:val="left"/>
        <w:rPr>
          <w:rFonts w:hint="eastAsia" w:ascii="宋体" w:hAnsi="宋体" w:cs="宋体"/>
          <w:bCs/>
          <w:sz w:val="24"/>
          <w:szCs w:val="24"/>
          <w:highlight w:val="none"/>
          <w:lang w:val="en-US" w:eastAsia="zh-CN"/>
        </w:rPr>
      </w:pPr>
      <w:r>
        <w:rPr>
          <w:rFonts w:hint="default" w:ascii="宋体" w:hAnsi="宋体" w:cs="宋体"/>
          <w:bCs/>
          <w:sz w:val="24"/>
          <w:szCs w:val="24"/>
          <w:highlight w:val="none"/>
          <w:lang w:val="en-US" w:eastAsia="zh-CN"/>
        </w:rPr>
        <w:t>在本次绩效评价工作推进过程中，被评价对象未出现拖延推诿、提交资料不及时或拒不配合评价工作的情况，能够主动对接评价需求，及时按要求提供相关资料</w:t>
      </w:r>
      <w:r>
        <w:rPr>
          <w:rFonts w:hint="eastAsia" w:ascii="宋体" w:hAnsi="宋体" w:cs="宋体"/>
          <w:bCs/>
          <w:sz w:val="24"/>
          <w:szCs w:val="24"/>
          <w:highlight w:val="none"/>
          <w:lang w:val="en-US" w:eastAsia="zh-CN"/>
        </w:rPr>
        <w:t>。</w:t>
      </w:r>
    </w:p>
    <w:p w14:paraId="5C5790E5">
      <w:pPr>
        <w:numPr>
          <w:ilvl w:val="0"/>
          <w:numId w:val="0"/>
        </w:numPr>
        <w:spacing w:line="560" w:lineRule="exact"/>
        <w:ind w:left="420" w:leftChars="200" w:firstLine="0" w:firstLineChars="0"/>
        <w:jc w:val="left"/>
        <w:outlineLvl w:val="9"/>
        <w:rPr>
          <w:rFonts w:hint="default" w:ascii="宋体" w:hAnsi="宋体" w:cs="宋体"/>
          <w:b/>
          <w:bCs w:val="0"/>
          <w:sz w:val="24"/>
          <w:szCs w:val="24"/>
          <w:lang w:val="en-US" w:eastAsia="zh-CN"/>
        </w:rPr>
      </w:pPr>
      <w:r>
        <w:rPr>
          <w:rFonts w:hint="eastAsia" w:ascii="宋体" w:hAnsi="宋体" w:eastAsia="宋体" w:cs="宋体"/>
          <w:bCs/>
          <w:sz w:val="24"/>
          <w:szCs w:val="24"/>
          <w:highlight w:val="none"/>
          <w:lang w:val="en-US" w:eastAsia="zh-CN"/>
        </w:rPr>
        <w:t>综上，“被评价部门配合度”指标未产生扣分情形。</w:t>
      </w:r>
    </w:p>
    <w:p w14:paraId="43D81D0E">
      <w:pPr>
        <w:spacing w:line="560" w:lineRule="exact"/>
        <w:ind w:firstLine="482" w:firstLineChars="200"/>
        <w:jc w:val="left"/>
        <w:outlineLvl w:val="0"/>
        <w:rPr>
          <w:rFonts w:hint="default" w:ascii="宋体" w:hAnsi="宋体" w:eastAsia="宋体" w:cs="宋体"/>
          <w:b/>
          <w:bCs w:val="0"/>
          <w:sz w:val="24"/>
          <w:szCs w:val="24"/>
          <w:lang w:val="en-US" w:eastAsia="zh-CN"/>
        </w:rPr>
      </w:pPr>
      <w:bookmarkStart w:id="67" w:name="_Toc7119"/>
      <w:bookmarkStart w:id="68" w:name="_Toc18219"/>
      <w:r>
        <w:rPr>
          <w:rFonts w:hint="default" w:ascii="宋体" w:hAnsi="宋体" w:eastAsia="宋体" w:cs="宋体"/>
          <w:b/>
          <w:bCs w:val="0"/>
          <w:sz w:val="24"/>
          <w:szCs w:val="24"/>
          <w:lang w:val="en-US" w:eastAsia="zh-CN"/>
        </w:rPr>
        <w:t>五、存在的主要问题</w:t>
      </w:r>
      <w:bookmarkEnd w:id="67"/>
      <w:bookmarkEnd w:id="68"/>
    </w:p>
    <w:p w14:paraId="75D77E38">
      <w:pPr>
        <w:spacing w:line="560" w:lineRule="exact"/>
        <w:ind w:firstLine="482" w:firstLineChars="200"/>
        <w:jc w:val="left"/>
        <w:outlineLvl w:val="1"/>
        <w:rPr>
          <w:rFonts w:hint="eastAsia" w:ascii="宋体" w:hAnsi="宋体" w:eastAsia="宋体" w:cs="宋体"/>
          <w:b/>
          <w:bCs w:val="0"/>
          <w:sz w:val="24"/>
          <w:szCs w:val="24"/>
          <w:lang w:val="en-US" w:eastAsia="zh-CN"/>
        </w:rPr>
      </w:pPr>
      <w:bookmarkStart w:id="69" w:name="_Toc21094"/>
      <w:bookmarkStart w:id="70" w:name="_Toc19833"/>
      <w:r>
        <w:rPr>
          <w:rFonts w:hint="eastAsia" w:ascii="宋体" w:hAnsi="宋体" w:eastAsia="宋体" w:cs="宋体"/>
          <w:b/>
          <w:bCs w:val="0"/>
          <w:sz w:val="24"/>
          <w:szCs w:val="24"/>
          <w:lang w:val="en-US" w:eastAsia="zh-CN"/>
        </w:rPr>
        <w:t>（一）</w:t>
      </w:r>
      <w:bookmarkEnd w:id="69"/>
      <w:r>
        <w:rPr>
          <w:rFonts w:hint="eastAsia" w:ascii="宋体" w:hAnsi="宋体" w:eastAsia="宋体" w:cs="宋体"/>
          <w:b/>
          <w:bCs w:val="0"/>
          <w:sz w:val="24"/>
          <w:szCs w:val="24"/>
          <w:lang w:val="en-US" w:eastAsia="zh-CN"/>
        </w:rPr>
        <w:t>企业成长性促进存在局部短板：旅行社扶持未达预期成效</w:t>
      </w:r>
      <w:bookmarkEnd w:id="70"/>
    </w:p>
    <w:p w14:paraId="0E96B0F7">
      <w:pPr>
        <w:spacing w:line="560" w:lineRule="exact"/>
        <w:ind w:firstLine="480" w:firstLineChars="200"/>
        <w:jc w:val="left"/>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项目落实“开展城市推介活动”“扶持文旅品牌创建”“扶持旅行社发展”等任务，虽为当地文旅运营、文旅服务类企业提供了市场曝光、业务拓展的载体，对提升相关企业的行业参与度与经营规模、赋能企业成长起到一定促进作用，但对照“扶持旅行社发展≥1 家” 的指标要求，仅少数旅行社参与城市推介活动获得曝光，多数旅行社未实现业务量、经营规模的预期增长，未有效体现对旅行社成长性的促进作用。</w:t>
      </w:r>
    </w:p>
    <w:p w14:paraId="3F5DE48C">
      <w:pPr>
        <w:spacing w:line="560" w:lineRule="exact"/>
        <w:ind w:firstLine="482" w:firstLineChars="200"/>
        <w:jc w:val="left"/>
        <w:outlineLvl w:val="1"/>
        <w:rPr>
          <w:rFonts w:hint="eastAsia" w:ascii="宋体" w:hAnsi="宋体" w:eastAsia="宋体" w:cs="宋体"/>
          <w:b/>
          <w:bCs w:val="0"/>
          <w:sz w:val="24"/>
          <w:szCs w:val="24"/>
          <w:lang w:val="en-US" w:eastAsia="zh-CN"/>
        </w:rPr>
      </w:pPr>
      <w:bookmarkStart w:id="71" w:name="_Toc17713"/>
      <w:bookmarkStart w:id="72" w:name="_Toc28888"/>
      <w:r>
        <w:rPr>
          <w:rFonts w:hint="eastAsia" w:ascii="宋体" w:hAnsi="宋体" w:eastAsia="宋体" w:cs="宋体"/>
          <w:b/>
          <w:bCs w:val="0"/>
          <w:sz w:val="24"/>
          <w:szCs w:val="24"/>
          <w:lang w:val="en-US" w:eastAsia="zh-CN"/>
        </w:rPr>
        <w:t>（二）</w:t>
      </w:r>
      <w:bookmarkEnd w:id="71"/>
      <w:r>
        <w:rPr>
          <w:rFonts w:hint="eastAsia" w:ascii="宋体" w:hAnsi="宋体" w:eastAsia="宋体" w:cs="宋体"/>
          <w:b/>
          <w:bCs w:val="0"/>
          <w:sz w:val="24"/>
          <w:szCs w:val="24"/>
          <w:lang w:val="en-US" w:eastAsia="zh-CN"/>
        </w:rPr>
        <w:t>企业经济指标增长存在局部短板：税收贡献未实现明显提升</w:t>
      </w:r>
      <w:bookmarkEnd w:id="72"/>
    </w:p>
    <w:p w14:paraId="01FCEBB1">
      <w:pPr>
        <w:numPr>
          <w:ilvl w:val="0"/>
          <w:numId w:val="0"/>
        </w:numPr>
        <w:spacing w:line="560" w:lineRule="exact"/>
        <w:ind w:firstLine="480" w:firstLineChars="200"/>
        <w:jc w:val="left"/>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项目落实“举办迤沙拉‘姊妹节’‘火把节’等节庆活动”“开展城市推介活动”“扶持文旅品牌创建”等任务，对相关企业经济指标增长形成一定支撑</w:t>
      </w:r>
      <w:r>
        <w:rPr>
          <w:rFonts w:hint="eastAsia" w:ascii="宋体" w:hAnsi="宋体" w:cs="宋体"/>
          <w:bCs/>
          <w:sz w:val="24"/>
          <w:szCs w:val="24"/>
          <w:lang w:val="en-US" w:eastAsia="zh-CN"/>
        </w:rPr>
        <w:t>，</w:t>
      </w:r>
      <w:r>
        <w:rPr>
          <w:rFonts w:hint="default" w:ascii="宋体" w:hAnsi="宋体" w:eastAsia="宋体" w:cs="宋体"/>
          <w:bCs/>
          <w:sz w:val="24"/>
          <w:szCs w:val="24"/>
          <w:lang w:val="en-US" w:eastAsia="zh-CN"/>
        </w:rPr>
        <w:t>迤沙拉当地民宿企业借助节庆活动实现客流量与订单量提升，多数民宿收入较上年有所增长；文旅服务企业依托城市推介与品牌创建拓宽客源渠道，营收端得到一定拉动，项目对这些企业的经济指标增长起到正向促进作用。但从经济指标综合表现看，仍存在局部短板，文旅企业的税收贡献未实现明显增长</w:t>
      </w:r>
      <w:r>
        <w:rPr>
          <w:rFonts w:hint="eastAsia" w:ascii="宋体" w:hAnsi="宋体" w:eastAsia="宋体" w:cs="宋体"/>
          <w:bCs/>
          <w:sz w:val="24"/>
          <w:szCs w:val="24"/>
          <w:lang w:val="en-US" w:eastAsia="zh-CN"/>
        </w:rPr>
        <w:t>。</w:t>
      </w:r>
    </w:p>
    <w:p w14:paraId="2B14CC90">
      <w:pPr>
        <w:numPr>
          <w:ilvl w:val="0"/>
          <w:numId w:val="0"/>
        </w:numPr>
        <w:spacing w:line="560" w:lineRule="exact"/>
        <w:ind w:left="0" w:leftChars="0" w:firstLine="482" w:firstLineChars="200"/>
        <w:jc w:val="left"/>
        <w:outlineLvl w:val="1"/>
        <w:rPr>
          <w:rFonts w:hint="eastAsia" w:ascii="宋体" w:hAnsi="宋体" w:eastAsia="宋体" w:cs="宋体"/>
          <w:b/>
          <w:bCs w:val="0"/>
          <w:sz w:val="24"/>
          <w:szCs w:val="24"/>
          <w:lang w:val="en-US" w:eastAsia="zh-CN"/>
        </w:rPr>
      </w:pPr>
      <w:bookmarkStart w:id="73" w:name="_Toc1353"/>
      <w:bookmarkStart w:id="74" w:name="_Toc5146"/>
      <w:r>
        <w:rPr>
          <w:rFonts w:hint="eastAsia" w:ascii="宋体" w:hAnsi="宋体" w:eastAsia="宋体" w:cs="宋体"/>
          <w:b/>
          <w:bCs w:val="0"/>
          <w:sz w:val="24"/>
          <w:szCs w:val="24"/>
          <w:lang w:val="en-US" w:eastAsia="zh-CN"/>
        </w:rPr>
        <w:t>（三）</w:t>
      </w:r>
      <w:bookmarkEnd w:id="73"/>
      <w:r>
        <w:rPr>
          <w:rFonts w:hint="eastAsia" w:ascii="宋体" w:hAnsi="宋体" w:eastAsia="宋体" w:cs="宋体"/>
          <w:b/>
          <w:bCs w:val="0"/>
          <w:sz w:val="24"/>
          <w:szCs w:val="24"/>
          <w:lang w:val="en-US" w:eastAsia="zh-CN"/>
        </w:rPr>
        <w:t>应急处置预案与记录管理不到位：自主完备性不足</w:t>
      </w:r>
      <w:bookmarkEnd w:id="74"/>
    </w:p>
    <w:p w14:paraId="5E1A2FDB">
      <w:pPr>
        <w:numPr>
          <w:ilvl w:val="0"/>
          <w:numId w:val="0"/>
        </w:numPr>
        <w:spacing w:line="560" w:lineRule="exact"/>
        <w:ind w:firstLine="480" w:firstLineChars="200"/>
        <w:jc w:val="left"/>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攀枝花市仁和区文化广播电视和旅游局在重大文化节庆活动的组织实施过程中，虽协调公安、消防、医疗等职能单位参与现场保障工作，并明确各单位在不同风险场景下的联动职责，但作为项目实施单位，其在应急处置预案与记录的完备性管理上存在过度依赖参与单位的情况，尽管已明确各单位联动分工，却未独立做好应急预案相关资料的留存工作，影响了预案与记录的自主完备性。</w:t>
      </w:r>
    </w:p>
    <w:p w14:paraId="346F9626">
      <w:pPr>
        <w:spacing w:line="560" w:lineRule="exact"/>
        <w:ind w:firstLine="482" w:firstLineChars="200"/>
        <w:jc w:val="left"/>
        <w:outlineLvl w:val="0"/>
        <w:rPr>
          <w:rFonts w:hint="default" w:ascii="宋体" w:hAnsi="宋体" w:eastAsia="宋体" w:cs="宋体"/>
          <w:b/>
          <w:bCs w:val="0"/>
          <w:sz w:val="24"/>
          <w:szCs w:val="24"/>
          <w:lang w:val="en-US" w:eastAsia="zh-CN"/>
        </w:rPr>
      </w:pPr>
      <w:bookmarkStart w:id="75" w:name="_Toc7909"/>
      <w:bookmarkStart w:id="76" w:name="_Toc17274"/>
      <w:r>
        <w:rPr>
          <w:rFonts w:hint="default" w:ascii="宋体" w:hAnsi="宋体" w:eastAsia="宋体" w:cs="宋体"/>
          <w:b/>
          <w:bCs w:val="0"/>
          <w:sz w:val="24"/>
          <w:szCs w:val="24"/>
          <w:lang w:val="en-US" w:eastAsia="zh-CN"/>
        </w:rPr>
        <w:t>六、相关建议</w:t>
      </w:r>
      <w:bookmarkEnd w:id="75"/>
      <w:bookmarkEnd w:id="76"/>
    </w:p>
    <w:p w14:paraId="2A22F097">
      <w:pPr>
        <w:numPr>
          <w:ilvl w:val="0"/>
          <w:numId w:val="0"/>
        </w:numPr>
        <w:spacing w:line="560" w:lineRule="exact"/>
        <w:ind w:left="0" w:leftChars="0" w:firstLine="482" w:firstLineChars="200"/>
        <w:jc w:val="left"/>
        <w:outlineLvl w:val="1"/>
        <w:rPr>
          <w:rFonts w:hint="default" w:ascii="宋体" w:hAnsi="宋体" w:eastAsia="宋体" w:cs="宋体"/>
          <w:b/>
          <w:bCs w:val="0"/>
          <w:sz w:val="24"/>
          <w:szCs w:val="24"/>
          <w:lang w:val="en-US" w:eastAsia="zh-CN"/>
        </w:rPr>
      </w:pPr>
      <w:bookmarkStart w:id="77" w:name="_Toc24720"/>
      <w:bookmarkStart w:id="78" w:name="_Toc2750"/>
      <w:r>
        <w:rPr>
          <w:rFonts w:hint="eastAsia" w:ascii="宋体" w:hAnsi="宋体" w:eastAsia="宋体" w:cs="宋体"/>
          <w:b/>
          <w:bCs w:val="0"/>
          <w:sz w:val="24"/>
          <w:szCs w:val="24"/>
          <w:lang w:val="en-US" w:eastAsia="zh-CN"/>
        </w:rPr>
        <w:t>（一）</w:t>
      </w:r>
      <w:bookmarkEnd w:id="77"/>
      <w:r>
        <w:rPr>
          <w:rFonts w:hint="eastAsia" w:ascii="宋体" w:hAnsi="宋体" w:eastAsia="宋体" w:cs="宋体"/>
          <w:b/>
          <w:bCs w:val="0"/>
          <w:sz w:val="24"/>
          <w:szCs w:val="24"/>
          <w:lang w:val="en-US" w:eastAsia="zh-CN"/>
        </w:rPr>
        <w:t>精准赋能旅行社成长，补齐企业成长性短板</w:t>
      </w:r>
      <w:bookmarkEnd w:id="78"/>
    </w:p>
    <w:p w14:paraId="0407E7B7">
      <w:pPr>
        <w:spacing w:line="560" w:lineRule="exact"/>
        <w:ind w:firstLine="480" w:firstLineChars="200"/>
        <w:jc w:val="left"/>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针对本地旅行社，建立“节庆活动+旅行社”的定向对接模式，优先邀请旅行社参与城市推介、节庆活动的客源组织环节，为其匹配游客资源引流渠道</w:t>
      </w:r>
      <w:r>
        <w:rPr>
          <w:rFonts w:hint="eastAsia" w:ascii="宋体" w:hAnsi="宋体" w:eastAsia="宋体" w:cs="宋体"/>
          <w:bCs/>
          <w:sz w:val="24"/>
          <w:szCs w:val="24"/>
          <w:lang w:val="en-US" w:eastAsia="zh-CN"/>
        </w:rPr>
        <w:t>。联合行业协会为本地旅行社提供文旅产品策划、线路设计等专项培训，帮助其结合迤沙拉节庆IP、区域文旅品牌开发特色旅游产品，提升业务拓展能力，推动经营规模与业务量的实际增长</w:t>
      </w:r>
      <w:r>
        <w:rPr>
          <w:rFonts w:hint="eastAsia" w:ascii="宋体" w:hAnsi="宋体" w:cs="宋体"/>
          <w:bCs/>
          <w:sz w:val="24"/>
          <w:szCs w:val="24"/>
          <w:lang w:val="en-US" w:eastAsia="zh-CN"/>
        </w:rPr>
        <w:t>。</w:t>
      </w:r>
    </w:p>
    <w:p w14:paraId="0911BD98">
      <w:pPr>
        <w:numPr>
          <w:ilvl w:val="0"/>
          <w:numId w:val="9"/>
        </w:numPr>
        <w:spacing w:line="560" w:lineRule="exact"/>
        <w:ind w:firstLine="482" w:firstLineChars="200"/>
        <w:jc w:val="left"/>
        <w:outlineLvl w:val="1"/>
        <w:rPr>
          <w:rFonts w:hint="eastAsia" w:ascii="宋体" w:hAnsi="宋体" w:eastAsia="宋体" w:cs="宋体"/>
          <w:b/>
          <w:bCs w:val="0"/>
          <w:sz w:val="24"/>
          <w:szCs w:val="24"/>
          <w:lang w:val="en-US" w:eastAsia="zh-CN"/>
        </w:rPr>
      </w:pPr>
      <w:bookmarkStart w:id="79" w:name="_Toc9395"/>
      <w:r>
        <w:rPr>
          <w:rFonts w:hint="eastAsia" w:ascii="宋体" w:hAnsi="宋体" w:eastAsia="宋体" w:cs="宋体"/>
          <w:b/>
          <w:bCs w:val="0"/>
          <w:sz w:val="24"/>
          <w:szCs w:val="24"/>
          <w:lang w:val="en-US" w:eastAsia="zh-CN"/>
        </w:rPr>
        <w:t>优化企业经济发展支撑，推动企业业务扩容与业态升级</w:t>
      </w:r>
      <w:bookmarkEnd w:id="79"/>
    </w:p>
    <w:p w14:paraId="6F1B6EDD">
      <w:pPr>
        <w:spacing w:line="560" w:lineRule="exact"/>
        <w:ind w:firstLine="480" w:firstLineChars="200"/>
        <w:jc w:val="left"/>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鼓励民宿、文旅服务企业依托节庆 IP 拓展多元化经营（如民宿增加文创产品销售、文旅服务企业拓展研学服务等），通过业务规模扩大带动营收增长，进而实现税收贡献的稳步提升</w:t>
      </w:r>
      <w:r>
        <w:rPr>
          <w:rFonts w:hint="eastAsia" w:ascii="宋体" w:hAnsi="宋体" w:eastAsia="宋体" w:cs="宋体"/>
          <w:bCs/>
          <w:sz w:val="24"/>
          <w:szCs w:val="24"/>
          <w:lang w:val="en-US" w:eastAsia="zh-CN"/>
        </w:rPr>
        <w:t>。</w:t>
      </w:r>
    </w:p>
    <w:p w14:paraId="07479129">
      <w:pPr>
        <w:numPr>
          <w:ilvl w:val="0"/>
          <w:numId w:val="9"/>
        </w:numPr>
        <w:spacing w:line="560" w:lineRule="exact"/>
        <w:ind w:firstLine="482" w:firstLineChars="200"/>
        <w:jc w:val="left"/>
        <w:outlineLvl w:val="1"/>
        <w:rPr>
          <w:rFonts w:hint="default" w:ascii="宋体" w:hAnsi="宋体" w:eastAsia="宋体" w:cs="宋体"/>
          <w:b/>
          <w:bCs w:val="0"/>
          <w:sz w:val="24"/>
          <w:szCs w:val="24"/>
          <w:lang w:val="en-US" w:eastAsia="zh-CN"/>
        </w:rPr>
      </w:pPr>
      <w:bookmarkStart w:id="80" w:name="_Toc30661"/>
      <w:r>
        <w:rPr>
          <w:rFonts w:hint="eastAsia" w:ascii="宋体" w:hAnsi="宋体" w:eastAsia="宋体" w:cs="宋体"/>
          <w:b/>
          <w:bCs w:val="0"/>
          <w:sz w:val="24"/>
          <w:szCs w:val="24"/>
          <w:lang w:val="en-US" w:eastAsia="zh-CN"/>
        </w:rPr>
        <w:t>强化应急管理自主责任，提升预案与记录完备性</w:t>
      </w:r>
      <w:bookmarkEnd w:id="80"/>
    </w:p>
    <w:p w14:paraId="3D7D1708">
      <w:pPr>
        <w:spacing w:line="560" w:lineRule="exact"/>
        <w:ind w:firstLine="480" w:firstLineChars="200"/>
        <w:jc w:val="left"/>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项目实施单位需确立应急处置预案的自主编制、管理职责，在协调公安、消防等单位参与保障的同时，独立完成预案的起草、修订与归档工作</w:t>
      </w:r>
      <w:r>
        <w:rPr>
          <w:rFonts w:hint="eastAsia" w:ascii="宋体" w:hAnsi="宋体" w:eastAsia="宋体" w:cs="宋体"/>
          <w:bCs/>
          <w:sz w:val="24"/>
          <w:szCs w:val="24"/>
          <w:lang w:val="en-US" w:eastAsia="zh-CN"/>
        </w:rPr>
        <w:t>。制定《应急预案与记录管理流程》，明确活动前预案的备案要求、活动中处置台账的自主记录规范、活动后资料的独立归档标准；对零处置场景的情况说明，需由实施单位自主整理留存，确保预案与记录的自主完备性</w:t>
      </w:r>
      <w:r>
        <w:rPr>
          <w:rFonts w:hint="eastAsia" w:ascii="宋体" w:hAnsi="宋体" w:cs="宋体"/>
          <w:bCs/>
          <w:sz w:val="24"/>
          <w:szCs w:val="24"/>
          <w:lang w:val="en-US" w:eastAsia="zh-CN"/>
        </w:rPr>
        <w:t>。</w:t>
      </w:r>
    </w:p>
    <w:p w14:paraId="68E0304F">
      <w:pPr>
        <w:spacing w:line="560" w:lineRule="exact"/>
        <w:jc w:val="left"/>
        <w:rPr>
          <w:rFonts w:hint="default" w:ascii="宋体" w:hAnsi="宋体" w:eastAsia="宋体" w:cs="宋体"/>
          <w:bCs/>
          <w:sz w:val="24"/>
          <w:szCs w:val="24"/>
          <w:lang w:val="en-US" w:eastAsia="zh-CN"/>
        </w:rPr>
      </w:pPr>
    </w:p>
    <w:p w14:paraId="7FFEDDD9">
      <w:pPr>
        <w:spacing w:line="560" w:lineRule="exact"/>
        <w:jc w:val="left"/>
        <w:rPr>
          <w:rFonts w:hint="default" w:ascii="宋体" w:hAnsi="宋体" w:eastAsia="宋体" w:cs="宋体"/>
          <w:bCs/>
          <w:sz w:val="24"/>
          <w:szCs w:val="24"/>
          <w:lang w:val="en-US" w:eastAsia="zh-CN"/>
        </w:rPr>
      </w:pPr>
    </w:p>
    <w:p w14:paraId="5CB8CC64">
      <w:pPr>
        <w:spacing w:line="560" w:lineRule="exact"/>
        <w:jc w:val="left"/>
        <w:rPr>
          <w:rFonts w:hint="default" w:ascii="宋体" w:hAnsi="宋体" w:eastAsia="宋体" w:cs="宋体"/>
          <w:bCs/>
          <w:sz w:val="24"/>
          <w:szCs w:val="24"/>
          <w:lang w:val="en-US" w:eastAsia="zh-CN"/>
        </w:rPr>
      </w:pPr>
    </w:p>
    <w:p w14:paraId="54BCA3B7">
      <w:pPr>
        <w:spacing w:line="560" w:lineRule="exact"/>
        <w:ind w:firstLine="480" w:firstLineChars="200"/>
        <w:jc w:val="left"/>
        <w:outlineLvl w:val="0"/>
        <w:rPr>
          <w:rFonts w:hint="default" w:ascii="宋体" w:hAnsi="宋体" w:eastAsia="宋体" w:cs="宋体"/>
          <w:bCs/>
          <w:sz w:val="24"/>
          <w:szCs w:val="24"/>
          <w:lang w:val="en-US" w:eastAsia="zh-CN"/>
        </w:rPr>
      </w:pPr>
      <w:bookmarkStart w:id="81" w:name="_Toc1683"/>
      <w:bookmarkStart w:id="82" w:name="_Toc12141"/>
      <w:r>
        <w:rPr>
          <w:rFonts w:hint="default" w:ascii="宋体" w:hAnsi="宋体" w:eastAsia="宋体" w:cs="宋体"/>
          <w:bCs/>
          <w:sz w:val="24"/>
          <w:szCs w:val="24"/>
          <w:lang w:val="en-US" w:eastAsia="zh-CN"/>
        </w:rPr>
        <w:t>附件1</w:t>
      </w:r>
      <w:r>
        <w:rPr>
          <w:rFonts w:hint="eastAsia" w:ascii="宋体" w:hAnsi="宋体" w:cs="宋体"/>
          <w:bCs/>
          <w:sz w:val="24"/>
          <w:szCs w:val="24"/>
          <w:lang w:val="en-US" w:eastAsia="zh-CN"/>
        </w:rPr>
        <w:t>：</w:t>
      </w:r>
      <w:bookmarkEnd w:id="81"/>
      <w:r>
        <w:rPr>
          <w:rFonts w:hint="default" w:ascii="宋体" w:hAnsi="宋体" w:eastAsia="宋体" w:cs="宋体"/>
          <w:bCs/>
          <w:sz w:val="24"/>
          <w:szCs w:val="24"/>
          <w:lang w:val="en-US" w:eastAsia="zh-CN"/>
        </w:rPr>
        <w:t>重大节庆及外宣经费项目支出绩效评价指标体系</w:t>
      </w:r>
      <w:bookmarkEnd w:id="82"/>
    </w:p>
    <w:p w14:paraId="012FE86F">
      <w:pPr>
        <w:spacing w:line="560" w:lineRule="exact"/>
        <w:ind w:firstLine="480" w:firstLineChars="200"/>
        <w:jc w:val="left"/>
        <w:rPr>
          <w:rFonts w:hint="default" w:ascii="宋体" w:hAnsi="宋体" w:eastAsia="宋体" w:cs="宋体"/>
          <w:bCs/>
          <w:sz w:val="24"/>
          <w:szCs w:val="24"/>
          <w:lang w:val="en-US" w:eastAsia="zh-CN"/>
        </w:rPr>
      </w:pPr>
    </w:p>
    <w:p w14:paraId="1125B375">
      <w:pPr>
        <w:spacing w:line="560" w:lineRule="exact"/>
        <w:ind w:firstLine="480" w:firstLineChars="200"/>
        <w:jc w:val="right"/>
        <w:rPr>
          <w:rFonts w:hint="default" w:ascii="宋体" w:hAnsi="宋体" w:eastAsia="宋体" w:cs="宋体"/>
          <w:bCs/>
          <w:sz w:val="24"/>
          <w:szCs w:val="24"/>
          <w:lang w:val="en-US" w:eastAsia="zh-CN"/>
        </w:rPr>
      </w:pPr>
    </w:p>
    <w:p w14:paraId="79DE94F2">
      <w:pPr>
        <w:spacing w:line="560" w:lineRule="exact"/>
        <w:ind w:firstLine="480" w:firstLineChars="200"/>
        <w:jc w:val="right"/>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四川璟合企业管理咨询有限公司</w:t>
      </w:r>
    </w:p>
    <w:p w14:paraId="29893AA9">
      <w:pPr>
        <w:spacing w:line="560" w:lineRule="exact"/>
        <w:ind w:firstLine="480" w:firstLineChars="200"/>
        <w:jc w:val="right"/>
        <w:rPr>
          <w:rFonts w:hint="default" w:ascii="宋体" w:hAnsi="宋体" w:eastAsia="宋体" w:cs="宋体"/>
          <w:bCs/>
          <w:sz w:val="24"/>
          <w:szCs w:val="24"/>
          <w:lang w:val="en-US" w:eastAsia="zh-CN"/>
        </w:rPr>
      </w:pPr>
      <w:r>
        <w:rPr>
          <w:rFonts w:hint="eastAsia" w:ascii="宋体" w:hAnsi="宋体" w:cs="宋体"/>
          <w:bCs/>
          <w:sz w:val="24"/>
          <w:szCs w:val="24"/>
          <w:lang w:val="en-US" w:eastAsia="zh-CN"/>
        </w:rPr>
        <w:t>二○二</w:t>
      </w:r>
      <w:r>
        <w:rPr>
          <w:rFonts w:hint="eastAsia" w:ascii="宋体" w:hAnsi="宋体" w:eastAsia="宋体" w:cs="宋体"/>
          <w:bCs/>
          <w:sz w:val="24"/>
          <w:szCs w:val="24"/>
          <w:lang w:val="en-US" w:eastAsia="zh-CN"/>
        </w:rPr>
        <w:t>五年十</w:t>
      </w:r>
      <w:r>
        <w:rPr>
          <w:rFonts w:hint="eastAsia" w:ascii="宋体" w:hAnsi="宋体" w:cs="宋体"/>
          <w:bCs/>
          <w:sz w:val="24"/>
          <w:szCs w:val="24"/>
          <w:lang w:val="en-US" w:eastAsia="zh-CN"/>
        </w:rPr>
        <w:t>二</w:t>
      </w:r>
      <w:r>
        <w:rPr>
          <w:rFonts w:hint="eastAsia" w:ascii="宋体" w:hAnsi="宋体" w:eastAsia="宋体" w:cs="宋体"/>
          <w:bCs/>
          <w:sz w:val="24"/>
          <w:szCs w:val="24"/>
          <w:lang w:val="en-US" w:eastAsia="zh-CN"/>
        </w:rPr>
        <w:t>月</w:t>
      </w:r>
      <w:r>
        <w:rPr>
          <w:rFonts w:hint="eastAsia" w:ascii="宋体" w:hAnsi="宋体" w:cs="宋体"/>
          <w:bCs/>
          <w:sz w:val="24"/>
          <w:szCs w:val="24"/>
          <w:lang w:val="en-US" w:eastAsia="zh-CN"/>
        </w:rPr>
        <w:t>三</w:t>
      </w:r>
      <w:r>
        <w:rPr>
          <w:rFonts w:hint="eastAsia" w:ascii="宋体" w:hAnsi="宋体" w:eastAsia="宋体" w:cs="宋体"/>
          <w:bCs/>
          <w:sz w:val="24"/>
          <w:szCs w:val="24"/>
          <w:lang w:val="en-US" w:eastAsia="zh-CN"/>
        </w:rPr>
        <w:t>日</w:t>
      </w:r>
    </w:p>
    <w:p w14:paraId="337406C6"/>
    <w:sectPr>
      <w:footerReference r:id="rId10" w:type="default"/>
      <w:pgSz w:w="11906" w:h="16838"/>
      <w:pgMar w:top="1440" w:right="1134" w:bottom="1440" w:left="1134" w:header="851" w:footer="992" w:gutter="0"/>
      <w:pgBorders>
        <w:top w:val="none" w:sz="0" w:space="0"/>
        <w:left w:val="none" w:sz="0" w:space="0"/>
        <w:bottom w:val="none" w:sz="0" w:space="0"/>
        <w:right w:val="none" w:sz="0" w:space="0"/>
      </w:pgBorders>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A5BCF">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A1B5C">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8C1A7">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B4FD8">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F93A6">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C0D162">
                          <w:pPr>
                            <w:pStyle w:val="6"/>
                          </w:pPr>
                          <w:r>
                            <w:fldChar w:fldCharType="begin"/>
                          </w:r>
                          <w:r>
                            <w:instrText xml:space="preserve"> PAGE  \* MERGEFORMAT </w:instrText>
                          </w:r>
                          <w:r>
                            <w:fldChar w:fldCharType="separate"/>
                          </w:r>
                          <w:r>
                            <w:t>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1C0D162">
                    <w:pPr>
                      <w:pStyle w:val="6"/>
                    </w:pPr>
                    <w:r>
                      <w:fldChar w:fldCharType="begin"/>
                    </w:r>
                    <w:r>
                      <w:instrText xml:space="preserve"> PAGE  \* MERGEFORMAT </w:instrText>
                    </w:r>
                    <w:r>
                      <w:fldChar w:fldCharType="separate"/>
                    </w:r>
                    <w:r>
                      <w:t>V</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8124A">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34ECB">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0B3BF">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BD80D"/>
    <w:multiLevelType w:val="singleLevel"/>
    <w:tmpl w:val="956BD80D"/>
    <w:lvl w:ilvl="0" w:tentative="0">
      <w:start w:val="2"/>
      <w:numFmt w:val="decimal"/>
      <w:suff w:val="nothing"/>
      <w:lvlText w:val="（%1）"/>
      <w:lvlJc w:val="left"/>
    </w:lvl>
  </w:abstractNum>
  <w:abstractNum w:abstractNumId="1">
    <w:nsid w:val="9ED7D491"/>
    <w:multiLevelType w:val="singleLevel"/>
    <w:tmpl w:val="9ED7D491"/>
    <w:lvl w:ilvl="0" w:tentative="0">
      <w:start w:val="3"/>
      <w:numFmt w:val="chineseCounting"/>
      <w:suff w:val="nothing"/>
      <w:lvlText w:val="%1、"/>
      <w:lvlJc w:val="left"/>
      <w:rPr>
        <w:rFonts w:hint="eastAsia"/>
      </w:rPr>
    </w:lvl>
  </w:abstractNum>
  <w:abstractNum w:abstractNumId="2">
    <w:nsid w:val="BA9B2409"/>
    <w:multiLevelType w:val="singleLevel"/>
    <w:tmpl w:val="BA9B2409"/>
    <w:lvl w:ilvl="0" w:tentative="0">
      <w:start w:val="1"/>
      <w:numFmt w:val="chineseCounting"/>
      <w:suff w:val="nothing"/>
      <w:lvlText w:val="（%1）"/>
      <w:lvlJc w:val="left"/>
      <w:rPr>
        <w:rFonts w:hint="eastAsia"/>
      </w:rPr>
    </w:lvl>
  </w:abstractNum>
  <w:abstractNum w:abstractNumId="3">
    <w:nsid w:val="F9BF44DC"/>
    <w:multiLevelType w:val="singleLevel"/>
    <w:tmpl w:val="F9BF44DC"/>
    <w:lvl w:ilvl="0" w:tentative="0">
      <w:start w:val="2"/>
      <w:numFmt w:val="chineseCounting"/>
      <w:suff w:val="nothing"/>
      <w:lvlText w:val="（%1）"/>
      <w:lvlJc w:val="left"/>
      <w:rPr>
        <w:rFonts w:hint="eastAsia"/>
      </w:rPr>
    </w:lvl>
  </w:abstractNum>
  <w:abstractNum w:abstractNumId="4">
    <w:nsid w:val="00A785A5"/>
    <w:multiLevelType w:val="singleLevel"/>
    <w:tmpl w:val="00A785A5"/>
    <w:lvl w:ilvl="0" w:tentative="0">
      <w:start w:val="1"/>
      <w:numFmt w:val="chineseCounting"/>
      <w:suff w:val="nothing"/>
      <w:lvlText w:val="（%1）"/>
      <w:lvlJc w:val="left"/>
      <w:rPr>
        <w:rFonts w:hint="eastAsia"/>
      </w:rPr>
    </w:lvl>
  </w:abstractNum>
  <w:abstractNum w:abstractNumId="5">
    <w:nsid w:val="2A53EA7C"/>
    <w:multiLevelType w:val="singleLevel"/>
    <w:tmpl w:val="2A53EA7C"/>
    <w:lvl w:ilvl="0" w:tentative="0">
      <w:start w:val="3"/>
      <w:numFmt w:val="chineseCounting"/>
      <w:suff w:val="nothing"/>
      <w:lvlText w:val="%1、"/>
      <w:lvlJc w:val="left"/>
      <w:rPr>
        <w:rFonts w:hint="eastAsia"/>
      </w:rPr>
    </w:lvl>
  </w:abstractNum>
  <w:abstractNum w:abstractNumId="6">
    <w:nsid w:val="2EB4C75B"/>
    <w:multiLevelType w:val="singleLevel"/>
    <w:tmpl w:val="2EB4C75B"/>
    <w:lvl w:ilvl="0" w:tentative="0">
      <w:start w:val="1"/>
      <w:numFmt w:val="decimal"/>
      <w:lvlText w:val="%1."/>
      <w:lvlJc w:val="left"/>
      <w:pPr>
        <w:tabs>
          <w:tab w:val="left" w:pos="312"/>
        </w:tabs>
      </w:pPr>
    </w:lvl>
  </w:abstractNum>
  <w:abstractNum w:abstractNumId="7">
    <w:nsid w:val="5F4291DE"/>
    <w:multiLevelType w:val="singleLevel"/>
    <w:tmpl w:val="5F4291DE"/>
    <w:lvl w:ilvl="0" w:tentative="0">
      <w:start w:val="2"/>
      <w:numFmt w:val="chineseCounting"/>
      <w:suff w:val="nothing"/>
      <w:lvlText w:val="（%1）"/>
      <w:lvlJc w:val="left"/>
      <w:rPr>
        <w:rFonts w:hint="eastAsia"/>
      </w:rPr>
    </w:lvl>
  </w:abstractNum>
  <w:abstractNum w:abstractNumId="8">
    <w:nsid w:val="6B249201"/>
    <w:multiLevelType w:val="singleLevel"/>
    <w:tmpl w:val="6B249201"/>
    <w:lvl w:ilvl="0" w:tentative="0">
      <w:start w:val="1"/>
      <w:numFmt w:val="chineseCounting"/>
      <w:suff w:val="nothing"/>
      <w:lvlText w:val="%1、"/>
      <w:lvlJc w:val="left"/>
      <w:rPr>
        <w:rFonts w:hint="eastAsia"/>
      </w:rPr>
    </w:lvl>
  </w:abstractNum>
  <w:num w:numId="1">
    <w:abstractNumId w:val="5"/>
  </w:num>
  <w:num w:numId="2">
    <w:abstractNumId w:val="2"/>
  </w:num>
  <w:num w:numId="3">
    <w:abstractNumId w:val="4"/>
  </w:num>
  <w:num w:numId="4">
    <w:abstractNumId w:val="8"/>
  </w:num>
  <w:num w:numId="5">
    <w:abstractNumId w:val="1"/>
  </w:num>
  <w:num w:numId="6">
    <w:abstractNumId w:val="0"/>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C23065"/>
    <w:rsid w:val="01A6494F"/>
    <w:rsid w:val="0ACE078A"/>
    <w:rsid w:val="206566EF"/>
    <w:rsid w:val="35C23065"/>
    <w:rsid w:val="3AAE15B7"/>
    <w:rsid w:val="435C5AE6"/>
    <w:rsid w:val="44885543"/>
    <w:rsid w:val="4B1B2907"/>
    <w:rsid w:val="4E245187"/>
    <w:rsid w:val="5B432E45"/>
    <w:rsid w:val="5E173458"/>
    <w:rsid w:val="5E2A4733"/>
    <w:rsid w:val="5F130445"/>
    <w:rsid w:val="65705E7D"/>
    <w:rsid w:val="71774A76"/>
    <w:rsid w:val="72916C3D"/>
    <w:rsid w:val="776F6A1C"/>
    <w:rsid w:val="7BCE0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w:basedOn w:val="1"/>
    <w:qFormat/>
    <w:uiPriority w:val="0"/>
    <w:pPr>
      <w:ind w:left="200" w:hanging="200" w:hangingChars="200"/>
    </w:pPr>
  </w:style>
  <w:style w:type="paragraph" w:styleId="4">
    <w:name w:val="toc 3"/>
    <w:basedOn w:val="1"/>
    <w:next w:val="1"/>
    <w:qFormat/>
    <w:uiPriority w:val="0"/>
    <w:pPr>
      <w:ind w:left="840" w:leftChars="400"/>
    </w:pPr>
  </w:style>
  <w:style w:type="paragraph" w:styleId="5">
    <w:name w:val="Plain Text"/>
    <w:basedOn w:val="1"/>
    <w:unhideWhenUsed/>
    <w:qFormat/>
    <w:uiPriority w:val="99"/>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Body Text First Indent"/>
    <w:basedOn w:val="2"/>
    <w:next w:val="1"/>
    <w:unhideWhenUsed/>
    <w:qFormat/>
    <w:uiPriority w:val="99"/>
    <w:pPr>
      <w:ind w:firstLine="420" w:firstLineChars="100"/>
    </w:pPr>
  </w:style>
  <w:style w:type="table" w:customStyle="1" w:styleId="13">
    <w:name w:val="Table Normal"/>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宋体" w:hAnsi="宋体" w:eastAsia="宋体" w:cs="宋体"/>
      <w:sz w:val="20"/>
      <w:szCs w:val="20"/>
      <w:lang w:val="en-US" w:eastAsia="en-US" w:bidi="ar-SA"/>
    </w:rPr>
  </w:style>
  <w:style w:type="character" w:customStyle="1" w:styleId="15">
    <w:name w:val="font3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ea1c0ed8-3def-45f9-829e-49e0ad035449</errorID>
      <errorWord>事态</errorWord>
      <group>L1_Word</group>
      <groupName>字词问题</groupName>
      <ability>L2_Typo</ability>
      <abilityName>字词错误</abilityName>
      <candidateList>
        <item>势态</item>
      </candidateList>
      <explain/>
      <paraID>611FE928</paraID>
      <start>154</start>
      <end>156</end>
      <status>modified</status>
      <modifiedWord>势态</modifiedWord>
      <trackRevisions>false</trackRevisions>
    </reviewItem>
    <reviewItem>
      <errorID>80c02c36-980e-4fc3-8bc9-d2a62cf9d5ed</errorID>
      <errorWord>(</errorWord>
      <group>L1_Format</group>
      <groupName>格式问题</groupName>
      <ability>L2_HalfPunc</ability>
      <abilityName>全半角检查</abilityName>
      <candidateList>
        <item>（</item>
      </candidateList>
      <explain>文本全半角错误。</explain>
      <paraID>31258F9F</paraID>
      <start>62</start>
      <end>63</end>
      <status>ignored</status>
      <modifiedWord/>
      <trackRevisions>false</trackRevisions>
    </reviewItem>
    <reviewItem>
      <errorID>0cc98c0e-9b3d-4f13-a3a6-81c13c82ae39</errorID>
      <errorWord>)</errorWord>
      <group>L1_Format</group>
      <groupName>格式问题</groupName>
      <ability>L2_HalfPunc</ability>
      <abilityName>全半角检查</abilityName>
      <candidateList>
        <item>）</item>
      </candidateList>
      <explain>文本全半角错误。</explain>
      <paraID>31258F9F</paraID>
      <start>76</start>
      <end>77</end>
      <status>ignored</status>
      <modifiedWord/>
      <trackRevisions>false</trackRevisions>
    </reviewItem>
    <reviewItem>
      <errorID>6576a05e-8a64-4fd5-a159-0632d01d5f36</errorID>
      <errorWord>提</errorWord>
      <group>L1_Word</group>
      <groupName>字词问题</groupName>
      <ability>L2_Typo</ability>
      <abilityName>字词错误</abilityName>
      <candidateList>
        <item>提出</item>
      </candidateList>
      <explain/>
      <paraID>1E3A9146</paraID>
      <start>62</start>
      <end>64</end>
      <status>modified</status>
      <modifiedWord>提出</modifiedWord>
      <trackRevisions>false</trackRevisions>
    </reviewItem>
    <reviewItem>
      <errorID>52e0adcf-57ab-44b1-8cee-b0eb6ec75ae4</errorID>
      <errorWord>(</errorWord>
      <group>L1_Format</group>
      <groupName>格式问题</groupName>
      <ability>L2_HalfPunc</ability>
      <abilityName>全半角检查</abilityName>
      <candidateList>
        <item>（</item>
      </candidateList>
      <explain>文本全半角错误。</explain>
      <paraID>721EEB07</paraID>
      <start>2</start>
      <end>3</end>
      <status>ignored</status>
      <modifiedWord/>
      <trackRevisions>false</trackRevisions>
    </reviewItem>
    <reviewItem>
      <errorID>d80bad52-2527-4965-9da5-d32d1a829c34</errorID>
      <errorWord>)</errorWord>
      <group>L1_Format</group>
      <groupName>格式问题</groupName>
      <ability>L2_HalfPunc</ability>
      <abilityName>全半角检查</abilityName>
      <candidateList>
        <item>）</item>
      </candidateList>
      <explain>文本全半角错误。</explain>
      <paraID>721EEB07</paraID>
      <start>16</start>
      <end>17</end>
      <status>ignored</status>
      <modifiedWord/>
      <trackRevisions>false</trackRevisions>
    </reviewItem>
    <reviewItem>
      <errorID>7c1874a9-2849-4db2-add7-dbd459b9f286</errorID>
      <errorWord>-</errorWord>
      <group>L1_Format</group>
      <groupName>格式问题</groupName>
      <ability>L2_HalfPunc</ability>
      <abilityName>全半角检查</abilityName>
      <candidateList>
        <item>－</item>
      </candidateList>
      <explain>文本全半角错误。</explain>
      <paraID>721EEB07</paraID>
      <start>76</start>
      <end>77</end>
      <status>ignored</status>
      <modifiedWord/>
      <trackRevisions>false</trackRevisions>
    </reviewItem>
    <reviewItem>
      <errorID>064cf2be-4f0f-4630-b29b-0eef14d4536b</errorID>
      <errorWord>市委市政府</errorWord>
      <group>L1_Word</group>
      <groupName>字词问题</groupName>
      <ability>L2_Typo</ability>
      <abilityName>字词错误</abilityName>
      <candidateList>
        <item>市委、市政府</item>
      </candidateList>
      <explain/>
      <paraID>3330AACA</paraID>
      <start>55</start>
      <end>61</end>
      <status>modified</status>
      <modifiedWord>市委、市政府</modifiedWord>
      <trackRevisions>false</trackRevisions>
    </reviewItem>
    <reviewItem>
      <errorID>bebe583c-475b-4385-b20d-faff8c943e5c</errorID>
      <errorWord>二类</errorWord>
      <group>L1_Word</group>
      <groupName>字词问题</groupName>
      <ability>L2_Typo</ability>
      <abilityName>字词错误</abilityName>
      <candidateList>
        <item>两类</item>
      </candidateList>
      <explain/>
      <paraID> 388238D</paraID>
      <start>12</start>
      <end>14</end>
      <status>modified</status>
      <modifiedWord>两类</modifiedWord>
      <trackRevisions>false</trackRevisions>
    </reviewItem>
    <reviewItem>
      <errorID>b3114080-4f2c-45ee-91c0-16a01c03f180</errorID>
      <errorWord>（</errorWord>
      <group>L1_Punc</group>
      <groupName>标点问题</groupName>
      <ability>L2_Punc</ability>
      <abilityName>标点符号检查</abilityName>
      <candidateList/>
      <explain>同一形式括号套用。</explain>
      <paraID>14C716F3</paraID>
      <start>18</start>
      <end>19</end>
      <status>ignored</status>
      <modifiedWord/>
      <trackRevisions>false</trackRevisions>
    </reviewItem>
    <reviewItem>
      <errorID>0bd658a2-0202-45cd-a282-aae9ce2885a6</errorID>
      <errorWord>）</errorWord>
      <group>L1_Punc</group>
      <groupName>标点问题</groupName>
      <ability>L2_Punc</ability>
      <abilityName>标点符号检查</abilityName>
      <candidateList/>
      <explain>同一形式括号套用。</explain>
      <paraID>14C716F3</paraID>
      <start>20</start>
      <end>21</end>
      <status>ignored</status>
      <modifiedWord/>
      <trackRevisions>false</trackRevisions>
    </reviewItem>
    <reviewItem>
      <errorID>e01dd872-b5e8-43d0-8044-0da1efddd3d1</errorID>
      <errorWord>（</errorWord>
      <group>L1_Punc</group>
      <groupName>标点问题</groupName>
      <ability>L2_Punc</ability>
      <abilityName>标点符号检查</abilityName>
      <candidateList/>
      <explain>同一形式括号套用。</explain>
      <paraID>14C716F3</paraID>
      <start>33</start>
      <end>34</end>
      <status>ignored</status>
      <modifiedWord/>
      <trackRevisions>false</trackRevisions>
    </reviewItem>
    <reviewItem>
      <errorID>2d69eff1-1398-46bd-b454-0f9fd29e7ed3</errorID>
      <errorWord>）</errorWord>
      <group>L1_Punc</group>
      <groupName>标点问题</groupName>
      <ability>L2_Punc</ability>
      <abilityName>标点符号检查</abilityName>
      <candidateList/>
      <explain>同一形式括号套用。</explain>
      <paraID>14C716F3</paraID>
      <start>35</start>
      <end>36</end>
      <status>ignored</status>
      <modifiedWord/>
      <trackRevisions>false</trackRevisions>
    </reviewItem>
    <reviewItem>
      <errorID>e48f3873-03e3-4ec1-8f54-03c15c9940ef</errorID>
      <errorWord>（</errorWord>
      <group>L1_Punc</group>
      <groupName>标点问题</groupName>
      <ability>L2_Punc</ability>
      <abilityName>标点符号检查</abilityName>
      <candidateList/>
      <explain>同一形式括号套用。</explain>
      <paraID>14C716F3</paraID>
      <start>47</start>
      <end>48</end>
      <status>ignored</status>
      <modifiedWord/>
      <trackRevisions>false</trackRevisions>
    </reviewItem>
    <reviewItem>
      <errorID>7c4e1e5c-30f3-4503-8c8c-b1491e493de3</errorID>
      <errorWord>）</errorWord>
      <group>L1_Punc</group>
      <groupName>标点问题</groupName>
      <ability>L2_Punc</ability>
      <abilityName>标点符号检查</abilityName>
      <candidateList/>
      <explain>同一形式括号套用。</explain>
      <paraID>14C716F3</paraID>
      <start>49</start>
      <end>50</end>
      <status>ignored</status>
      <modifiedWord/>
      <trackRevisions>false</trackRevisions>
    </reviewItem>
    <reviewItem>
      <errorID>cbe3e3fa-3558-4623-8eb4-146e7614bc11</errorID>
      <errorWord>事态</errorWord>
      <group>L1_Word</group>
      <groupName>字词问题</groupName>
      <ability>L2_Typo</ability>
      <abilityName>字词错误</abilityName>
      <candidateList>
        <item>势态</item>
      </candidateList>
      <explain/>
      <paraID> 7600778</paraID>
      <start>142</start>
      <end>144</end>
      <status>modified</status>
      <modifiedWord>势态</modifiedWord>
      <trackRevisions>false</trackRevisions>
    </reviewItem>
    <reviewItem>
      <errorID>bbd094c1-ace5-4a16-b94e-8558f61c3e5d</errorID>
      <errorWord>(</errorWord>
      <group>L1_Format</group>
      <groupName>格式问题</groupName>
      <ability>L2_HalfPunc</ability>
      <abilityName>全半角检查</abilityName>
      <candidateList>
        <item>（</item>
      </candidateList>
      <explain>文本全半角错误。</explain>
      <paraID>2C5BBA6F</paraID>
      <start>19</start>
      <end>20</end>
      <status>ignored</status>
      <modifiedWord/>
      <trackRevisions>false</trackRevisions>
    </reviewItem>
    <reviewItem>
      <errorID>de7b7664-dd19-4d99-bd07-9d5149602bf4</errorID>
      <errorWord>)</errorWord>
      <group>L1_Format</group>
      <groupName>格式问题</groupName>
      <ability>L2_HalfPunc</ability>
      <abilityName>全半角检查</abilityName>
      <candidateList>
        <item>）</item>
      </candidateList>
      <explain>文本全半角错误。</explain>
      <paraID>2C5BBA6F</paraID>
      <start>21</start>
      <end>22</end>
      <status>ignored</status>
      <modifiedWord/>
      <trackRevisions>false</trackRevisions>
    </reviewItem>
    <reviewItem>
      <errorID>57ba0f58-369e-4033-963a-e4b69325cec6</errorID>
      <errorWord>,</errorWord>
      <group>L1_Format</group>
      <groupName>格式问题</groupName>
      <ability>L2_HalfPunc</ability>
      <abilityName>全半角检查</abilityName>
      <candidateList>
        <item>，</item>
      </candidateList>
      <explain>文本全半角错误。</explain>
      <paraID>2C5BBA6F</paraID>
      <start>28</start>
      <end>29</end>
      <status>ignored</status>
      <modifiedWord/>
      <trackRevisions>false</trackRevisions>
    </reviewItem>
    <reviewItem>
      <errorID>dfdd3e1f-bf8b-48e3-b948-ab3df9d7541d</errorID>
      <errorWord>,</errorWord>
      <group>L1_Format</group>
      <groupName>格式问题</groupName>
      <ability>L2_HalfPunc</ability>
      <abilityName>全半角检查</abilityName>
      <candidateList>
        <item>，</item>
      </candidateList>
      <explain>文本全半角错误。</explain>
      <paraID>677FA321</paraID>
      <start>28</start>
      <end>29</end>
      <status>ignored</status>
      <modifiedWord/>
      <trackRevisions>false</trackRevisions>
    </reviewItem>
    <reviewItem>
      <errorID>6289c3d0-f866-4c8a-b804-55e7a8479725</errorID>
      <errorWord>区委区政府</errorWord>
      <group>L1_Political</group>
      <groupName>政治性问题</groupName>
      <ability>L2_Keyword</ability>
      <abilityName>固定表述</abilityName>
      <candidateList>
        <item>区委、区政府</item>
      </candidateList>
      <explain>注意检查当前固定表述标点是否使用规范。</explain>
      <paraID>362C1196</paraID>
      <start>45</start>
      <end>51</end>
      <status>modified</status>
      <modifiedWord>区委、区政府</modifiedWord>
      <trackRevisions>false</trackRevisions>
    </reviewItem>
    <reviewItem>
      <errorID>bae0f001-c041-47dd-947e-84e0ca29a7a2</errorID>
      <errorWord>活</errorWord>
      <group>L1_Word</group>
      <groupName>字词问题</groupName>
      <ability>L2_Typo</ability>
      <abilityName>字词错误</abilityName>
      <candidateList>
        <item>活动</item>
      </candidateList>
      <explain>❶〈动〉（肢体）〈动〉弹；运动：坐久了应该站起来～～｜出去散散步，～一下筋骨。❷〈动〉为某种目的而行动：抗战时这一带常有游击队～。❸〈动〉〈动〉摇；不稳定：这个桌子直～｜门牙～了。❹〈形〉灵活；不固定：～模型｜～房屋｜条文规定得比较～。❺〈名〉为达到某种目的而采取的行动：野外～｜文娱～｜体育～｜政治～。</explain>
      <paraID>362C1196</paraID>
      <start>76</start>
      <end>78</end>
      <status>modified</status>
      <modifiedWord>活动</modifiedWord>
      <trackRevisions>false</trackRevisions>
    </reviewItem>
    <reviewItem>
      <errorID>11ec1878-da3d-439d-a4b6-b06154a41e17</errorID>
      <errorWord>区委区政府</errorWord>
      <group>L1_Political</group>
      <groupName>政治性问题</groupName>
      <ability>L2_Keyword</ability>
      <abilityName>固定表述</abilityName>
      <candidateList>
        <item>区委、区政府</item>
      </candidateList>
      <explain>注意检查当前固定表述标点是否使用规范。</explain>
      <paraID>362C1196</paraID>
      <start>153</start>
      <end>159</end>
      <status>modified</status>
      <modifiedWord>区委、区政府</modifiedWord>
      <trackRevisions>false</trackRevisions>
    </reviewItem>
    <reviewItem>
      <errorID>8451c060-beb7-498f-adad-030893233a9b</errorID>
      <errorWord>。。</errorWord>
      <group>L1_Punc</group>
      <groupName>标点问题</groupName>
      <ability>L2_Punc</ability>
      <abilityName>标点符号检查</abilityName>
      <candidateList>
        <item>。</item>
      </candidateList>
      <explain/>
      <paraID>362C1196</paraID>
      <start>164</start>
      <end>165</end>
      <status>modified</status>
      <modifiedWord>。</modifiedWord>
      <trackRevisions>false</trackRevisions>
    </reviewItem>
    <reviewItem>
      <errorID>69bcf818-bacf-48b5-bf2e-3ab42470eee4</errorID>
      <errorWord>，</errorWord>
      <group>L1_Word</group>
      <groupName>字词问题</groupName>
      <ability>L2_Typo</ability>
      <abilityName>字词错误</abilityName>
      <candidateList>
        <item>，在</item>
      </candidateList>
      <explain/>
      <paraID>28E6B1FA</paraID>
      <start>136</start>
      <end>137</end>
      <status>ignored</status>
      <modifiedWord/>
      <trackRevisions>false</trackRevisions>
    </reviewItem>
    <reviewItem>
      <errorID>3dfad5fa-9fbd-45ec-b126-a8755e23aece</errorID>
      <errorWord>，</errorWord>
      <group>L1_Word</group>
      <groupName>字词问题</groupName>
      <ability>L2_Typo</ability>
      <abilityName>字词错误</abilityName>
      <candidateList>
        <item>，在</item>
      </candidateList>
      <explain/>
      <paraID> 1FCEBB1</paraID>
      <start>132</start>
      <end>133</end>
      <status>ignored</status>
      <modifiedWord/>
      <trackRevisions>false</trackRevisions>
    </reviewItem>
    <reviewItem>
      <errorID>494795ab-4e48-41dc-807b-4470139fb447</errorID>
      <errorWord>:</errorWord>
      <group>L1_Format</group>
      <groupName>格式问题</groupName>
      <ability>L2_HalfPunc</ability>
      <abilityName>全半角检查</abilityName>
      <candidateList>
        <item>：</item>
      </candidateList>
      <explain>文本全半角错误。</explain>
      <paraID>54BCA3B7</paraID>
      <start>3</start>
      <end>4</end>
      <status>modified</status>
      <modifiedWord>：</modifiedWord>
      <trackRevisions>false</trackRevisions>
    </reviewItem>
    <reviewItem>
      <errorID>5687104c-90a6-4ba2-8c3b-1e0629c24613</errorID>
      <errorWord>二零二</errorWord>
      <group>L1_Word</group>
      <groupName>字词问题</groupName>
      <ability>L2_Alias</ability>
      <abilityName>也作/曾用词</abilityName>
      <candidateList>
        <item>二○二</item>
      </candidateList>
      <explain>词汇[二零二]为不规范表述或旧称，其规范书面表述为[二○二]。</explain>
      <paraID>29893AA9</paraID>
      <start>0</start>
      <end>3</end>
      <status>modified</status>
      <modifiedWord>二○二</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7fe55a-2d54-4b34-9763-e9850659d6bc}">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7148</Words>
  <Characters>7415</Characters>
  <Lines>0</Lines>
  <Paragraphs>0</Paragraphs>
  <TotalTime>9</TotalTime>
  <ScaleCrop>false</ScaleCrop>
  <LinksUpToDate>false</LinksUpToDate>
  <CharactersWithSpaces>7540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2025-11-25T07:00:00Z</dcterms:created>
  <dc:creator>try</dc:creator>
  <cp:lastModifiedBy>try</cp:lastModifiedBy>
  <dcterms:modified xsi:type="dcterms:W3CDTF">2026-02-12T01:50:23Z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F7E65E67AF074E90BCCFDB9C911A287C_13</vt:lpwstr>
  </property>
  <property fmtid="{D5CDD505-2E9C-101B-9397-08002B2CF9AE}" pid="4" name="KSOTemplateDocerSaveRecord">
    <vt:lpwstr>eyJoZGlkIjoiZThlYmFlMzM1OWFlNDM3OTFmZTNkODFmMTJlNjQ5MWYiLCJ1c2VySWQiOiIxNzM1MDIzNSJ9</vt:lpwstr>
  </property>
</Properties>
</file>