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ind w:left="-1098" w:leftChars="-343" w:right="-1056" w:rightChars="-330" w:firstLine="2"/>
        <w:jc w:val="center"/>
        <w:outlineLvl w:val="0"/>
        <w:rPr>
          <w:rFonts w:ascii="宋体"/>
          <w:b/>
          <w:bCs/>
          <w:color w:val="auto"/>
          <w:spacing w:val="20"/>
          <w:sz w:val="52"/>
          <w:highlight w:val="none"/>
        </w:rPr>
      </w:pPr>
      <w:bookmarkStart w:id="0" w:name="_Toc28502"/>
      <w:r>
        <w:rPr>
          <w:rFonts w:hint="eastAsia" w:ascii="宋体"/>
          <w:b/>
          <w:bCs/>
          <w:color w:val="auto"/>
          <w:spacing w:val="20"/>
          <w:sz w:val="52"/>
          <w:highlight w:val="none"/>
          <w:lang w:val="en-US" w:eastAsia="zh-CN"/>
        </w:rPr>
        <w:t xml:space="preserve">                                              </w:t>
      </w:r>
      <w:bookmarkStart w:id="1" w:name="_Toc2680"/>
      <w:r>
        <w:rPr>
          <w:rFonts w:hint="eastAsia" w:ascii="宋体"/>
          <w:b/>
          <w:bCs/>
          <w:color w:val="auto"/>
          <w:spacing w:val="20"/>
          <w:sz w:val="52"/>
          <w:highlight w:val="none"/>
        </w:rPr>
        <w:t>攀枝花永道和会计咨询服务有限公司</w:t>
      </w:r>
      <w:bookmarkEnd w:id="0"/>
      <w:bookmarkEnd w:id="1"/>
    </w:p>
    <w:p>
      <w:pPr>
        <w:tabs>
          <w:tab w:val="center" w:pos="4649"/>
        </w:tabs>
        <w:spacing w:afterLines="150" w:line="580" w:lineRule="exact"/>
        <w:ind w:left="-1098" w:leftChars="-343" w:right="-960" w:rightChars="-300" w:firstLine="2"/>
        <w:jc w:val="center"/>
        <w:rPr>
          <w:rFonts w:hint="eastAsia" w:ascii="宋体"/>
          <w:bCs/>
          <w:color w:val="auto"/>
          <w:spacing w:val="10"/>
          <w:sz w:val="44"/>
          <w:szCs w:val="44"/>
          <w:highlight w:val="none"/>
        </w:rPr>
      </w:pPr>
      <w:r>
        <w:rPr>
          <w:rFonts w:hint="eastAsia" w:ascii="宋体"/>
          <w:bCs/>
          <w:color w:val="auto"/>
          <w:spacing w:val="10"/>
          <w:sz w:val="30"/>
          <w:szCs w:val="30"/>
          <w:highlight w:val="none"/>
        </w:rPr>
        <w:t xml:space="preserve">Panzhihua Yongdaohe Accounting Consulting Services CO,Ltd </w:t>
      </w:r>
    </w:p>
    <w:p>
      <w:pPr>
        <w:widowControl/>
        <w:spacing w:line="600" w:lineRule="exact"/>
        <w:jc w:val="center"/>
        <w:rPr>
          <w:rFonts w:hint="eastAsia" w:ascii="宋体" w:hAnsi="宋体" w:eastAsia="宋体" w:cs="宋体"/>
          <w:b/>
          <w:color w:val="auto"/>
          <w:sz w:val="44"/>
          <w:szCs w:val="44"/>
          <w:highlight w:val="none"/>
          <w:shd w:val="clear" w:color="auto" w:fill="FFFFFF"/>
        </w:rPr>
      </w:pPr>
    </w:p>
    <w:p>
      <w:pPr>
        <w:widowControl/>
        <w:spacing w:line="600" w:lineRule="exact"/>
        <w:jc w:val="center"/>
        <w:rPr>
          <w:rFonts w:hint="eastAsia" w:ascii="宋体" w:hAnsi="宋体" w:eastAsia="宋体" w:cs="宋体"/>
          <w:b/>
          <w:color w:val="auto"/>
          <w:sz w:val="44"/>
          <w:szCs w:val="44"/>
          <w:highlight w:val="none"/>
          <w:shd w:val="clear" w:color="auto" w:fill="FFFFFF"/>
        </w:rPr>
      </w:pPr>
    </w:p>
    <w:p>
      <w:pPr>
        <w:widowControl/>
        <w:spacing w:line="600" w:lineRule="exact"/>
        <w:jc w:val="center"/>
        <w:rPr>
          <w:rFonts w:hint="eastAsia" w:ascii="宋体" w:hAnsi="宋体" w:eastAsia="宋体" w:cs="宋体"/>
          <w:b/>
          <w:color w:val="auto"/>
          <w:sz w:val="44"/>
          <w:szCs w:val="44"/>
          <w:highlight w:val="none"/>
          <w:shd w:val="clear" w:color="auto" w:fill="FFFFFF"/>
        </w:rPr>
      </w:pPr>
    </w:p>
    <w:p>
      <w:pPr>
        <w:widowControl/>
        <w:spacing w:line="600" w:lineRule="exact"/>
        <w:jc w:val="center"/>
        <w:rPr>
          <w:rFonts w:hint="eastAsia" w:ascii="宋体" w:hAnsi="宋体" w:eastAsia="宋体" w:cs="宋体"/>
          <w:b/>
          <w:color w:val="auto"/>
          <w:sz w:val="44"/>
          <w:szCs w:val="44"/>
          <w:highlight w:val="none"/>
          <w:shd w:val="clear" w:color="auto" w:fill="FFFFFF"/>
        </w:rPr>
      </w:pPr>
    </w:p>
    <w:p>
      <w:pPr>
        <w:pStyle w:val="37"/>
        <w:spacing w:line="240" w:lineRule="auto"/>
        <w:jc w:val="center"/>
        <w:outlineLvl w:val="0"/>
        <w:rPr>
          <w:rFonts w:hint="eastAsia" w:ascii="宋体" w:hAnsi="宋体" w:cs="Times New Roman"/>
          <w:b/>
          <w:color w:val="auto"/>
          <w:kern w:val="2"/>
          <w:sz w:val="44"/>
          <w:szCs w:val="44"/>
          <w:highlight w:val="none"/>
        </w:rPr>
      </w:pPr>
      <w:bookmarkStart w:id="2" w:name="_Toc22853"/>
      <w:bookmarkStart w:id="3" w:name="_Toc27123"/>
      <w:bookmarkStart w:id="4" w:name="_Toc19459"/>
      <w:bookmarkStart w:id="5" w:name="_Toc22240"/>
      <w:r>
        <w:rPr>
          <w:rFonts w:hint="eastAsia" w:ascii="宋体" w:hAnsi="宋体" w:cs="Times New Roman"/>
          <w:b/>
          <w:color w:val="auto"/>
          <w:kern w:val="2"/>
          <w:sz w:val="44"/>
          <w:szCs w:val="44"/>
          <w:highlight w:val="none"/>
        </w:rPr>
        <w:t>攀枝花市仁和区林业局</w:t>
      </w:r>
      <w:bookmarkEnd w:id="2"/>
      <w:bookmarkEnd w:id="3"/>
      <w:bookmarkEnd w:id="4"/>
      <w:bookmarkEnd w:id="5"/>
    </w:p>
    <w:p>
      <w:pPr>
        <w:pStyle w:val="37"/>
        <w:spacing w:line="240" w:lineRule="auto"/>
        <w:jc w:val="center"/>
        <w:outlineLvl w:val="0"/>
        <w:rPr>
          <w:rFonts w:hint="eastAsia" w:ascii="宋体" w:hAnsi="宋体" w:cs="Times New Roman"/>
          <w:b/>
          <w:color w:val="auto"/>
          <w:kern w:val="2"/>
          <w:sz w:val="44"/>
          <w:szCs w:val="44"/>
          <w:highlight w:val="none"/>
        </w:rPr>
      </w:pPr>
      <w:bookmarkStart w:id="6" w:name="_Toc3343"/>
      <w:bookmarkStart w:id="7" w:name="_Toc15601"/>
      <w:bookmarkStart w:id="8" w:name="_Toc18948"/>
      <w:bookmarkStart w:id="9" w:name="_Toc31715"/>
      <w:r>
        <w:rPr>
          <w:rFonts w:hint="eastAsia" w:ascii="宋体" w:hAnsi="宋体" w:cs="Times New Roman"/>
          <w:b/>
          <w:color w:val="auto"/>
          <w:kern w:val="2"/>
          <w:sz w:val="44"/>
          <w:szCs w:val="44"/>
          <w:highlight w:val="none"/>
        </w:rPr>
        <w:t>2022年度部门整体支出</w:t>
      </w:r>
      <w:bookmarkEnd w:id="6"/>
      <w:bookmarkEnd w:id="7"/>
      <w:bookmarkEnd w:id="8"/>
      <w:bookmarkEnd w:id="9"/>
    </w:p>
    <w:p>
      <w:pPr>
        <w:pStyle w:val="37"/>
        <w:spacing w:line="240" w:lineRule="auto"/>
        <w:jc w:val="center"/>
        <w:outlineLvl w:val="0"/>
        <w:rPr>
          <w:rFonts w:hint="eastAsia" w:ascii="宋体" w:hAnsi="宋体" w:cs="Times New Roman"/>
          <w:b/>
          <w:color w:val="auto"/>
          <w:kern w:val="2"/>
          <w:sz w:val="44"/>
          <w:szCs w:val="44"/>
          <w:highlight w:val="none"/>
        </w:rPr>
      </w:pPr>
      <w:bookmarkStart w:id="10" w:name="_Toc24748"/>
      <w:bookmarkStart w:id="11" w:name="_Toc18415"/>
      <w:bookmarkStart w:id="12" w:name="_Toc18518"/>
      <w:bookmarkStart w:id="13" w:name="_Toc19445"/>
      <w:r>
        <w:rPr>
          <w:rFonts w:hint="eastAsia" w:ascii="宋体" w:hAnsi="宋体" w:cs="Times New Roman"/>
          <w:b/>
          <w:color w:val="auto"/>
          <w:kern w:val="2"/>
          <w:sz w:val="44"/>
          <w:szCs w:val="44"/>
          <w:highlight w:val="none"/>
        </w:rPr>
        <w:t>绩效评价报告</w:t>
      </w:r>
      <w:bookmarkEnd w:id="10"/>
      <w:bookmarkEnd w:id="11"/>
      <w:bookmarkEnd w:id="12"/>
      <w:bookmarkEnd w:id="13"/>
    </w:p>
    <w:p>
      <w:pPr>
        <w:pStyle w:val="37"/>
        <w:spacing w:line="600" w:lineRule="exact"/>
        <w:jc w:val="center"/>
        <w:rPr>
          <w:rFonts w:ascii="Times New Roman" w:hAnsi="Times New Roman" w:cs="Times New Roman"/>
          <w:b/>
          <w:color w:val="auto"/>
          <w:kern w:val="2"/>
          <w:sz w:val="44"/>
          <w:szCs w:val="44"/>
          <w:highlight w:val="none"/>
        </w:rPr>
      </w:pPr>
    </w:p>
    <w:p>
      <w:pPr>
        <w:spacing w:line="760" w:lineRule="exact"/>
        <w:jc w:val="center"/>
        <w:rPr>
          <w:rFonts w:hint="eastAsia" w:ascii="宋体" w:hAnsi="宋体" w:eastAsia="宋体" w:cs="宋体"/>
          <w:b/>
          <w:color w:val="auto"/>
          <w:sz w:val="44"/>
          <w:szCs w:val="44"/>
          <w:highlight w:val="none"/>
        </w:rPr>
      </w:pPr>
      <w:r>
        <w:rPr>
          <w:rFonts w:eastAsia="宋体"/>
          <w:color w:val="auto"/>
          <w:kern w:val="0"/>
          <w:sz w:val="44"/>
          <w:szCs w:val="44"/>
          <w:highlight w:val="none"/>
          <w:shd w:val="clear" w:color="auto" w:fill="FFFFFF"/>
        </w:rPr>
        <w:t>（攀永道和会咨</w:t>
      </w:r>
      <w:r>
        <w:rPr>
          <w:rFonts w:eastAsia="宋体"/>
          <w:color w:val="auto"/>
          <w:kern w:val="0"/>
          <w:sz w:val="44"/>
          <w:szCs w:val="44"/>
          <w:highlight w:val="none"/>
        </w:rPr>
        <w:t>〔2023〕</w:t>
      </w:r>
      <w:r>
        <w:rPr>
          <w:rFonts w:hint="eastAsia" w:eastAsia="宋体"/>
          <w:color w:val="auto"/>
          <w:kern w:val="0"/>
          <w:sz w:val="44"/>
          <w:szCs w:val="44"/>
          <w:highlight w:val="none"/>
        </w:rPr>
        <w:t>6</w:t>
      </w:r>
      <w:r>
        <w:rPr>
          <w:rFonts w:eastAsia="宋体"/>
          <w:color w:val="auto"/>
          <w:kern w:val="0"/>
          <w:sz w:val="44"/>
          <w:szCs w:val="44"/>
          <w:highlight w:val="none"/>
          <w:shd w:val="clear" w:color="auto" w:fill="FFFFFF"/>
        </w:rPr>
        <w:t>号）</w:t>
      </w:r>
    </w:p>
    <w:p>
      <w:pPr>
        <w:spacing w:line="760" w:lineRule="exact"/>
        <w:jc w:val="center"/>
        <w:rPr>
          <w:rFonts w:hint="eastAsia"/>
          <w:b/>
          <w:color w:val="auto"/>
          <w:sz w:val="40"/>
          <w:szCs w:val="40"/>
          <w:highlight w:val="none"/>
        </w:rPr>
      </w:pPr>
    </w:p>
    <w:p>
      <w:pPr>
        <w:spacing w:line="760" w:lineRule="exact"/>
        <w:jc w:val="both"/>
        <w:rPr>
          <w:b/>
          <w:color w:val="auto"/>
          <w:sz w:val="40"/>
          <w:szCs w:val="40"/>
          <w:highlight w:val="none"/>
        </w:rPr>
      </w:pPr>
    </w:p>
    <w:p>
      <w:pPr>
        <w:spacing w:line="760" w:lineRule="exact"/>
        <w:ind w:left="3600" w:leftChars="1125" w:firstLine="5220" w:firstLineChars="1300"/>
        <w:jc w:val="both"/>
        <w:rPr>
          <w:b/>
          <w:color w:val="auto"/>
          <w:sz w:val="40"/>
          <w:szCs w:val="40"/>
          <w:highlight w:val="none"/>
        </w:rPr>
      </w:pPr>
      <w:r>
        <w:rPr>
          <w:rFonts w:hint="eastAsia"/>
          <w:b/>
          <w:color w:val="auto"/>
          <w:sz w:val="40"/>
          <w:szCs w:val="40"/>
          <w:highlight w:val="none"/>
          <w:lang w:val="en-US" w:eastAsia="zh-CN"/>
        </w:rPr>
        <w:t xml:space="preserve"> </w:t>
      </w:r>
      <w:r>
        <w:rPr>
          <w:b/>
          <w:color w:val="auto"/>
          <w:sz w:val="40"/>
          <w:szCs w:val="40"/>
          <w:highlight w:val="none"/>
        </w:rPr>
        <w:t>2023年1</w:t>
      </w:r>
      <w:r>
        <w:rPr>
          <w:rFonts w:hint="eastAsia"/>
          <w:b/>
          <w:color w:val="auto"/>
          <w:sz w:val="40"/>
          <w:szCs w:val="40"/>
          <w:highlight w:val="none"/>
        </w:rPr>
        <w:t>0</w:t>
      </w:r>
      <w:r>
        <w:rPr>
          <w:b/>
          <w:color w:val="auto"/>
          <w:sz w:val="40"/>
          <w:szCs w:val="40"/>
          <w:highlight w:val="none"/>
        </w:rPr>
        <w:t>月</w:t>
      </w:r>
    </w:p>
    <w:p>
      <w:pPr>
        <w:pStyle w:val="37"/>
        <w:spacing w:line="760" w:lineRule="exact"/>
        <w:ind w:firstLine="883" w:firstLineChars="200"/>
        <w:jc w:val="center"/>
        <w:rPr>
          <w:rFonts w:hint="eastAsia" w:ascii="宋体" w:hAnsi="宋体" w:cs="Times New Roman"/>
          <w:b/>
          <w:color w:val="auto"/>
          <w:kern w:val="2"/>
          <w:sz w:val="44"/>
          <w:szCs w:val="44"/>
          <w:highlight w:val="none"/>
        </w:rPr>
        <w:sectPr>
          <w:headerReference r:id="rId3" w:type="default"/>
          <w:footerReference r:id="rId4" w:type="default"/>
          <w:footerReference r:id="rId5" w:type="even"/>
          <w:pgSz w:w="11906" w:h="16838"/>
          <w:pgMar w:top="2098" w:right="1359" w:bottom="1984" w:left="1587" w:header="1417" w:footer="992" w:gutter="0"/>
          <w:pgNumType w:fmt="decimal" w:start="1"/>
          <w:cols w:space="720" w:num="1"/>
          <w:docGrid w:type="lines" w:linePitch="439" w:charSpace="0"/>
        </w:sectPr>
      </w:pPr>
    </w:p>
    <w:sdt>
      <w:sdtPr>
        <w:rPr>
          <w:rFonts w:ascii="宋体" w:hAnsi="宋体" w:eastAsia="宋体"/>
          <w:color w:val="auto"/>
          <w:sz w:val="44"/>
          <w:szCs w:val="44"/>
          <w:highlight w:val="none"/>
        </w:rPr>
        <w:id w:val="147481311"/>
        <w:docPartObj>
          <w:docPartGallery w:val="Table of Contents"/>
          <w:docPartUnique/>
        </w:docPartObj>
      </w:sdtPr>
      <w:sdtEndPr>
        <w:rPr>
          <w:rFonts w:ascii="Times New Roman" w:hAnsi="Times New Roman" w:eastAsia="宋体" w:cs="Times New Roman"/>
          <w:b/>
          <w:bCs/>
          <w:color w:val="auto"/>
          <w:sz w:val="20"/>
          <w:szCs w:val="20"/>
          <w:highlight w:val="none"/>
        </w:rPr>
      </w:sdtEndPr>
      <w:sdtContent>
        <w:p>
          <w:pPr>
            <w:jc w:val="center"/>
            <w:rPr>
              <w:color w:val="auto"/>
              <w:sz w:val="44"/>
              <w:szCs w:val="44"/>
              <w:highlight w:val="none"/>
            </w:rPr>
          </w:pPr>
          <w:r>
            <w:rPr>
              <w:rFonts w:ascii="宋体" w:hAnsi="宋体" w:eastAsia="宋体"/>
              <w:color w:val="auto"/>
              <w:sz w:val="44"/>
              <w:szCs w:val="44"/>
              <w:highlight w:val="none"/>
            </w:rPr>
            <w:t>目</w:t>
          </w:r>
          <w:r>
            <w:rPr>
              <w:rFonts w:hint="eastAsia" w:ascii="宋体" w:hAnsi="宋体" w:eastAsia="宋体"/>
              <w:color w:val="auto"/>
              <w:sz w:val="44"/>
              <w:szCs w:val="44"/>
              <w:highlight w:val="none"/>
              <w:lang w:val="en-US" w:eastAsia="zh-CN"/>
            </w:rPr>
            <w:t xml:space="preserve">  </w:t>
          </w:r>
          <w:r>
            <w:rPr>
              <w:rFonts w:ascii="宋体" w:hAnsi="宋体" w:eastAsia="宋体"/>
              <w:color w:val="auto"/>
              <w:sz w:val="44"/>
              <w:szCs w:val="44"/>
              <w:highlight w:val="none"/>
            </w:rPr>
            <w:t>录</w:t>
          </w:r>
        </w:p>
        <w:p>
          <w:pPr>
            <w:pStyle w:val="44"/>
            <w:tabs>
              <w:tab w:val="right" w:leader="dot" w:pos="8960"/>
            </w:tabs>
            <w:rPr>
              <w:color w:val="auto"/>
              <w:highlight w:val="none"/>
            </w:rPr>
          </w:pPr>
          <w:r>
            <w:rPr>
              <w:b/>
              <w:bCs/>
              <w:color w:val="auto"/>
              <w:highlight w:val="none"/>
            </w:rPr>
            <w:fldChar w:fldCharType="begin"/>
          </w:r>
          <w:r>
            <w:rPr>
              <w:color w:val="auto"/>
              <w:highlight w:val="none"/>
            </w:rPr>
            <w:instrText xml:space="preserve"> HYPERLINK \l _Toc18107 </w:instrText>
          </w:r>
          <w:r>
            <w:rPr>
              <w:b/>
              <w:bCs/>
              <w:color w:val="auto"/>
              <w:highlight w:val="none"/>
            </w:rPr>
            <w:fldChar w:fldCharType="separate"/>
          </w:r>
          <w:sdt>
            <w:sdtPr>
              <w:rPr>
                <w:rFonts w:ascii="Times New Roman" w:hAnsi="Times New Roman" w:eastAsia="仿宋_GB2312" w:cs="Times New Roman"/>
                <w:b/>
                <w:bCs/>
                <w:color w:val="auto"/>
                <w:kern w:val="2"/>
                <w:sz w:val="32"/>
                <w:szCs w:val="24"/>
                <w:highlight w:val="none"/>
                <w:lang w:val="en-US" w:eastAsia="zh-CN" w:bidi="ar-SA"/>
              </w:rPr>
              <w:id w:val="147481311"/>
              <w:placeholder>
                <w:docPart w:val="{2905f605-cc80-4dfc-92e3-a08c75ede561}"/>
              </w:placeholder>
            </w:sdtPr>
            <w:sdtEndPr>
              <w:rPr>
                <w:rFonts w:ascii="Times New Roman" w:hAnsi="Times New Roman" w:eastAsia="仿宋_GB2312" w:cs="Times New Roman"/>
                <w:b/>
                <w:bCs/>
                <w:color w:val="auto"/>
                <w:kern w:val="2"/>
                <w:sz w:val="32"/>
                <w:szCs w:val="24"/>
                <w:highlight w:val="none"/>
                <w:lang w:val="en-US" w:eastAsia="zh-CN" w:bidi="ar-SA"/>
              </w:rPr>
            </w:sdtEndPr>
            <w:sdtContent>
              <w:r>
                <w:rPr>
                  <w:rFonts w:hint="eastAsia" w:ascii="黑体" w:hAnsi="黑体" w:eastAsia="黑体" w:cs="黑体"/>
                  <w:b/>
                  <w:bCs/>
                  <w:color w:val="auto"/>
                  <w:highlight w:val="none"/>
                </w:rPr>
                <w:t>一、部门概况</w:t>
              </w:r>
            </w:sdtContent>
          </w:sdt>
          <w:r>
            <w:rPr>
              <w:b/>
              <w:bCs/>
              <w:color w:val="auto"/>
              <w:highlight w:val="none"/>
            </w:rPr>
            <w:tab/>
          </w:r>
          <w:r>
            <w:rPr>
              <w:b/>
              <w:bCs/>
              <w:color w:val="auto"/>
              <w:highlight w:val="none"/>
            </w:rPr>
            <w:t>2</w:t>
          </w:r>
          <w:r>
            <w:rPr>
              <w:b/>
              <w:bCs/>
              <w:color w:val="auto"/>
              <w:highlight w:val="none"/>
            </w:rPr>
            <w:fldChar w:fldCharType="end"/>
          </w:r>
        </w:p>
        <w:p>
          <w:pPr>
            <w:pStyle w:val="45"/>
            <w:tabs>
              <w:tab w:val="right" w:leader="dot" w:pos="8960"/>
            </w:tabs>
            <w:rPr>
              <w:color w:val="auto"/>
              <w:highlight w:val="none"/>
            </w:rPr>
          </w:pPr>
          <w:r>
            <w:rPr>
              <w:color w:val="auto"/>
              <w:highlight w:val="none"/>
            </w:rPr>
            <w:fldChar w:fldCharType="begin"/>
          </w:r>
          <w:r>
            <w:rPr>
              <w:color w:val="auto"/>
              <w:highlight w:val="none"/>
            </w:rPr>
            <w:instrText xml:space="preserve"> HYPERLINK \l _Toc23536 </w:instrText>
          </w:r>
          <w:r>
            <w:rPr>
              <w:color w:val="auto"/>
              <w:highlight w:val="none"/>
            </w:rPr>
            <w:fldChar w:fldCharType="separate"/>
          </w:r>
          <w:sdt>
            <w:sdtPr>
              <w:rPr>
                <w:rFonts w:ascii="Times New Roman" w:hAnsi="Times New Roman" w:eastAsia="仿宋_GB2312" w:cs="Times New Roman"/>
                <w:color w:val="auto"/>
                <w:kern w:val="2"/>
                <w:sz w:val="32"/>
                <w:szCs w:val="24"/>
                <w:highlight w:val="none"/>
                <w:lang w:val="en-US" w:eastAsia="zh-CN" w:bidi="ar-SA"/>
              </w:rPr>
              <w:id w:val="147481311"/>
              <w:placeholder>
                <w:docPart w:val="{48004ee3-a2f1-434d-b5b8-eb6f647a995a}"/>
              </w:placeholder>
            </w:sdtPr>
            <w:sdtEndPr>
              <w:rPr>
                <w:rFonts w:ascii="Times New Roman" w:hAnsi="Times New Roman" w:eastAsia="仿宋_GB2312" w:cs="Times New Roman"/>
                <w:color w:val="auto"/>
                <w:kern w:val="2"/>
                <w:sz w:val="32"/>
                <w:szCs w:val="24"/>
                <w:highlight w:val="none"/>
                <w:lang w:val="en-US" w:eastAsia="zh-CN" w:bidi="ar-SA"/>
              </w:rPr>
            </w:sdtEndPr>
            <w:sdtContent>
              <w:r>
                <w:rPr>
                  <w:rFonts w:hint="eastAsia" w:ascii="楷体" w:hAnsi="楷体" w:eastAsia="楷体" w:cs="楷体"/>
                  <w:color w:val="auto"/>
                  <w:highlight w:val="none"/>
                </w:rPr>
                <w:t>（一）机构组成</w:t>
              </w:r>
            </w:sdtContent>
          </w:sdt>
          <w:r>
            <w:rPr>
              <w:color w:val="auto"/>
              <w:highlight w:val="none"/>
            </w:rPr>
            <w:tab/>
          </w:r>
          <w:r>
            <w:rPr>
              <w:color w:val="auto"/>
              <w:highlight w:val="none"/>
            </w:rPr>
            <w:t>3</w:t>
          </w:r>
          <w:r>
            <w:rPr>
              <w:color w:val="auto"/>
              <w:highlight w:val="none"/>
            </w:rPr>
            <w:fldChar w:fldCharType="end"/>
          </w:r>
        </w:p>
        <w:p>
          <w:pPr>
            <w:pStyle w:val="45"/>
            <w:tabs>
              <w:tab w:val="right" w:leader="dot" w:pos="8960"/>
            </w:tabs>
            <w:rPr>
              <w:color w:val="auto"/>
              <w:highlight w:val="none"/>
            </w:rPr>
          </w:pPr>
          <w:r>
            <w:rPr>
              <w:color w:val="auto"/>
              <w:highlight w:val="none"/>
            </w:rPr>
            <w:fldChar w:fldCharType="begin"/>
          </w:r>
          <w:r>
            <w:rPr>
              <w:color w:val="auto"/>
              <w:highlight w:val="none"/>
            </w:rPr>
            <w:instrText xml:space="preserve"> HYPERLINK \l _Toc24006 </w:instrText>
          </w:r>
          <w:r>
            <w:rPr>
              <w:color w:val="auto"/>
              <w:highlight w:val="none"/>
            </w:rPr>
            <w:fldChar w:fldCharType="separate"/>
          </w:r>
          <w:sdt>
            <w:sdtPr>
              <w:rPr>
                <w:rFonts w:ascii="Times New Roman" w:hAnsi="Times New Roman" w:eastAsia="仿宋_GB2312" w:cs="Times New Roman"/>
                <w:color w:val="auto"/>
                <w:kern w:val="2"/>
                <w:sz w:val="32"/>
                <w:szCs w:val="24"/>
                <w:highlight w:val="none"/>
                <w:lang w:val="en-US" w:eastAsia="zh-CN" w:bidi="ar-SA"/>
              </w:rPr>
              <w:id w:val="147481311"/>
              <w:placeholder>
                <w:docPart w:val="{65083967-aeec-4e55-84ac-b32d55669283}"/>
              </w:placeholder>
            </w:sdtPr>
            <w:sdtEndPr>
              <w:rPr>
                <w:rFonts w:ascii="Times New Roman" w:hAnsi="Times New Roman" w:eastAsia="仿宋_GB2312" w:cs="Times New Roman"/>
                <w:color w:val="auto"/>
                <w:kern w:val="2"/>
                <w:sz w:val="32"/>
                <w:szCs w:val="24"/>
                <w:highlight w:val="none"/>
                <w:lang w:val="en-US" w:eastAsia="zh-CN" w:bidi="ar-SA"/>
              </w:rPr>
            </w:sdtEndPr>
            <w:sdtContent>
              <w:r>
                <w:rPr>
                  <w:rFonts w:hint="eastAsia" w:ascii="楷体" w:hAnsi="楷体" w:eastAsia="楷体" w:cs="楷体"/>
                  <w:color w:val="auto"/>
                  <w:highlight w:val="none"/>
                </w:rPr>
                <w:t>（二）机构职能</w:t>
              </w:r>
            </w:sdtContent>
          </w:sdt>
          <w:r>
            <w:rPr>
              <w:color w:val="auto"/>
              <w:highlight w:val="none"/>
            </w:rPr>
            <w:tab/>
          </w:r>
          <w:r>
            <w:rPr>
              <w:color w:val="auto"/>
              <w:highlight w:val="none"/>
            </w:rPr>
            <w:t>3</w:t>
          </w:r>
          <w:r>
            <w:rPr>
              <w:color w:val="auto"/>
              <w:highlight w:val="none"/>
            </w:rPr>
            <w:fldChar w:fldCharType="end"/>
          </w:r>
        </w:p>
        <w:p>
          <w:pPr>
            <w:pStyle w:val="45"/>
            <w:tabs>
              <w:tab w:val="right" w:leader="dot" w:pos="8960"/>
            </w:tabs>
            <w:rPr>
              <w:color w:val="auto"/>
              <w:highlight w:val="none"/>
            </w:rPr>
          </w:pPr>
          <w:r>
            <w:rPr>
              <w:color w:val="auto"/>
              <w:highlight w:val="none"/>
            </w:rPr>
            <w:fldChar w:fldCharType="begin"/>
          </w:r>
          <w:r>
            <w:rPr>
              <w:color w:val="auto"/>
              <w:highlight w:val="none"/>
            </w:rPr>
            <w:instrText xml:space="preserve"> HYPERLINK \l _Toc12884 </w:instrText>
          </w:r>
          <w:r>
            <w:rPr>
              <w:color w:val="auto"/>
              <w:highlight w:val="none"/>
            </w:rPr>
            <w:fldChar w:fldCharType="separate"/>
          </w:r>
          <w:sdt>
            <w:sdtPr>
              <w:rPr>
                <w:rFonts w:ascii="Times New Roman" w:hAnsi="Times New Roman" w:eastAsia="仿宋_GB2312" w:cs="Times New Roman"/>
                <w:color w:val="auto"/>
                <w:kern w:val="2"/>
                <w:sz w:val="32"/>
                <w:szCs w:val="24"/>
                <w:highlight w:val="none"/>
                <w:lang w:val="en-US" w:eastAsia="zh-CN" w:bidi="ar-SA"/>
              </w:rPr>
              <w:id w:val="147481311"/>
              <w:placeholder>
                <w:docPart w:val="{65ca8cb1-627a-40c0-b816-919f4a4e4572}"/>
              </w:placeholder>
            </w:sdtPr>
            <w:sdtEndPr>
              <w:rPr>
                <w:rFonts w:ascii="Times New Roman" w:hAnsi="Times New Roman" w:eastAsia="仿宋_GB2312" w:cs="Times New Roman"/>
                <w:color w:val="auto"/>
                <w:kern w:val="2"/>
                <w:sz w:val="32"/>
                <w:szCs w:val="24"/>
                <w:highlight w:val="none"/>
                <w:lang w:val="en-US" w:eastAsia="zh-CN" w:bidi="ar-SA"/>
              </w:rPr>
            </w:sdtEndPr>
            <w:sdtContent>
              <w:r>
                <w:rPr>
                  <w:rFonts w:hint="eastAsia" w:ascii="楷体" w:hAnsi="楷体" w:eastAsia="楷体" w:cs="Times New Roman"/>
                  <w:color w:val="auto"/>
                  <w:highlight w:val="none"/>
                </w:rPr>
                <w:t>（三）人员概况</w:t>
              </w:r>
            </w:sdtContent>
          </w:sdt>
          <w:r>
            <w:rPr>
              <w:color w:val="auto"/>
              <w:highlight w:val="none"/>
            </w:rPr>
            <w:tab/>
          </w:r>
          <w:r>
            <w:rPr>
              <w:color w:val="auto"/>
              <w:highlight w:val="none"/>
            </w:rPr>
            <w:t>6</w:t>
          </w:r>
          <w:r>
            <w:rPr>
              <w:color w:val="auto"/>
              <w:highlight w:val="none"/>
            </w:rPr>
            <w:fldChar w:fldCharType="end"/>
          </w:r>
        </w:p>
        <w:p>
          <w:pPr>
            <w:pStyle w:val="44"/>
            <w:tabs>
              <w:tab w:val="right" w:leader="dot" w:pos="8960"/>
            </w:tabs>
            <w:rPr>
              <w:color w:val="auto"/>
              <w:highlight w:val="none"/>
            </w:rPr>
          </w:pPr>
          <w:r>
            <w:rPr>
              <w:b/>
              <w:bCs/>
              <w:color w:val="auto"/>
              <w:highlight w:val="none"/>
            </w:rPr>
            <w:fldChar w:fldCharType="begin"/>
          </w:r>
          <w:r>
            <w:rPr>
              <w:color w:val="auto"/>
              <w:highlight w:val="none"/>
            </w:rPr>
            <w:instrText xml:space="preserve"> HYPERLINK \l _Toc2855 </w:instrText>
          </w:r>
          <w:r>
            <w:rPr>
              <w:b/>
              <w:bCs/>
              <w:color w:val="auto"/>
              <w:highlight w:val="none"/>
            </w:rPr>
            <w:fldChar w:fldCharType="separate"/>
          </w:r>
          <w:sdt>
            <w:sdtPr>
              <w:rPr>
                <w:rFonts w:ascii="Times New Roman" w:hAnsi="Times New Roman" w:eastAsia="仿宋_GB2312" w:cs="Times New Roman"/>
                <w:b/>
                <w:bCs/>
                <w:color w:val="auto"/>
                <w:kern w:val="2"/>
                <w:sz w:val="32"/>
                <w:szCs w:val="24"/>
                <w:highlight w:val="none"/>
                <w:lang w:val="en-US" w:eastAsia="zh-CN" w:bidi="ar-SA"/>
              </w:rPr>
              <w:id w:val="147481311"/>
              <w:placeholder>
                <w:docPart w:val="{d7bda5f8-1b34-43e0-accf-41e2f3f62787}"/>
              </w:placeholder>
            </w:sdtPr>
            <w:sdtEndPr>
              <w:rPr>
                <w:rFonts w:ascii="Times New Roman" w:hAnsi="Times New Roman" w:eastAsia="仿宋_GB2312" w:cs="Times New Roman"/>
                <w:b/>
                <w:bCs/>
                <w:color w:val="auto"/>
                <w:kern w:val="2"/>
                <w:sz w:val="32"/>
                <w:szCs w:val="24"/>
                <w:highlight w:val="none"/>
                <w:lang w:val="en-US" w:eastAsia="zh-CN" w:bidi="ar-SA"/>
              </w:rPr>
            </w:sdtEndPr>
            <w:sdtContent>
              <w:r>
                <w:rPr>
                  <w:rFonts w:hint="eastAsia" w:ascii="黑体" w:hAnsi="黑体" w:eastAsia="黑体" w:cs="黑体"/>
                  <w:b/>
                  <w:bCs/>
                  <w:color w:val="auto"/>
                  <w:highlight w:val="none"/>
                </w:rPr>
                <w:t>二、绩效评价工作情况</w:t>
              </w:r>
            </w:sdtContent>
          </w:sdt>
          <w:r>
            <w:rPr>
              <w:b/>
              <w:bCs/>
              <w:color w:val="auto"/>
              <w:highlight w:val="none"/>
            </w:rPr>
            <w:tab/>
          </w:r>
          <w:r>
            <w:rPr>
              <w:b/>
              <w:bCs/>
              <w:color w:val="auto"/>
              <w:highlight w:val="none"/>
            </w:rPr>
            <w:t>6</w:t>
          </w:r>
          <w:r>
            <w:rPr>
              <w:b/>
              <w:bCs/>
              <w:color w:val="auto"/>
              <w:highlight w:val="none"/>
            </w:rPr>
            <w:fldChar w:fldCharType="end"/>
          </w:r>
        </w:p>
        <w:p>
          <w:pPr>
            <w:pStyle w:val="45"/>
            <w:tabs>
              <w:tab w:val="right" w:leader="dot" w:pos="8960"/>
            </w:tabs>
            <w:rPr>
              <w:color w:val="auto"/>
              <w:highlight w:val="none"/>
            </w:rPr>
          </w:pPr>
          <w:r>
            <w:rPr>
              <w:color w:val="auto"/>
              <w:highlight w:val="none"/>
            </w:rPr>
            <w:fldChar w:fldCharType="begin"/>
          </w:r>
          <w:r>
            <w:rPr>
              <w:color w:val="auto"/>
              <w:highlight w:val="none"/>
            </w:rPr>
            <w:instrText xml:space="preserve"> HYPERLINK \l _Toc3883 </w:instrText>
          </w:r>
          <w:r>
            <w:rPr>
              <w:color w:val="auto"/>
              <w:highlight w:val="none"/>
            </w:rPr>
            <w:fldChar w:fldCharType="separate"/>
          </w:r>
          <w:sdt>
            <w:sdtPr>
              <w:rPr>
                <w:rFonts w:ascii="Times New Roman" w:hAnsi="Times New Roman" w:eastAsia="仿宋_GB2312" w:cs="Times New Roman"/>
                <w:color w:val="auto"/>
                <w:kern w:val="2"/>
                <w:sz w:val="32"/>
                <w:szCs w:val="24"/>
                <w:highlight w:val="none"/>
                <w:lang w:val="en-US" w:eastAsia="zh-CN" w:bidi="ar-SA"/>
              </w:rPr>
              <w:id w:val="147481311"/>
              <w:placeholder>
                <w:docPart w:val="{4bc1077a-4dcc-4693-b19e-04bffd2dc384}"/>
              </w:placeholder>
            </w:sdtPr>
            <w:sdtEndPr>
              <w:rPr>
                <w:rFonts w:ascii="Times New Roman" w:hAnsi="Times New Roman" w:eastAsia="仿宋_GB2312" w:cs="Times New Roman"/>
                <w:color w:val="auto"/>
                <w:kern w:val="2"/>
                <w:sz w:val="32"/>
                <w:szCs w:val="24"/>
                <w:highlight w:val="none"/>
                <w:lang w:val="en-US" w:eastAsia="zh-CN" w:bidi="ar-SA"/>
              </w:rPr>
            </w:sdtEndPr>
            <w:sdtContent>
              <w:r>
                <w:rPr>
                  <w:rFonts w:hint="eastAsia" w:ascii="楷体" w:hAnsi="楷体" w:eastAsia="楷体" w:cs="楷体"/>
                  <w:color w:val="auto"/>
                  <w:highlight w:val="none"/>
                </w:rPr>
                <w:t>（一）绩效评价的目的</w:t>
              </w:r>
            </w:sdtContent>
          </w:sdt>
          <w:r>
            <w:rPr>
              <w:color w:val="auto"/>
              <w:highlight w:val="none"/>
            </w:rPr>
            <w:tab/>
          </w:r>
          <w:r>
            <w:rPr>
              <w:color w:val="auto"/>
              <w:highlight w:val="none"/>
            </w:rPr>
            <w:t>6</w:t>
          </w:r>
          <w:r>
            <w:rPr>
              <w:color w:val="auto"/>
              <w:highlight w:val="none"/>
            </w:rPr>
            <w:fldChar w:fldCharType="end"/>
          </w:r>
        </w:p>
        <w:p>
          <w:pPr>
            <w:pStyle w:val="45"/>
            <w:tabs>
              <w:tab w:val="right" w:leader="dot" w:pos="8960"/>
            </w:tabs>
            <w:rPr>
              <w:color w:val="auto"/>
              <w:highlight w:val="none"/>
            </w:rPr>
          </w:pPr>
          <w:r>
            <w:rPr>
              <w:color w:val="auto"/>
              <w:highlight w:val="none"/>
            </w:rPr>
            <w:fldChar w:fldCharType="begin"/>
          </w:r>
          <w:r>
            <w:rPr>
              <w:color w:val="auto"/>
              <w:highlight w:val="none"/>
            </w:rPr>
            <w:instrText xml:space="preserve"> HYPERLINK \l _Toc25049 </w:instrText>
          </w:r>
          <w:r>
            <w:rPr>
              <w:color w:val="auto"/>
              <w:highlight w:val="none"/>
            </w:rPr>
            <w:fldChar w:fldCharType="separate"/>
          </w:r>
          <w:sdt>
            <w:sdtPr>
              <w:rPr>
                <w:rFonts w:ascii="Times New Roman" w:hAnsi="Times New Roman" w:eastAsia="仿宋_GB2312" w:cs="Times New Roman"/>
                <w:color w:val="auto"/>
                <w:kern w:val="2"/>
                <w:sz w:val="32"/>
                <w:szCs w:val="24"/>
                <w:highlight w:val="none"/>
                <w:lang w:val="en-US" w:eastAsia="zh-CN" w:bidi="ar-SA"/>
              </w:rPr>
              <w:id w:val="147481311"/>
              <w:placeholder>
                <w:docPart w:val="{ad7ae23f-7741-4a63-9414-be376bc5c591}"/>
              </w:placeholder>
            </w:sdtPr>
            <w:sdtEndPr>
              <w:rPr>
                <w:rFonts w:ascii="Times New Roman" w:hAnsi="Times New Roman" w:eastAsia="仿宋_GB2312" w:cs="Times New Roman"/>
                <w:color w:val="auto"/>
                <w:kern w:val="2"/>
                <w:sz w:val="32"/>
                <w:szCs w:val="24"/>
                <w:highlight w:val="none"/>
                <w:lang w:val="en-US" w:eastAsia="zh-CN" w:bidi="ar-SA"/>
              </w:rPr>
            </w:sdtEndPr>
            <w:sdtContent>
              <w:r>
                <w:rPr>
                  <w:rFonts w:hint="eastAsia" w:ascii="楷体" w:hAnsi="楷体" w:eastAsia="楷体" w:cs="楷体"/>
                  <w:color w:val="auto"/>
                  <w:highlight w:val="none"/>
                </w:rPr>
                <w:t>（二）绩效评价的依据</w:t>
              </w:r>
            </w:sdtContent>
          </w:sdt>
          <w:r>
            <w:rPr>
              <w:color w:val="auto"/>
              <w:highlight w:val="none"/>
            </w:rPr>
            <w:tab/>
          </w:r>
          <w:r>
            <w:rPr>
              <w:color w:val="auto"/>
              <w:highlight w:val="none"/>
            </w:rPr>
            <w:t>7</w:t>
          </w:r>
          <w:r>
            <w:rPr>
              <w:color w:val="auto"/>
              <w:highlight w:val="none"/>
            </w:rPr>
            <w:fldChar w:fldCharType="end"/>
          </w:r>
        </w:p>
        <w:p>
          <w:pPr>
            <w:pStyle w:val="44"/>
            <w:tabs>
              <w:tab w:val="right" w:leader="dot" w:pos="8960"/>
            </w:tabs>
            <w:rPr>
              <w:color w:val="auto"/>
              <w:highlight w:val="none"/>
            </w:rPr>
          </w:pPr>
          <w:r>
            <w:rPr>
              <w:b/>
              <w:bCs/>
              <w:color w:val="auto"/>
              <w:highlight w:val="none"/>
            </w:rPr>
            <w:fldChar w:fldCharType="begin"/>
          </w:r>
          <w:r>
            <w:rPr>
              <w:color w:val="auto"/>
              <w:highlight w:val="none"/>
            </w:rPr>
            <w:instrText xml:space="preserve"> HYPERLINK \l _Toc28433 </w:instrText>
          </w:r>
          <w:r>
            <w:rPr>
              <w:b/>
              <w:bCs/>
              <w:color w:val="auto"/>
              <w:highlight w:val="none"/>
            </w:rPr>
            <w:fldChar w:fldCharType="separate"/>
          </w:r>
          <w:sdt>
            <w:sdtPr>
              <w:rPr>
                <w:rFonts w:ascii="Times New Roman" w:hAnsi="Times New Roman" w:eastAsia="仿宋_GB2312" w:cs="Times New Roman"/>
                <w:b/>
                <w:bCs/>
                <w:color w:val="auto"/>
                <w:kern w:val="2"/>
                <w:sz w:val="32"/>
                <w:szCs w:val="24"/>
                <w:highlight w:val="none"/>
                <w:lang w:val="en-US" w:eastAsia="zh-CN" w:bidi="ar-SA"/>
              </w:rPr>
              <w:id w:val="147481311"/>
              <w:placeholder>
                <w:docPart w:val="{fe62e44c-352b-47cc-a9c9-23ebb53d5a90}"/>
              </w:placeholder>
            </w:sdtPr>
            <w:sdtEndPr>
              <w:rPr>
                <w:rFonts w:ascii="Times New Roman" w:hAnsi="Times New Roman" w:eastAsia="仿宋_GB2312" w:cs="Times New Roman"/>
                <w:b/>
                <w:bCs/>
                <w:color w:val="auto"/>
                <w:kern w:val="2"/>
                <w:sz w:val="32"/>
                <w:szCs w:val="24"/>
                <w:highlight w:val="none"/>
                <w:lang w:val="en-US" w:eastAsia="zh-CN" w:bidi="ar-SA"/>
              </w:rPr>
            </w:sdtEndPr>
            <w:sdtContent>
              <w:r>
                <w:rPr>
                  <w:rFonts w:hint="eastAsia" w:ascii="黑体" w:hAnsi="黑体" w:eastAsia="黑体" w:cs="黑体"/>
                  <w:b/>
                  <w:bCs/>
                  <w:color w:val="auto"/>
                  <w:highlight w:val="none"/>
                </w:rPr>
                <w:t>三、仁和区林业局部门预算收支情况</w:t>
              </w:r>
            </w:sdtContent>
          </w:sdt>
          <w:r>
            <w:rPr>
              <w:b/>
              <w:bCs/>
              <w:color w:val="auto"/>
              <w:highlight w:val="none"/>
            </w:rPr>
            <w:tab/>
          </w:r>
          <w:r>
            <w:rPr>
              <w:b/>
              <w:bCs/>
              <w:color w:val="auto"/>
              <w:highlight w:val="none"/>
            </w:rPr>
            <w:t>7</w:t>
          </w:r>
          <w:r>
            <w:rPr>
              <w:b/>
              <w:bCs/>
              <w:color w:val="auto"/>
              <w:highlight w:val="none"/>
            </w:rPr>
            <w:fldChar w:fldCharType="end"/>
          </w:r>
        </w:p>
        <w:p>
          <w:pPr>
            <w:pStyle w:val="45"/>
            <w:tabs>
              <w:tab w:val="right" w:leader="dot" w:pos="8960"/>
            </w:tabs>
            <w:rPr>
              <w:color w:val="auto"/>
              <w:highlight w:val="none"/>
            </w:rPr>
          </w:pPr>
          <w:r>
            <w:rPr>
              <w:color w:val="auto"/>
              <w:highlight w:val="none"/>
            </w:rPr>
            <w:fldChar w:fldCharType="begin"/>
          </w:r>
          <w:r>
            <w:rPr>
              <w:color w:val="auto"/>
              <w:highlight w:val="none"/>
            </w:rPr>
            <w:instrText xml:space="preserve"> HYPERLINK \l _Toc4943 </w:instrText>
          </w:r>
          <w:r>
            <w:rPr>
              <w:color w:val="auto"/>
              <w:highlight w:val="none"/>
            </w:rPr>
            <w:fldChar w:fldCharType="separate"/>
          </w:r>
          <w:sdt>
            <w:sdtPr>
              <w:rPr>
                <w:rFonts w:ascii="Times New Roman" w:hAnsi="Times New Roman" w:eastAsia="仿宋_GB2312" w:cs="Times New Roman"/>
                <w:color w:val="auto"/>
                <w:kern w:val="2"/>
                <w:sz w:val="32"/>
                <w:szCs w:val="24"/>
                <w:highlight w:val="none"/>
                <w:lang w:val="en-US" w:eastAsia="zh-CN" w:bidi="ar-SA"/>
              </w:rPr>
              <w:id w:val="147481311"/>
              <w:placeholder>
                <w:docPart w:val="{4ca21673-0fd7-4616-9273-2ca57787c242}"/>
              </w:placeholder>
            </w:sdtPr>
            <w:sdtEndPr>
              <w:rPr>
                <w:rFonts w:ascii="Times New Roman" w:hAnsi="Times New Roman" w:eastAsia="仿宋_GB2312" w:cs="Times New Roman"/>
                <w:color w:val="auto"/>
                <w:kern w:val="2"/>
                <w:sz w:val="32"/>
                <w:szCs w:val="24"/>
                <w:highlight w:val="none"/>
                <w:lang w:val="en-US" w:eastAsia="zh-CN" w:bidi="ar-SA"/>
              </w:rPr>
            </w:sdtEndPr>
            <w:sdtContent>
              <w:r>
                <w:rPr>
                  <w:rFonts w:hint="eastAsia" w:ascii="楷体" w:hAnsi="楷体" w:eastAsia="楷体" w:cs="楷体"/>
                  <w:color w:val="auto"/>
                  <w:highlight w:val="none"/>
                </w:rPr>
                <w:t>（一）仁和区林业局2022年度收入情况</w:t>
              </w:r>
            </w:sdtContent>
          </w:sdt>
          <w:r>
            <w:rPr>
              <w:color w:val="auto"/>
              <w:highlight w:val="none"/>
            </w:rPr>
            <w:tab/>
          </w:r>
          <w:r>
            <w:rPr>
              <w:color w:val="auto"/>
              <w:highlight w:val="none"/>
            </w:rPr>
            <w:t>7</w:t>
          </w:r>
          <w:r>
            <w:rPr>
              <w:color w:val="auto"/>
              <w:highlight w:val="none"/>
            </w:rPr>
            <w:fldChar w:fldCharType="end"/>
          </w:r>
        </w:p>
        <w:p>
          <w:pPr>
            <w:pStyle w:val="45"/>
            <w:tabs>
              <w:tab w:val="right" w:leader="dot" w:pos="8960"/>
            </w:tabs>
            <w:rPr>
              <w:color w:val="auto"/>
              <w:highlight w:val="none"/>
            </w:rPr>
          </w:pPr>
          <w:r>
            <w:rPr>
              <w:color w:val="auto"/>
              <w:highlight w:val="none"/>
            </w:rPr>
            <w:fldChar w:fldCharType="begin"/>
          </w:r>
          <w:r>
            <w:rPr>
              <w:color w:val="auto"/>
              <w:highlight w:val="none"/>
            </w:rPr>
            <w:instrText xml:space="preserve"> HYPERLINK \l _Toc28628 </w:instrText>
          </w:r>
          <w:r>
            <w:rPr>
              <w:color w:val="auto"/>
              <w:highlight w:val="none"/>
            </w:rPr>
            <w:fldChar w:fldCharType="separate"/>
          </w:r>
          <w:sdt>
            <w:sdtPr>
              <w:rPr>
                <w:rFonts w:ascii="Times New Roman" w:hAnsi="Times New Roman" w:eastAsia="仿宋_GB2312" w:cs="Times New Roman"/>
                <w:color w:val="auto"/>
                <w:kern w:val="2"/>
                <w:sz w:val="32"/>
                <w:szCs w:val="24"/>
                <w:highlight w:val="none"/>
                <w:lang w:val="en-US" w:eastAsia="zh-CN" w:bidi="ar-SA"/>
              </w:rPr>
              <w:id w:val="147481311"/>
              <w:placeholder>
                <w:docPart w:val="{6a7dbc91-2a4e-493a-bf2a-45be0c0c1530}"/>
              </w:placeholder>
            </w:sdtPr>
            <w:sdtEndPr>
              <w:rPr>
                <w:rFonts w:ascii="Times New Roman" w:hAnsi="Times New Roman" w:eastAsia="仿宋_GB2312" w:cs="Times New Roman"/>
                <w:color w:val="auto"/>
                <w:kern w:val="2"/>
                <w:sz w:val="32"/>
                <w:szCs w:val="24"/>
                <w:highlight w:val="none"/>
                <w:lang w:val="en-US" w:eastAsia="zh-CN" w:bidi="ar-SA"/>
              </w:rPr>
            </w:sdtEndPr>
            <w:sdtContent>
              <w:r>
                <w:rPr>
                  <w:rFonts w:hint="eastAsia" w:ascii="楷体" w:hAnsi="楷体" w:eastAsia="楷体" w:cs="楷体"/>
                  <w:color w:val="auto"/>
                  <w:highlight w:val="none"/>
                </w:rPr>
                <w:t>（二）202</w:t>
              </w:r>
              <w:r>
                <w:rPr>
                  <w:rFonts w:ascii="楷体" w:hAnsi="楷体" w:eastAsia="楷体" w:cs="楷体"/>
                  <w:color w:val="auto"/>
                  <w:highlight w:val="none"/>
                </w:rPr>
                <w:t>2</w:t>
              </w:r>
              <w:r>
                <w:rPr>
                  <w:rFonts w:hint="eastAsia" w:ascii="楷体" w:hAnsi="楷体" w:eastAsia="楷体" w:cs="楷体"/>
                  <w:color w:val="auto"/>
                  <w:highlight w:val="none"/>
                </w:rPr>
                <w:t>年度仁和区林业局预算支出情况</w:t>
              </w:r>
            </w:sdtContent>
          </w:sdt>
          <w:r>
            <w:rPr>
              <w:color w:val="auto"/>
              <w:highlight w:val="none"/>
            </w:rPr>
            <w:tab/>
          </w:r>
          <w:r>
            <w:rPr>
              <w:color w:val="auto"/>
              <w:highlight w:val="none"/>
            </w:rPr>
            <w:t>8</w:t>
          </w:r>
          <w:r>
            <w:rPr>
              <w:color w:val="auto"/>
              <w:highlight w:val="none"/>
            </w:rPr>
            <w:fldChar w:fldCharType="end"/>
          </w:r>
        </w:p>
        <w:p>
          <w:pPr>
            <w:pStyle w:val="45"/>
            <w:tabs>
              <w:tab w:val="right" w:leader="dot" w:pos="8960"/>
            </w:tabs>
            <w:rPr>
              <w:color w:val="auto"/>
              <w:highlight w:val="none"/>
            </w:rPr>
          </w:pPr>
          <w:r>
            <w:rPr>
              <w:color w:val="auto"/>
              <w:highlight w:val="none"/>
            </w:rPr>
            <w:fldChar w:fldCharType="begin"/>
          </w:r>
          <w:r>
            <w:rPr>
              <w:color w:val="auto"/>
              <w:highlight w:val="none"/>
            </w:rPr>
            <w:instrText xml:space="preserve"> HYPERLINK \l _Toc14271 </w:instrText>
          </w:r>
          <w:r>
            <w:rPr>
              <w:color w:val="auto"/>
              <w:highlight w:val="none"/>
            </w:rPr>
            <w:fldChar w:fldCharType="separate"/>
          </w:r>
          <w:sdt>
            <w:sdtPr>
              <w:rPr>
                <w:rFonts w:ascii="Times New Roman" w:hAnsi="Times New Roman" w:eastAsia="仿宋_GB2312" w:cs="Times New Roman"/>
                <w:color w:val="auto"/>
                <w:kern w:val="2"/>
                <w:sz w:val="32"/>
                <w:szCs w:val="24"/>
                <w:highlight w:val="none"/>
                <w:lang w:val="en-US" w:eastAsia="zh-CN" w:bidi="ar-SA"/>
              </w:rPr>
              <w:id w:val="147481311"/>
              <w:placeholder>
                <w:docPart w:val="{a2ef8b34-33b4-4867-8ac9-0563489e9fcc}"/>
              </w:placeholder>
            </w:sdtPr>
            <w:sdtEndPr>
              <w:rPr>
                <w:rFonts w:ascii="Times New Roman" w:hAnsi="Times New Roman" w:eastAsia="仿宋_GB2312" w:cs="Times New Roman"/>
                <w:color w:val="auto"/>
                <w:kern w:val="2"/>
                <w:sz w:val="32"/>
                <w:szCs w:val="24"/>
                <w:highlight w:val="none"/>
                <w:lang w:val="en-US" w:eastAsia="zh-CN" w:bidi="ar-SA"/>
              </w:rPr>
            </w:sdtEndPr>
            <w:sdtContent>
              <w:r>
                <w:rPr>
                  <w:rFonts w:hint="eastAsia" w:ascii="楷体" w:hAnsi="楷体" w:eastAsia="楷体" w:cs="楷体"/>
                  <w:color w:val="auto"/>
                  <w:highlight w:val="none"/>
                </w:rPr>
                <w:t>（三）2022年度财政资金结转结余情况</w:t>
              </w:r>
            </w:sdtContent>
          </w:sdt>
          <w:r>
            <w:rPr>
              <w:color w:val="auto"/>
              <w:highlight w:val="none"/>
            </w:rPr>
            <w:tab/>
          </w:r>
          <w:r>
            <w:rPr>
              <w:color w:val="auto"/>
              <w:highlight w:val="none"/>
            </w:rPr>
            <w:t>12</w:t>
          </w:r>
          <w:r>
            <w:rPr>
              <w:color w:val="auto"/>
              <w:highlight w:val="none"/>
            </w:rPr>
            <w:fldChar w:fldCharType="end"/>
          </w:r>
        </w:p>
        <w:p>
          <w:pPr>
            <w:pStyle w:val="44"/>
            <w:tabs>
              <w:tab w:val="right" w:leader="dot" w:pos="8960"/>
            </w:tabs>
            <w:rPr>
              <w:color w:val="auto"/>
              <w:highlight w:val="none"/>
            </w:rPr>
          </w:pPr>
          <w:r>
            <w:rPr>
              <w:b/>
              <w:bCs/>
              <w:color w:val="auto"/>
              <w:highlight w:val="none"/>
            </w:rPr>
            <w:fldChar w:fldCharType="begin"/>
          </w:r>
          <w:r>
            <w:rPr>
              <w:color w:val="auto"/>
              <w:highlight w:val="none"/>
            </w:rPr>
            <w:instrText xml:space="preserve"> HYPERLINK \l _Toc23550 </w:instrText>
          </w:r>
          <w:r>
            <w:rPr>
              <w:b/>
              <w:bCs/>
              <w:color w:val="auto"/>
              <w:highlight w:val="none"/>
            </w:rPr>
            <w:fldChar w:fldCharType="separate"/>
          </w:r>
          <w:sdt>
            <w:sdtPr>
              <w:rPr>
                <w:rFonts w:ascii="Times New Roman" w:hAnsi="Times New Roman" w:eastAsia="仿宋_GB2312" w:cs="Times New Roman"/>
                <w:b/>
                <w:bCs/>
                <w:color w:val="auto"/>
                <w:kern w:val="2"/>
                <w:sz w:val="32"/>
                <w:szCs w:val="24"/>
                <w:highlight w:val="none"/>
                <w:lang w:val="en-US" w:eastAsia="zh-CN" w:bidi="ar-SA"/>
              </w:rPr>
              <w:id w:val="147481311"/>
              <w:placeholder>
                <w:docPart w:val="{5604af9a-2e2f-47be-9149-961e2e3c0827}"/>
              </w:placeholder>
            </w:sdtPr>
            <w:sdtEndPr>
              <w:rPr>
                <w:rFonts w:ascii="Times New Roman" w:hAnsi="Times New Roman" w:eastAsia="仿宋_GB2312" w:cs="Times New Roman"/>
                <w:b/>
                <w:bCs/>
                <w:color w:val="auto"/>
                <w:kern w:val="2"/>
                <w:sz w:val="32"/>
                <w:szCs w:val="24"/>
                <w:highlight w:val="none"/>
                <w:lang w:val="en-US" w:eastAsia="zh-CN" w:bidi="ar-SA"/>
              </w:rPr>
            </w:sdtEndPr>
            <w:sdtContent>
              <w:r>
                <w:rPr>
                  <w:rFonts w:hint="eastAsia" w:ascii="黑体" w:hAnsi="黑体" w:eastAsia="黑体" w:cs="黑体"/>
                  <w:b/>
                  <w:bCs/>
                  <w:color w:val="auto"/>
                  <w:highlight w:val="none"/>
                </w:rPr>
                <w:t>四、部门绩效情况</w:t>
              </w:r>
            </w:sdtContent>
          </w:sdt>
          <w:r>
            <w:rPr>
              <w:b/>
              <w:bCs/>
              <w:color w:val="auto"/>
              <w:highlight w:val="none"/>
            </w:rPr>
            <w:tab/>
          </w:r>
          <w:r>
            <w:rPr>
              <w:b/>
              <w:bCs/>
              <w:color w:val="auto"/>
              <w:highlight w:val="none"/>
            </w:rPr>
            <w:t>12</w:t>
          </w:r>
          <w:r>
            <w:rPr>
              <w:b/>
              <w:bCs/>
              <w:color w:val="auto"/>
              <w:highlight w:val="none"/>
            </w:rPr>
            <w:fldChar w:fldCharType="end"/>
          </w:r>
        </w:p>
        <w:p>
          <w:pPr>
            <w:pStyle w:val="45"/>
            <w:tabs>
              <w:tab w:val="right" w:leader="dot" w:pos="8960"/>
            </w:tabs>
            <w:rPr>
              <w:color w:val="auto"/>
              <w:highlight w:val="none"/>
            </w:rPr>
          </w:pPr>
          <w:r>
            <w:rPr>
              <w:color w:val="auto"/>
              <w:highlight w:val="none"/>
            </w:rPr>
            <w:fldChar w:fldCharType="begin"/>
          </w:r>
          <w:r>
            <w:rPr>
              <w:color w:val="auto"/>
              <w:highlight w:val="none"/>
            </w:rPr>
            <w:instrText xml:space="preserve"> HYPERLINK \l _Toc32238 </w:instrText>
          </w:r>
          <w:r>
            <w:rPr>
              <w:color w:val="auto"/>
              <w:highlight w:val="none"/>
            </w:rPr>
            <w:fldChar w:fldCharType="separate"/>
          </w:r>
          <w:sdt>
            <w:sdtPr>
              <w:rPr>
                <w:rFonts w:ascii="Times New Roman" w:hAnsi="Times New Roman" w:eastAsia="仿宋_GB2312" w:cs="Times New Roman"/>
                <w:color w:val="auto"/>
                <w:kern w:val="2"/>
                <w:sz w:val="32"/>
                <w:szCs w:val="24"/>
                <w:highlight w:val="none"/>
                <w:lang w:val="en-US" w:eastAsia="zh-CN" w:bidi="ar-SA"/>
              </w:rPr>
              <w:id w:val="147481311"/>
              <w:placeholder>
                <w:docPart w:val="{e4bc5888-1695-4cc5-8b43-23aa35279188}"/>
              </w:placeholder>
            </w:sdtPr>
            <w:sdtEndPr>
              <w:rPr>
                <w:rFonts w:ascii="Times New Roman" w:hAnsi="Times New Roman" w:eastAsia="仿宋_GB2312" w:cs="Times New Roman"/>
                <w:color w:val="auto"/>
                <w:kern w:val="2"/>
                <w:sz w:val="32"/>
                <w:szCs w:val="24"/>
                <w:highlight w:val="none"/>
                <w:lang w:val="en-US" w:eastAsia="zh-CN" w:bidi="ar-SA"/>
              </w:rPr>
            </w:sdtEndPr>
            <w:sdtContent>
              <w:r>
                <w:rPr>
                  <w:rFonts w:hint="eastAsia" w:ascii="楷体" w:hAnsi="楷体" w:eastAsia="楷体" w:cs="楷体"/>
                  <w:color w:val="auto"/>
                  <w:highlight w:val="none"/>
                </w:rPr>
                <w:t>（一）部门整体绩效运行情况</w:t>
              </w:r>
            </w:sdtContent>
          </w:sdt>
          <w:r>
            <w:rPr>
              <w:color w:val="auto"/>
              <w:highlight w:val="none"/>
            </w:rPr>
            <w:tab/>
          </w:r>
          <w:r>
            <w:rPr>
              <w:color w:val="auto"/>
              <w:highlight w:val="none"/>
            </w:rPr>
            <w:t>12</w:t>
          </w:r>
          <w:r>
            <w:rPr>
              <w:color w:val="auto"/>
              <w:highlight w:val="none"/>
            </w:rPr>
            <w:fldChar w:fldCharType="end"/>
          </w:r>
        </w:p>
        <w:p>
          <w:pPr>
            <w:pStyle w:val="45"/>
            <w:tabs>
              <w:tab w:val="right" w:leader="dot" w:pos="8960"/>
            </w:tabs>
            <w:rPr>
              <w:color w:val="auto"/>
              <w:highlight w:val="none"/>
            </w:rPr>
          </w:pPr>
          <w:r>
            <w:rPr>
              <w:color w:val="auto"/>
              <w:highlight w:val="none"/>
            </w:rPr>
            <w:fldChar w:fldCharType="begin"/>
          </w:r>
          <w:r>
            <w:rPr>
              <w:color w:val="auto"/>
              <w:highlight w:val="none"/>
            </w:rPr>
            <w:instrText xml:space="preserve"> HYPERLINK \l _Toc9221 </w:instrText>
          </w:r>
          <w:r>
            <w:rPr>
              <w:color w:val="auto"/>
              <w:highlight w:val="none"/>
            </w:rPr>
            <w:fldChar w:fldCharType="separate"/>
          </w:r>
          <w:sdt>
            <w:sdtPr>
              <w:rPr>
                <w:rFonts w:ascii="Times New Roman" w:hAnsi="Times New Roman" w:eastAsia="仿宋_GB2312" w:cs="Times New Roman"/>
                <w:color w:val="auto"/>
                <w:kern w:val="2"/>
                <w:sz w:val="32"/>
                <w:szCs w:val="24"/>
                <w:highlight w:val="none"/>
                <w:lang w:val="en-US" w:eastAsia="zh-CN" w:bidi="ar-SA"/>
              </w:rPr>
              <w:id w:val="147481311"/>
              <w:placeholder>
                <w:docPart w:val="{c49792be-8bf8-4c73-b53b-752b6abc6525}"/>
              </w:placeholder>
            </w:sdtPr>
            <w:sdtEndPr>
              <w:rPr>
                <w:rFonts w:ascii="Times New Roman" w:hAnsi="Times New Roman" w:eastAsia="仿宋_GB2312" w:cs="Times New Roman"/>
                <w:color w:val="auto"/>
                <w:kern w:val="2"/>
                <w:sz w:val="32"/>
                <w:szCs w:val="24"/>
                <w:highlight w:val="none"/>
                <w:lang w:val="en-US" w:eastAsia="zh-CN" w:bidi="ar-SA"/>
              </w:rPr>
            </w:sdtEndPr>
            <w:sdtContent>
              <w:r>
                <w:rPr>
                  <w:rFonts w:hint="eastAsia" w:ascii="楷体" w:hAnsi="楷体" w:eastAsia="楷体" w:cs="楷体"/>
                  <w:color w:val="auto"/>
                  <w:highlight w:val="none"/>
                </w:rPr>
                <w:t>（二） 专项项目绩效及执行情况</w:t>
              </w:r>
            </w:sdtContent>
          </w:sdt>
          <w:r>
            <w:rPr>
              <w:color w:val="auto"/>
              <w:highlight w:val="none"/>
            </w:rPr>
            <w:tab/>
          </w:r>
          <w:r>
            <w:rPr>
              <w:color w:val="auto"/>
              <w:highlight w:val="none"/>
            </w:rPr>
            <w:t>13</w:t>
          </w:r>
          <w:r>
            <w:rPr>
              <w:color w:val="auto"/>
              <w:highlight w:val="none"/>
            </w:rPr>
            <w:fldChar w:fldCharType="end"/>
          </w:r>
        </w:p>
        <w:p>
          <w:pPr>
            <w:pStyle w:val="45"/>
            <w:tabs>
              <w:tab w:val="right" w:leader="dot" w:pos="8960"/>
            </w:tabs>
            <w:rPr>
              <w:color w:val="auto"/>
              <w:highlight w:val="none"/>
            </w:rPr>
          </w:pPr>
          <w:r>
            <w:rPr>
              <w:color w:val="auto"/>
              <w:highlight w:val="none"/>
            </w:rPr>
            <w:fldChar w:fldCharType="begin"/>
          </w:r>
          <w:r>
            <w:rPr>
              <w:color w:val="auto"/>
              <w:highlight w:val="none"/>
            </w:rPr>
            <w:instrText xml:space="preserve"> HYPERLINK \l _Toc9783 </w:instrText>
          </w:r>
          <w:r>
            <w:rPr>
              <w:color w:val="auto"/>
              <w:highlight w:val="none"/>
            </w:rPr>
            <w:fldChar w:fldCharType="separate"/>
          </w:r>
          <w:sdt>
            <w:sdtPr>
              <w:rPr>
                <w:rFonts w:ascii="Times New Roman" w:hAnsi="Times New Roman" w:eastAsia="仿宋_GB2312" w:cs="Times New Roman"/>
                <w:color w:val="auto"/>
                <w:kern w:val="2"/>
                <w:sz w:val="32"/>
                <w:szCs w:val="24"/>
                <w:highlight w:val="none"/>
                <w:lang w:val="en-US" w:eastAsia="zh-CN" w:bidi="ar-SA"/>
              </w:rPr>
              <w:id w:val="147481311"/>
              <w:placeholder>
                <w:docPart w:val="{3c52a765-ecc3-4c35-a90b-1331375c0d0d}"/>
              </w:placeholder>
            </w:sdtPr>
            <w:sdtEndPr>
              <w:rPr>
                <w:rFonts w:ascii="Times New Roman" w:hAnsi="Times New Roman" w:eastAsia="仿宋_GB2312" w:cs="Times New Roman"/>
                <w:color w:val="auto"/>
                <w:kern w:val="2"/>
                <w:sz w:val="32"/>
                <w:szCs w:val="24"/>
                <w:highlight w:val="none"/>
                <w:lang w:val="en-US" w:eastAsia="zh-CN" w:bidi="ar-SA"/>
              </w:rPr>
            </w:sdtEndPr>
            <w:sdtContent>
              <w:r>
                <w:rPr>
                  <w:rFonts w:hint="eastAsia" w:ascii="楷体" w:hAnsi="楷体" w:eastAsia="楷体" w:cs="楷体"/>
                  <w:color w:val="auto"/>
                  <w:highlight w:val="none"/>
                </w:rPr>
                <w:t>（三）单位自评绩效结果应用情况</w:t>
              </w:r>
            </w:sdtContent>
          </w:sdt>
          <w:r>
            <w:rPr>
              <w:color w:val="auto"/>
              <w:highlight w:val="none"/>
            </w:rPr>
            <w:tab/>
          </w:r>
          <w:r>
            <w:rPr>
              <w:color w:val="auto"/>
              <w:highlight w:val="none"/>
            </w:rPr>
            <w:t>19</w:t>
          </w:r>
          <w:r>
            <w:rPr>
              <w:color w:val="auto"/>
              <w:highlight w:val="none"/>
            </w:rPr>
            <w:fldChar w:fldCharType="end"/>
          </w:r>
        </w:p>
        <w:p>
          <w:pPr>
            <w:pStyle w:val="44"/>
            <w:tabs>
              <w:tab w:val="right" w:leader="dot" w:pos="8960"/>
            </w:tabs>
            <w:rPr>
              <w:color w:val="auto"/>
              <w:highlight w:val="none"/>
            </w:rPr>
          </w:pPr>
          <w:r>
            <w:rPr>
              <w:b/>
              <w:bCs/>
              <w:color w:val="auto"/>
              <w:highlight w:val="none"/>
            </w:rPr>
            <w:fldChar w:fldCharType="begin"/>
          </w:r>
          <w:r>
            <w:rPr>
              <w:color w:val="auto"/>
              <w:highlight w:val="none"/>
            </w:rPr>
            <w:instrText xml:space="preserve"> HYPERLINK \l _Toc14764 </w:instrText>
          </w:r>
          <w:r>
            <w:rPr>
              <w:b/>
              <w:bCs/>
              <w:color w:val="auto"/>
              <w:highlight w:val="none"/>
            </w:rPr>
            <w:fldChar w:fldCharType="separate"/>
          </w:r>
          <w:sdt>
            <w:sdtPr>
              <w:rPr>
                <w:rFonts w:ascii="Times New Roman" w:hAnsi="Times New Roman" w:eastAsia="仿宋_GB2312" w:cs="Times New Roman"/>
                <w:b/>
                <w:bCs/>
                <w:color w:val="auto"/>
                <w:kern w:val="2"/>
                <w:sz w:val="32"/>
                <w:szCs w:val="24"/>
                <w:highlight w:val="none"/>
                <w:lang w:val="en-US" w:eastAsia="zh-CN" w:bidi="ar-SA"/>
              </w:rPr>
              <w:id w:val="147481311"/>
              <w:placeholder>
                <w:docPart w:val="{9eabbd24-1463-4d0a-9bf1-5f0403e1cfdf}"/>
              </w:placeholder>
            </w:sdtPr>
            <w:sdtEndPr>
              <w:rPr>
                <w:rFonts w:ascii="Times New Roman" w:hAnsi="Times New Roman" w:eastAsia="仿宋_GB2312" w:cs="Times New Roman"/>
                <w:b/>
                <w:bCs/>
                <w:color w:val="auto"/>
                <w:kern w:val="2"/>
                <w:sz w:val="32"/>
                <w:szCs w:val="24"/>
                <w:highlight w:val="none"/>
                <w:lang w:val="en-US" w:eastAsia="zh-CN" w:bidi="ar-SA"/>
              </w:rPr>
            </w:sdtEndPr>
            <w:sdtContent>
              <w:r>
                <w:rPr>
                  <w:rFonts w:hint="eastAsia" w:ascii="黑体" w:hAnsi="黑体" w:eastAsia="黑体" w:cs="黑体"/>
                  <w:b/>
                  <w:bCs/>
                  <w:color w:val="auto"/>
                  <w:highlight w:val="none"/>
                </w:rPr>
                <w:t>五、绩效评价结论</w:t>
              </w:r>
            </w:sdtContent>
          </w:sdt>
          <w:r>
            <w:rPr>
              <w:b/>
              <w:bCs/>
              <w:color w:val="auto"/>
              <w:highlight w:val="none"/>
            </w:rPr>
            <w:tab/>
          </w:r>
          <w:r>
            <w:rPr>
              <w:b/>
              <w:bCs/>
              <w:color w:val="auto"/>
              <w:highlight w:val="none"/>
            </w:rPr>
            <w:t>20</w:t>
          </w:r>
          <w:r>
            <w:rPr>
              <w:b/>
              <w:bCs/>
              <w:color w:val="auto"/>
              <w:highlight w:val="none"/>
            </w:rPr>
            <w:fldChar w:fldCharType="end"/>
          </w:r>
        </w:p>
        <w:p>
          <w:pPr>
            <w:pStyle w:val="45"/>
            <w:tabs>
              <w:tab w:val="right" w:leader="dot" w:pos="8960"/>
            </w:tabs>
            <w:rPr>
              <w:color w:val="auto"/>
              <w:highlight w:val="none"/>
            </w:rPr>
          </w:pPr>
          <w:r>
            <w:rPr>
              <w:color w:val="auto"/>
              <w:highlight w:val="none"/>
            </w:rPr>
            <w:fldChar w:fldCharType="begin"/>
          </w:r>
          <w:r>
            <w:rPr>
              <w:color w:val="auto"/>
              <w:highlight w:val="none"/>
            </w:rPr>
            <w:instrText xml:space="preserve"> HYPERLINK \l _Toc2781 </w:instrText>
          </w:r>
          <w:r>
            <w:rPr>
              <w:color w:val="auto"/>
              <w:highlight w:val="none"/>
            </w:rPr>
            <w:fldChar w:fldCharType="separate"/>
          </w:r>
          <w:sdt>
            <w:sdtPr>
              <w:rPr>
                <w:rFonts w:ascii="Times New Roman" w:hAnsi="Times New Roman" w:eastAsia="仿宋_GB2312" w:cs="Times New Roman"/>
                <w:color w:val="auto"/>
                <w:kern w:val="2"/>
                <w:sz w:val="32"/>
                <w:szCs w:val="24"/>
                <w:highlight w:val="none"/>
                <w:lang w:val="en-US" w:eastAsia="zh-CN" w:bidi="ar-SA"/>
              </w:rPr>
              <w:id w:val="147481311"/>
              <w:placeholder>
                <w:docPart w:val="{40ac14e9-57d8-41d8-9211-a9cba05e71b2}"/>
              </w:placeholder>
            </w:sdtPr>
            <w:sdtEndPr>
              <w:rPr>
                <w:rFonts w:ascii="Times New Roman" w:hAnsi="Times New Roman" w:eastAsia="仿宋_GB2312" w:cs="Times New Roman"/>
                <w:color w:val="auto"/>
                <w:kern w:val="2"/>
                <w:sz w:val="32"/>
                <w:szCs w:val="24"/>
                <w:highlight w:val="none"/>
                <w:lang w:val="en-US" w:eastAsia="zh-CN" w:bidi="ar-SA"/>
              </w:rPr>
            </w:sdtEndPr>
            <w:sdtContent>
              <w:r>
                <w:rPr>
                  <w:rFonts w:hint="eastAsia" w:ascii="楷体" w:hAnsi="楷体" w:eastAsia="楷体" w:cs="楷体"/>
                  <w:color w:val="auto"/>
                  <w:highlight w:val="none"/>
                </w:rPr>
                <w:t>（一） 总体评价</w:t>
              </w:r>
            </w:sdtContent>
          </w:sdt>
          <w:r>
            <w:rPr>
              <w:color w:val="auto"/>
              <w:highlight w:val="none"/>
            </w:rPr>
            <w:tab/>
          </w:r>
          <w:r>
            <w:rPr>
              <w:color w:val="auto"/>
              <w:highlight w:val="none"/>
            </w:rPr>
            <w:t>20</w:t>
          </w:r>
          <w:r>
            <w:rPr>
              <w:color w:val="auto"/>
              <w:highlight w:val="none"/>
            </w:rPr>
            <w:fldChar w:fldCharType="end"/>
          </w:r>
        </w:p>
        <w:p>
          <w:pPr>
            <w:pStyle w:val="45"/>
            <w:tabs>
              <w:tab w:val="right" w:leader="dot" w:pos="8960"/>
            </w:tabs>
            <w:rPr>
              <w:color w:val="auto"/>
              <w:highlight w:val="none"/>
            </w:rPr>
          </w:pPr>
          <w:r>
            <w:rPr>
              <w:color w:val="auto"/>
              <w:highlight w:val="none"/>
            </w:rPr>
            <w:fldChar w:fldCharType="begin"/>
          </w:r>
          <w:r>
            <w:rPr>
              <w:color w:val="auto"/>
              <w:highlight w:val="none"/>
            </w:rPr>
            <w:instrText xml:space="preserve"> HYPERLINK \l _Toc10124 </w:instrText>
          </w:r>
          <w:r>
            <w:rPr>
              <w:color w:val="auto"/>
              <w:highlight w:val="none"/>
            </w:rPr>
            <w:fldChar w:fldCharType="separate"/>
          </w:r>
          <w:sdt>
            <w:sdtPr>
              <w:rPr>
                <w:rFonts w:ascii="Times New Roman" w:hAnsi="Times New Roman" w:eastAsia="仿宋_GB2312" w:cs="Times New Roman"/>
                <w:color w:val="auto"/>
                <w:kern w:val="2"/>
                <w:sz w:val="32"/>
                <w:szCs w:val="24"/>
                <w:highlight w:val="none"/>
                <w:lang w:val="en-US" w:eastAsia="zh-CN" w:bidi="ar-SA"/>
              </w:rPr>
              <w:id w:val="147481311"/>
              <w:placeholder>
                <w:docPart w:val="{e0d5df16-dadb-40e3-943e-20260def4070}"/>
              </w:placeholder>
            </w:sdtPr>
            <w:sdtEndPr>
              <w:rPr>
                <w:rFonts w:ascii="Times New Roman" w:hAnsi="Times New Roman" w:eastAsia="仿宋_GB2312" w:cs="Times New Roman"/>
                <w:color w:val="auto"/>
                <w:kern w:val="2"/>
                <w:sz w:val="32"/>
                <w:szCs w:val="24"/>
                <w:highlight w:val="none"/>
                <w:lang w:val="en-US" w:eastAsia="zh-CN" w:bidi="ar-SA"/>
              </w:rPr>
            </w:sdtEndPr>
            <w:sdtContent>
              <w:r>
                <w:rPr>
                  <w:rFonts w:hint="eastAsia" w:ascii="楷体" w:hAnsi="楷体" w:eastAsia="楷体" w:cs="楷体"/>
                  <w:color w:val="auto"/>
                  <w:highlight w:val="none"/>
                </w:rPr>
                <w:t>（二） 扣分事项</w:t>
              </w:r>
            </w:sdtContent>
          </w:sdt>
          <w:r>
            <w:rPr>
              <w:color w:val="auto"/>
              <w:highlight w:val="none"/>
            </w:rPr>
            <w:tab/>
          </w:r>
          <w:r>
            <w:rPr>
              <w:color w:val="auto"/>
              <w:highlight w:val="none"/>
            </w:rPr>
            <w:t>20</w:t>
          </w:r>
          <w:r>
            <w:rPr>
              <w:color w:val="auto"/>
              <w:highlight w:val="none"/>
            </w:rPr>
            <w:fldChar w:fldCharType="end"/>
          </w:r>
        </w:p>
        <w:p>
          <w:pPr>
            <w:pStyle w:val="44"/>
            <w:tabs>
              <w:tab w:val="right" w:leader="dot" w:pos="8960"/>
            </w:tabs>
            <w:rPr>
              <w:color w:val="auto"/>
              <w:highlight w:val="none"/>
            </w:rPr>
          </w:pPr>
          <w:r>
            <w:rPr>
              <w:b/>
              <w:bCs/>
              <w:color w:val="auto"/>
              <w:highlight w:val="none"/>
            </w:rPr>
            <w:fldChar w:fldCharType="begin"/>
          </w:r>
          <w:r>
            <w:rPr>
              <w:color w:val="auto"/>
              <w:highlight w:val="none"/>
            </w:rPr>
            <w:instrText xml:space="preserve"> HYPERLINK \l _Toc18413 </w:instrText>
          </w:r>
          <w:r>
            <w:rPr>
              <w:b/>
              <w:bCs/>
              <w:color w:val="auto"/>
              <w:highlight w:val="none"/>
            </w:rPr>
            <w:fldChar w:fldCharType="separate"/>
          </w:r>
          <w:sdt>
            <w:sdtPr>
              <w:rPr>
                <w:rFonts w:ascii="Times New Roman" w:hAnsi="Times New Roman" w:eastAsia="仿宋_GB2312" w:cs="Times New Roman"/>
                <w:b/>
                <w:bCs/>
                <w:color w:val="auto"/>
                <w:kern w:val="2"/>
                <w:sz w:val="32"/>
                <w:szCs w:val="24"/>
                <w:highlight w:val="none"/>
                <w:lang w:val="en-US" w:eastAsia="zh-CN" w:bidi="ar-SA"/>
              </w:rPr>
              <w:id w:val="147481311"/>
              <w:placeholder>
                <w:docPart w:val="{275f0040-0f81-49e6-b6df-6ba4d5bad743}"/>
              </w:placeholder>
            </w:sdtPr>
            <w:sdtEndPr>
              <w:rPr>
                <w:rFonts w:ascii="Times New Roman" w:hAnsi="Times New Roman" w:eastAsia="仿宋_GB2312" w:cs="Times New Roman"/>
                <w:b/>
                <w:bCs/>
                <w:color w:val="auto"/>
                <w:kern w:val="2"/>
                <w:sz w:val="32"/>
                <w:szCs w:val="24"/>
                <w:highlight w:val="none"/>
                <w:lang w:val="en-US" w:eastAsia="zh-CN" w:bidi="ar-SA"/>
              </w:rPr>
            </w:sdtEndPr>
            <w:sdtContent>
              <w:r>
                <w:rPr>
                  <w:rFonts w:hint="eastAsia" w:ascii="黑体" w:hAnsi="黑体" w:eastAsia="黑体" w:cs="黑体"/>
                  <w:b/>
                  <w:bCs/>
                  <w:color w:val="auto"/>
                  <w:highlight w:val="none"/>
                </w:rPr>
                <w:t>六、主要问题及建议</w:t>
              </w:r>
            </w:sdtContent>
          </w:sdt>
          <w:r>
            <w:rPr>
              <w:b/>
              <w:bCs/>
              <w:color w:val="auto"/>
              <w:highlight w:val="none"/>
            </w:rPr>
            <w:tab/>
          </w:r>
          <w:r>
            <w:rPr>
              <w:b/>
              <w:bCs/>
              <w:color w:val="auto"/>
              <w:highlight w:val="none"/>
            </w:rPr>
            <w:t>22</w:t>
          </w:r>
          <w:r>
            <w:rPr>
              <w:b/>
              <w:bCs/>
              <w:color w:val="auto"/>
              <w:highlight w:val="none"/>
            </w:rPr>
            <w:fldChar w:fldCharType="end"/>
          </w:r>
        </w:p>
        <w:p>
          <w:pPr>
            <w:pStyle w:val="44"/>
            <w:tabs>
              <w:tab w:val="right" w:leader="dot" w:pos="8960"/>
            </w:tabs>
            <w:rPr>
              <w:color w:val="auto"/>
              <w:highlight w:val="none"/>
            </w:rPr>
          </w:pPr>
          <w:r>
            <w:rPr>
              <w:b/>
              <w:bCs/>
              <w:color w:val="auto"/>
              <w:highlight w:val="none"/>
            </w:rPr>
            <w:fldChar w:fldCharType="begin"/>
          </w:r>
          <w:r>
            <w:rPr>
              <w:color w:val="auto"/>
              <w:highlight w:val="none"/>
            </w:rPr>
            <w:instrText xml:space="preserve"> HYPERLINK \l _Toc19948 </w:instrText>
          </w:r>
          <w:r>
            <w:rPr>
              <w:b/>
              <w:bCs/>
              <w:color w:val="auto"/>
              <w:highlight w:val="none"/>
            </w:rPr>
            <w:fldChar w:fldCharType="separate"/>
          </w:r>
          <w:sdt>
            <w:sdtPr>
              <w:rPr>
                <w:rFonts w:ascii="Times New Roman" w:hAnsi="Times New Roman" w:eastAsia="仿宋_GB2312" w:cs="Times New Roman"/>
                <w:b/>
                <w:bCs/>
                <w:color w:val="auto"/>
                <w:kern w:val="2"/>
                <w:sz w:val="32"/>
                <w:szCs w:val="24"/>
                <w:highlight w:val="none"/>
                <w:lang w:val="en-US" w:eastAsia="zh-CN" w:bidi="ar-SA"/>
              </w:rPr>
              <w:id w:val="147481311"/>
              <w:placeholder>
                <w:docPart w:val="{8c3a3949-a074-4e59-b69c-3d0330acace5}"/>
              </w:placeholder>
            </w:sdtPr>
            <w:sdtEndPr>
              <w:rPr>
                <w:rFonts w:ascii="Times New Roman" w:hAnsi="Times New Roman" w:eastAsia="仿宋_GB2312" w:cs="Times New Roman"/>
                <w:b/>
                <w:bCs/>
                <w:color w:val="auto"/>
                <w:kern w:val="2"/>
                <w:sz w:val="32"/>
                <w:szCs w:val="24"/>
                <w:highlight w:val="none"/>
                <w:lang w:val="en-US" w:eastAsia="zh-CN" w:bidi="ar-SA"/>
              </w:rPr>
            </w:sdtEndPr>
            <w:sdtContent>
              <w:r>
                <w:rPr>
                  <w:rFonts w:hint="eastAsia" w:ascii="Times New Roman" w:hAnsi="Times New Roman" w:eastAsia="仿宋" w:cs="Times New Roman"/>
                  <w:b/>
                  <w:bCs/>
                  <w:color w:val="auto"/>
                  <w:highlight w:val="none"/>
                </w:rPr>
                <w:t>附件：1.攀枝花市仁和区林业局2022年度部门整体支出绩效评价得分表</w:t>
              </w:r>
            </w:sdtContent>
          </w:sdt>
          <w:r>
            <w:rPr>
              <w:b/>
              <w:bCs/>
              <w:color w:val="auto"/>
              <w:highlight w:val="none"/>
            </w:rPr>
            <w:tab/>
          </w:r>
          <w:r>
            <w:rPr>
              <w:b/>
              <w:bCs/>
              <w:color w:val="auto"/>
              <w:highlight w:val="none"/>
            </w:rPr>
            <w:t>24</w:t>
          </w:r>
          <w:r>
            <w:rPr>
              <w:b/>
              <w:bCs/>
              <w:color w:val="auto"/>
              <w:highlight w:val="none"/>
            </w:rPr>
            <w:fldChar w:fldCharType="end"/>
          </w:r>
        </w:p>
        <w:p>
          <w:pPr>
            <w:pStyle w:val="44"/>
            <w:tabs>
              <w:tab w:val="right" w:leader="dot" w:pos="8960"/>
            </w:tabs>
            <w:rPr>
              <w:color w:val="auto"/>
              <w:highlight w:val="none"/>
            </w:rPr>
          </w:pPr>
          <w:r>
            <w:rPr>
              <w:b/>
              <w:bCs/>
              <w:color w:val="auto"/>
              <w:highlight w:val="none"/>
            </w:rPr>
            <w:fldChar w:fldCharType="begin"/>
          </w:r>
          <w:r>
            <w:rPr>
              <w:color w:val="auto"/>
              <w:highlight w:val="none"/>
            </w:rPr>
            <w:instrText xml:space="preserve"> HYPERLINK \l _Toc26430 </w:instrText>
          </w:r>
          <w:r>
            <w:rPr>
              <w:b/>
              <w:bCs/>
              <w:color w:val="auto"/>
              <w:highlight w:val="none"/>
            </w:rPr>
            <w:fldChar w:fldCharType="separate"/>
          </w:r>
          <w:sdt>
            <w:sdtPr>
              <w:rPr>
                <w:rFonts w:ascii="Times New Roman" w:hAnsi="Times New Roman" w:eastAsia="仿宋_GB2312" w:cs="Times New Roman"/>
                <w:b/>
                <w:bCs/>
                <w:color w:val="auto"/>
                <w:kern w:val="2"/>
                <w:sz w:val="32"/>
                <w:szCs w:val="24"/>
                <w:highlight w:val="none"/>
                <w:lang w:val="en-US" w:eastAsia="zh-CN" w:bidi="ar-SA"/>
              </w:rPr>
              <w:id w:val="147481311"/>
              <w:placeholder>
                <w:docPart w:val="{52795057-9253-436c-95aa-d537b082c907}"/>
              </w:placeholder>
            </w:sdtPr>
            <w:sdtEndPr>
              <w:rPr>
                <w:rFonts w:ascii="Times New Roman" w:hAnsi="Times New Roman" w:eastAsia="仿宋_GB2312" w:cs="Times New Roman"/>
                <w:b/>
                <w:bCs/>
                <w:color w:val="auto"/>
                <w:kern w:val="2"/>
                <w:sz w:val="32"/>
                <w:szCs w:val="24"/>
                <w:highlight w:val="none"/>
                <w:lang w:val="en-US" w:eastAsia="zh-CN" w:bidi="ar-SA"/>
              </w:rPr>
            </w:sdtEndPr>
            <w:sdtContent>
              <w:r>
                <w:rPr>
                  <w:rFonts w:hint="eastAsia" w:ascii="Times New Roman" w:hAnsi="Times New Roman" w:eastAsia="仿宋" w:cs="Times New Roman"/>
                  <w:b/>
                  <w:bCs/>
                  <w:color w:val="auto"/>
                  <w:highlight w:val="none"/>
                </w:rPr>
                <w:t>2.绩效评价现场情况记录表</w:t>
              </w:r>
            </w:sdtContent>
          </w:sdt>
          <w:r>
            <w:rPr>
              <w:b/>
              <w:bCs/>
              <w:color w:val="auto"/>
              <w:highlight w:val="none"/>
            </w:rPr>
            <w:tab/>
          </w:r>
          <w:r>
            <w:rPr>
              <w:b/>
              <w:bCs/>
              <w:color w:val="auto"/>
              <w:highlight w:val="none"/>
            </w:rPr>
            <w:t>24</w:t>
          </w:r>
          <w:r>
            <w:rPr>
              <w:b/>
              <w:bCs/>
              <w:color w:val="auto"/>
              <w:highlight w:val="none"/>
            </w:rPr>
            <w:fldChar w:fldCharType="end"/>
          </w:r>
        </w:p>
        <w:p>
          <w:pPr>
            <w:pStyle w:val="44"/>
            <w:tabs>
              <w:tab w:val="right" w:leader="dot" w:pos="8960"/>
            </w:tabs>
            <w:rPr>
              <w:color w:val="auto"/>
              <w:highlight w:val="none"/>
            </w:rPr>
          </w:pPr>
        </w:p>
      </w:sdtContent>
    </w:sdt>
    <w:p>
      <w:pPr>
        <w:spacing w:line="500" w:lineRule="exact"/>
        <w:ind w:right="-320" w:rightChars="-100"/>
        <w:jc w:val="both"/>
        <w:rPr>
          <w:rFonts w:hint="eastAsia" w:ascii="宋体"/>
          <w:b/>
          <w:bCs/>
          <w:color w:val="auto"/>
          <w:spacing w:val="20"/>
          <w:sz w:val="52"/>
          <w:highlight w:val="none"/>
        </w:rPr>
      </w:pPr>
    </w:p>
    <w:p>
      <w:pPr>
        <w:spacing w:line="500" w:lineRule="exact"/>
        <w:ind w:right="-320" w:rightChars="-100"/>
        <w:jc w:val="both"/>
        <w:rPr>
          <w:rFonts w:hint="eastAsia" w:ascii="宋体"/>
          <w:b/>
          <w:bCs/>
          <w:color w:val="auto"/>
          <w:spacing w:val="20"/>
          <w:sz w:val="52"/>
          <w:highlight w:val="none"/>
        </w:rPr>
      </w:pPr>
    </w:p>
    <w:p>
      <w:pPr>
        <w:spacing w:line="500" w:lineRule="exact"/>
        <w:ind w:right="-320" w:rightChars="-100"/>
        <w:jc w:val="both"/>
        <w:rPr>
          <w:rFonts w:hint="eastAsia" w:ascii="宋体"/>
          <w:b/>
          <w:bCs/>
          <w:color w:val="auto"/>
          <w:spacing w:val="20"/>
          <w:sz w:val="52"/>
          <w:highlight w:val="none"/>
        </w:rPr>
      </w:pPr>
    </w:p>
    <w:p>
      <w:pPr>
        <w:spacing w:line="500" w:lineRule="exact"/>
        <w:ind w:right="-320" w:rightChars="-100"/>
        <w:jc w:val="both"/>
        <w:rPr>
          <w:rFonts w:hint="eastAsia" w:ascii="宋体"/>
          <w:b/>
          <w:bCs/>
          <w:color w:val="auto"/>
          <w:spacing w:val="20"/>
          <w:sz w:val="52"/>
          <w:highlight w:val="none"/>
        </w:rPr>
      </w:pPr>
    </w:p>
    <w:p>
      <w:pPr>
        <w:spacing w:line="500" w:lineRule="exact"/>
        <w:ind w:right="-320" w:rightChars="-100"/>
        <w:jc w:val="both"/>
        <w:rPr>
          <w:rFonts w:ascii="宋体" w:hAnsi="宋体" w:eastAsia="宋体"/>
          <w:b/>
          <w:color w:val="auto"/>
          <w:szCs w:val="21"/>
          <w:highlight w:val="none"/>
        </w:rPr>
      </w:pPr>
      <w:r>
        <w:rPr>
          <w:rFonts w:hint="eastAsia" w:ascii="宋体"/>
          <w:b/>
          <w:bCs/>
          <w:color w:val="auto"/>
          <w:spacing w:val="20"/>
          <w:sz w:val="52"/>
          <w:highlight w:val="none"/>
        </w:rPr>
        <w:t>攀枝花永道和会计咨询服务有限公司</w:t>
      </w:r>
      <w:r>
        <w:rPr>
          <w:rFonts w:hint="eastAsia" w:ascii="宋体"/>
          <w:bCs/>
          <w:color w:val="auto"/>
          <w:spacing w:val="10"/>
          <w:sz w:val="30"/>
          <w:szCs w:val="30"/>
          <w:highlight w:val="none"/>
        </w:rPr>
        <w:t>Panzhihua Yongdaohe Accounting Consulting Services CO,Ltd</w:t>
      </w:r>
    </w:p>
    <w:p>
      <w:pPr>
        <w:pBdr>
          <w:bottom w:val="double" w:color="auto" w:sz="6" w:space="0"/>
        </w:pBdr>
        <w:adjustRightInd w:val="0"/>
        <w:spacing w:line="500" w:lineRule="exact"/>
        <w:ind w:right="70" w:rightChars="22"/>
        <w:rPr>
          <w:rFonts w:eastAsia="方正舒体"/>
          <w:color w:val="auto"/>
          <w:szCs w:val="21"/>
          <w:highlight w:val="none"/>
        </w:rPr>
      </w:pPr>
    </w:p>
    <w:p>
      <w:pPr>
        <w:spacing w:line="560" w:lineRule="exact"/>
        <w:jc w:val="center"/>
        <w:rPr>
          <w:rFonts w:hint="eastAsia" w:ascii="仿宋" w:hAnsi="仿宋" w:eastAsia="仿宋" w:cs="仿宋"/>
          <w:b/>
          <w:color w:val="auto"/>
          <w:szCs w:val="32"/>
          <w:highlight w:val="none"/>
        </w:rPr>
      </w:pPr>
      <w:r>
        <w:rPr>
          <w:rFonts w:hint="eastAsia" w:ascii="仿宋" w:hAnsi="仿宋" w:eastAsia="仿宋" w:cs="仿宋"/>
          <w:b/>
          <w:color w:val="auto"/>
          <w:szCs w:val="32"/>
          <w:highlight w:val="none"/>
        </w:rPr>
        <w:t xml:space="preserve"> </w:t>
      </w:r>
    </w:p>
    <w:p>
      <w:pPr>
        <w:pStyle w:val="37"/>
        <w:spacing w:line="700" w:lineRule="exact"/>
        <w:ind w:firstLine="723" w:firstLineChars="200"/>
        <w:jc w:val="center"/>
        <w:outlineLvl w:val="0"/>
        <w:rPr>
          <w:rFonts w:hint="eastAsia" w:ascii="宋体" w:hAnsi="宋体"/>
          <w:b/>
          <w:color w:val="auto"/>
          <w:kern w:val="2"/>
          <w:sz w:val="36"/>
          <w:szCs w:val="36"/>
          <w:highlight w:val="none"/>
        </w:rPr>
      </w:pPr>
      <w:bookmarkStart w:id="14" w:name="_Toc17074"/>
      <w:bookmarkStart w:id="15" w:name="_Toc10635"/>
      <w:bookmarkStart w:id="16" w:name="_Toc26326"/>
      <w:bookmarkStart w:id="17" w:name="_Toc12259"/>
      <w:r>
        <w:rPr>
          <w:rFonts w:hint="eastAsia" w:ascii="宋体" w:hAnsi="宋体"/>
          <w:b/>
          <w:color w:val="auto"/>
          <w:kern w:val="2"/>
          <w:sz w:val="36"/>
          <w:szCs w:val="36"/>
          <w:highlight w:val="none"/>
        </w:rPr>
        <w:t>攀枝花市仁和区林业局</w:t>
      </w:r>
      <w:bookmarkEnd w:id="14"/>
      <w:bookmarkEnd w:id="15"/>
      <w:bookmarkEnd w:id="16"/>
      <w:bookmarkEnd w:id="17"/>
    </w:p>
    <w:p>
      <w:pPr>
        <w:pStyle w:val="37"/>
        <w:spacing w:line="700" w:lineRule="exact"/>
        <w:ind w:firstLine="723" w:firstLineChars="200"/>
        <w:jc w:val="center"/>
        <w:outlineLvl w:val="0"/>
        <w:rPr>
          <w:rFonts w:hint="eastAsia" w:ascii="宋体" w:hAnsi="宋体"/>
          <w:b/>
          <w:color w:val="auto"/>
          <w:kern w:val="2"/>
          <w:sz w:val="36"/>
          <w:szCs w:val="36"/>
          <w:highlight w:val="none"/>
        </w:rPr>
      </w:pPr>
      <w:bookmarkStart w:id="18" w:name="_Toc25073"/>
      <w:bookmarkStart w:id="19" w:name="_Toc21481"/>
      <w:bookmarkStart w:id="20" w:name="_Toc2797"/>
      <w:bookmarkStart w:id="21" w:name="_Toc9241"/>
      <w:r>
        <w:rPr>
          <w:rFonts w:ascii="宋体" w:hAnsi="宋体"/>
          <w:b/>
          <w:color w:val="auto"/>
          <w:kern w:val="2"/>
          <w:sz w:val="36"/>
          <w:szCs w:val="36"/>
          <w:highlight w:val="none"/>
        </w:rPr>
        <w:t>2022</w:t>
      </w:r>
      <w:r>
        <w:rPr>
          <w:rFonts w:hint="eastAsia" w:ascii="宋体" w:hAnsi="宋体"/>
          <w:b/>
          <w:color w:val="auto"/>
          <w:kern w:val="2"/>
          <w:sz w:val="36"/>
          <w:szCs w:val="36"/>
          <w:highlight w:val="none"/>
        </w:rPr>
        <w:t>年度部门整体支出</w:t>
      </w:r>
      <w:bookmarkEnd w:id="18"/>
      <w:bookmarkEnd w:id="19"/>
      <w:bookmarkEnd w:id="20"/>
      <w:bookmarkEnd w:id="21"/>
    </w:p>
    <w:p>
      <w:pPr>
        <w:pStyle w:val="37"/>
        <w:spacing w:line="700" w:lineRule="exact"/>
        <w:ind w:firstLine="723" w:firstLineChars="200"/>
        <w:jc w:val="center"/>
        <w:outlineLvl w:val="0"/>
        <w:rPr>
          <w:rFonts w:hint="eastAsia" w:ascii="宋体" w:hAnsi="宋体"/>
          <w:b/>
          <w:color w:val="auto"/>
          <w:kern w:val="2"/>
          <w:sz w:val="36"/>
          <w:szCs w:val="36"/>
          <w:highlight w:val="none"/>
        </w:rPr>
      </w:pPr>
      <w:bookmarkStart w:id="22" w:name="_Toc12831"/>
      <w:bookmarkStart w:id="23" w:name="_Toc9052"/>
      <w:bookmarkStart w:id="24" w:name="_Toc12953"/>
      <w:bookmarkStart w:id="25" w:name="_Toc18694"/>
      <w:r>
        <w:rPr>
          <w:rFonts w:hint="eastAsia" w:ascii="宋体" w:hAnsi="宋体"/>
          <w:b/>
          <w:color w:val="auto"/>
          <w:kern w:val="2"/>
          <w:sz w:val="36"/>
          <w:szCs w:val="36"/>
          <w:highlight w:val="none"/>
        </w:rPr>
        <w:t>绩效评价报告</w:t>
      </w:r>
      <w:bookmarkEnd w:id="22"/>
      <w:bookmarkEnd w:id="23"/>
      <w:bookmarkEnd w:id="24"/>
      <w:bookmarkEnd w:id="25"/>
    </w:p>
    <w:p>
      <w:pPr>
        <w:widowControl/>
        <w:adjustRightInd w:val="0"/>
        <w:snapToGrid w:val="0"/>
        <w:spacing w:line="600" w:lineRule="exact"/>
        <w:ind w:right="-112" w:rightChars="-35" w:firstLine="5880" w:firstLineChars="2100"/>
        <w:jc w:val="left"/>
        <w:rPr>
          <w:rFonts w:hint="eastAsia" w:ascii="仿宋_GB2312" w:hAnsi="宋体" w:cs="宋体"/>
          <w:color w:val="auto"/>
          <w:kern w:val="0"/>
          <w:sz w:val="24"/>
          <w:szCs w:val="32"/>
          <w:highlight w:val="none"/>
          <w:shd w:val="clear" w:color="auto" w:fill="FFFFFF"/>
        </w:rPr>
      </w:pPr>
      <w:bookmarkStart w:id="26" w:name="_Toc4106"/>
      <w:bookmarkStart w:id="27" w:name="_Toc10495"/>
      <w:bookmarkStart w:id="28" w:name="_Toc25273"/>
      <w:r>
        <w:rPr>
          <w:rFonts w:hint="eastAsia" w:ascii="仿宋" w:hAnsi="仿宋" w:eastAsia="仿宋" w:cs="宋体"/>
          <w:color w:val="auto"/>
          <w:kern w:val="0"/>
          <w:sz w:val="28"/>
          <w:szCs w:val="28"/>
          <w:highlight w:val="none"/>
          <w:shd w:val="clear" w:color="auto" w:fill="FFFFFF"/>
        </w:rPr>
        <w:t>攀永道和会咨〔</w:t>
      </w:r>
      <w:r>
        <w:rPr>
          <w:rFonts w:ascii="仿宋" w:hAnsi="仿宋" w:eastAsia="仿宋" w:cs="宋体"/>
          <w:color w:val="auto"/>
          <w:kern w:val="0"/>
          <w:sz w:val="28"/>
          <w:szCs w:val="28"/>
          <w:highlight w:val="none"/>
          <w:shd w:val="clear" w:color="auto" w:fill="FFFFFF"/>
        </w:rPr>
        <w:t>2023</w:t>
      </w:r>
      <w:r>
        <w:rPr>
          <w:rFonts w:hint="eastAsia" w:ascii="仿宋" w:hAnsi="仿宋" w:eastAsia="仿宋" w:cs="宋体"/>
          <w:color w:val="auto"/>
          <w:kern w:val="0"/>
          <w:sz w:val="28"/>
          <w:szCs w:val="28"/>
          <w:highlight w:val="none"/>
          <w:shd w:val="clear" w:color="auto" w:fill="FFFFFF"/>
        </w:rPr>
        <w:t>〕</w:t>
      </w:r>
      <w:r>
        <w:rPr>
          <w:rFonts w:ascii="仿宋" w:hAnsi="仿宋" w:eastAsia="仿宋" w:cs="宋体"/>
          <w:color w:val="auto"/>
          <w:kern w:val="0"/>
          <w:sz w:val="28"/>
          <w:szCs w:val="28"/>
          <w:highlight w:val="none"/>
          <w:shd w:val="clear" w:color="auto" w:fill="FFFFFF"/>
        </w:rPr>
        <w:t>6</w:t>
      </w:r>
      <w:r>
        <w:rPr>
          <w:rFonts w:hint="eastAsia" w:ascii="仿宋" w:hAnsi="仿宋" w:eastAsia="仿宋" w:cs="宋体"/>
          <w:color w:val="auto"/>
          <w:kern w:val="0"/>
          <w:sz w:val="28"/>
          <w:szCs w:val="28"/>
          <w:highlight w:val="none"/>
          <w:shd w:val="clear" w:color="auto" w:fill="FFFFFF"/>
        </w:rPr>
        <w:t>号</w:t>
      </w:r>
      <w:bookmarkEnd w:id="26"/>
      <w:bookmarkEnd w:id="27"/>
      <w:bookmarkEnd w:id="28"/>
      <w:r>
        <w:rPr>
          <w:rFonts w:hint="eastAsia" w:ascii="仿宋_GB2312" w:hAnsi="宋体" w:cs="宋体"/>
          <w:color w:val="auto"/>
          <w:kern w:val="0"/>
          <w:sz w:val="24"/>
          <w:szCs w:val="32"/>
          <w:highlight w:val="none"/>
          <w:shd w:val="clear" w:color="auto" w:fill="FFFFFF"/>
        </w:rPr>
        <w:t xml:space="preserve"> </w:t>
      </w:r>
    </w:p>
    <w:p>
      <w:pPr>
        <w:tabs>
          <w:tab w:val="left" w:pos="0"/>
        </w:tabs>
        <w:spacing w:line="600" w:lineRule="exact"/>
        <w:rPr>
          <w:rFonts w:hint="eastAsia" w:ascii="黑体" w:hAnsi="黑体" w:eastAsia="黑体" w:cs="黑体"/>
          <w:b/>
          <w:bCs/>
          <w:color w:val="auto"/>
          <w:spacing w:val="-2"/>
          <w:szCs w:val="32"/>
          <w:highlight w:val="none"/>
        </w:rPr>
      </w:pPr>
      <w:bookmarkStart w:id="29" w:name="_Toc24990"/>
      <w:bookmarkStart w:id="30" w:name="_Toc16455"/>
      <w:bookmarkStart w:id="31" w:name="_Toc10538"/>
      <w:r>
        <w:rPr>
          <w:rFonts w:hint="eastAsia" w:ascii="黑体" w:hAnsi="黑体" w:eastAsia="黑体" w:cs="黑体"/>
          <w:b/>
          <w:bCs/>
          <w:color w:val="auto"/>
          <w:szCs w:val="32"/>
          <w:highlight w:val="none"/>
        </w:rPr>
        <w:t>攀枝花市仁和区财政局：</w:t>
      </w:r>
      <w:bookmarkEnd w:id="29"/>
      <w:bookmarkEnd w:id="30"/>
      <w:bookmarkEnd w:id="31"/>
      <w:r>
        <w:rPr>
          <w:rFonts w:hint="eastAsia" w:ascii="黑体" w:hAnsi="黑体" w:eastAsia="黑体" w:cs="黑体"/>
          <w:b/>
          <w:bCs/>
          <w:color w:val="auto"/>
          <w:spacing w:val="-2"/>
          <w:szCs w:val="32"/>
          <w:highlight w:val="none"/>
        </w:rPr>
        <w:t>　</w:t>
      </w:r>
    </w:p>
    <w:p>
      <w:pPr>
        <w:spacing w:line="600" w:lineRule="exact"/>
        <w:ind w:firstLine="640" w:firstLineChars="200"/>
        <w:rPr>
          <w:rFonts w:hint="eastAsia" w:ascii="仿宋_GB2312" w:hAnsi="宋体" w:cs="宋体"/>
          <w:b/>
          <w:color w:val="auto"/>
          <w:kern w:val="0"/>
          <w:szCs w:val="32"/>
          <w:highlight w:val="none"/>
          <w:shd w:val="clear" w:color="auto" w:fill="FFFFFF"/>
        </w:rPr>
      </w:pPr>
      <w:r>
        <w:rPr>
          <w:rFonts w:hint="eastAsia" w:ascii="仿宋" w:hAnsi="仿宋" w:eastAsia="仿宋" w:cs="仿宋"/>
          <w:color w:val="auto"/>
          <w:szCs w:val="32"/>
          <w:highlight w:val="none"/>
        </w:rPr>
        <w:t>我</w:t>
      </w:r>
      <w:r>
        <w:rPr>
          <w:rFonts w:hint="eastAsia" w:ascii="仿宋" w:hAnsi="仿宋" w:eastAsia="仿宋" w:cs="仿宋"/>
          <w:color w:val="auto"/>
          <w:szCs w:val="32"/>
          <w:highlight w:val="none"/>
          <w:lang w:eastAsia="zh-CN"/>
        </w:rPr>
        <w:t>们</w:t>
      </w:r>
      <w:r>
        <w:rPr>
          <w:rFonts w:hint="eastAsia" w:ascii="仿宋" w:hAnsi="仿宋" w:eastAsia="仿宋" w:cs="仿宋"/>
          <w:color w:val="auto"/>
          <w:szCs w:val="32"/>
          <w:highlight w:val="none"/>
        </w:rPr>
        <w:t>接受</w:t>
      </w:r>
      <w:r>
        <w:rPr>
          <w:rFonts w:hint="eastAsia" w:ascii="仿宋" w:hAnsi="仿宋" w:eastAsia="仿宋" w:cs="仿宋"/>
          <w:color w:val="auto"/>
          <w:szCs w:val="32"/>
          <w:highlight w:val="none"/>
          <w:lang w:eastAsia="zh-CN"/>
        </w:rPr>
        <w:t>贵局</w:t>
      </w:r>
      <w:r>
        <w:rPr>
          <w:rFonts w:hint="eastAsia" w:ascii="仿宋" w:hAnsi="仿宋" w:eastAsia="仿宋" w:cs="仿宋"/>
          <w:color w:val="auto"/>
          <w:szCs w:val="32"/>
          <w:highlight w:val="none"/>
        </w:rPr>
        <w:t>委托，组成</w:t>
      </w:r>
      <w:r>
        <w:rPr>
          <w:rFonts w:hint="eastAsia" w:ascii="仿宋" w:hAnsi="仿宋" w:eastAsia="仿宋" w:cs="仿宋"/>
          <w:color w:val="auto"/>
          <w:szCs w:val="32"/>
          <w:highlight w:val="none"/>
          <w:lang w:eastAsia="zh-CN"/>
        </w:rPr>
        <w:t>了</w:t>
      </w:r>
      <w:r>
        <w:rPr>
          <w:rFonts w:hint="eastAsia" w:ascii="仿宋" w:hAnsi="仿宋" w:eastAsia="仿宋" w:cs="仿宋"/>
          <w:color w:val="auto"/>
          <w:szCs w:val="32"/>
          <w:highlight w:val="none"/>
        </w:rPr>
        <w:t>绩效评价小组，</w:t>
      </w:r>
      <w:r>
        <w:rPr>
          <w:rFonts w:hint="eastAsia" w:ascii="仿宋" w:hAnsi="仿宋" w:eastAsia="仿宋" w:cs="仿宋"/>
          <w:color w:val="auto"/>
          <w:szCs w:val="32"/>
          <w:highlight w:val="none"/>
          <w:lang w:eastAsia="zh-CN"/>
        </w:rPr>
        <w:t>依</w:t>
      </w:r>
      <w:r>
        <w:rPr>
          <w:rFonts w:hint="eastAsia" w:ascii="仿宋" w:hAnsi="仿宋" w:eastAsia="仿宋" w:cs="仿宋"/>
          <w:color w:val="auto"/>
          <w:szCs w:val="32"/>
          <w:highlight w:val="none"/>
        </w:rPr>
        <w:t>据攀枝花市仁和区财政局《关于开展</w:t>
      </w:r>
      <w:r>
        <w:rPr>
          <w:rFonts w:eastAsia="仿宋"/>
          <w:color w:val="auto"/>
          <w:szCs w:val="32"/>
          <w:highlight w:val="none"/>
        </w:rPr>
        <w:t>2023</w:t>
      </w:r>
      <w:r>
        <w:rPr>
          <w:rFonts w:hint="eastAsia" w:ascii="仿宋" w:hAnsi="仿宋" w:eastAsia="仿宋" w:cs="仿宋"/>
          <w:color w:val="auto"/>
          <w:szCs w:val="32"/>
          <w:highlight w:val="none"/>
        </w:rPr>
        <w:t>年度财政重点项目(政策)支出绩效评价和部门整体支出绩效评价工作的通知》（攀仁财〔</w:t>
      </w:r>
      <w:r>
        <w:rPr>
          <w:rFonts w:eastAsia="仿宋"/>
          <w:color w:val="auto"/>
          <w:szCs w:val="32"/>
          <w:highlight w:val="none"/>
        </w:rPr>
        <w:t>2023〕7</w:t>
      </w:r>
      <w:r>
        <w:rPr>
          <w:rFonts w:hint="eastAsia" w:ascii="仿宋" w:hAnsi="仿宋" w:eastAsia="仿宋" w:cs="仿宋"/>
          <w:color w:val="auto"/>
          <w:szCs w:val="32"/>
          <w:highlight w:val="none"/>
        </w:rPr>
        <w:t>1号）文件要求，并按照</w:t>
      </w:r>
      <w:r>
        <w:rPr>
          <w:rFonts w:hint="eastAsia" w:ascii="仿宋" w:hAnsi="仿宋" w:eastAsia="仿宋" w:cs="仿宋"/>
          <w:color w:val="auto"/>
          <w:szCs w:val="32"/>
          <w:highlight w:val="none"/>
          <w:lang w:eastAsia="zh-CN"/>
        </w:rPr>
        <w:t>你</w:t>
      </w:r>
      <w:r>
        <w:rPr>
          <w:rFonts w:hint="eastAsia" w:ascii="仿宋" w:hAnsi="仿宋" w:eastAsia="仿宋" w:cs="仿宋"/>
          <w:color w:val="auto"/>
          <w:szCs w:val="32"/>
          <w:highlight w:val="none"/>
        </w:rPr>
        <w:t>局的统一工作部署，对攀枝花市仁和区林业局（以下简称“</w:t>
      </w:r>
      <w:r>
        <w:rPr>
          <w:rFonts w:hint="eastAsia" w:ascii="仿宋" w:hAnsi="仿宋" w:eastAsia="仿宋" w:cs="仿宋"/>
          <w:color w:val="auto"/>
          <w:szCs w:val="32"/>
          <w:highlight w:val="none"/>
          <w:lang w:eastAsia="zh-CN"/>
        </w:rPr>
        <w:t>仁和</w:t>
      </w:r>
      <w:r>
        <w:rPr>
          <w:rFonts w:hint="eastAsia" w:ascii="仿宋" w:hAnsi="仿宋" w:eastAsia="仿宋" w:cs="仿宋"/>
          <w:color w:val="auto"/>
          <w:szCs w:val="32"/>
          <w:highlight w:val="none"/>
        </w:rPr>
        <w:t>区林业局”）</w:t>
      </w:r>
      <w:r>
        <w:rPr>
          <w:rFonts w:eastAsia="仿宋"/>
          <w:color w:val="auto"/>
          <w:szCs w:val="32"/>
          <w:highlight w:val="none"/>
        </w:rPr>
        <w:t>2022</w:t>
      </w:r>
      <w:r>
        <w:rPr>
          <w:rFonts w:hint="eastAsia" w:ascii="仿宋" w:hAnsi="仿宋" w:eastAsia="仿宋" w:cs="仿宋"/>
          <w:color w:val="auto"/>
          <w:szCs w:val="32"/>
          <w:highlight w:val="none"/>
        </w:rPr>
        <w:t>年度部门整体支出实施了绩效评价。我</w:t>
      </w:r>
      <w:r>
        <w:rPr>
          <w:rFonts w:hint="eastAsia" w:ascii="仿宋" w:hAnsi="仿宋" w:eastAsia="仿宋" w:cs="仿宋"/>
          <w:color w:val="auto"/>
          <w:szCs w:val="32"/>
          <w:highlight w:val="none"/>
          <w:lang w:eastAsia="zh-CN"/>
        </w:rPr>
        <w:t>们</w:t>
      </w:r>
      <w:r>
        <w:rPr>
          <w:rFonts w:hint="eastAsia" w:ascii="仿宋" w:hAnsi="仿宋" w:eastAsia="仿宋" w:cs="仿宋"/>
          <w:color w:val="auto"/>
          <w:szCs w:val="32"/>
          <w:highlight w:val="none"/>
        </w:rPr>
        <w:t>的工作是在</w:t>
      </w:r>
      <w:r>
        <w:rPr>
          <w:rFonts w:hint="eastAsia" w:ascii="仿宋" w:hAnsi="仿宋" w:eastAsia="仿宋" w:cs="仿宋"/>
          <w:color w:val="auto"/>
          <w:szCs w:val="32"/>
          <w:highlight w:val="none"/>
          <w:lang w:eastAsia="zh-CN"/>
        </w:rPr>
        <w:t>仁和</w:t>
      </w:r>
      <w:r>
        <w:rPr>
          <w:rFonts w:hint="eastAsia" w:ascii="仿宋" w:hAnsi="仿宋" w:eastAsia="仿宋" w:cs="仿宋"/>
          <w:color w:val="auto"/>
          <w:szCs w:val="32"/>
          <w:highlight w:val="none"/>
        </w:rPr>
        <w:t>区林业局提供相关</w:t>
      </w:r>
      <w:r>
        <w:rPr>
          <w:rFonts w:hint="eastAsia" w:ascii="仿宋" w:hAnsi="仿宋" w:eastAsia="仿宋" w:cs="仿宋"/>
          <w:color w:val="auto"/>
          <w:szCs w:val="32"/>
          <w:highlight w:val="none"/>
          <w:lang w:val="zh-CN"/>
        </w:rPr>
        <w:t>资料基础上进行的，资料的真实性、完整性、合法性由仁和区林业局负责。现将评价</w:t>
      </w:r>
      <w:r>
        <w:rPr>
          <w:rFonts w:hint="eastAsia" w:ascii="仿宋" w:hAnsi="仿宋" w:eastAsia="仿宋" w:cs="仿宋"/>
          <w:color w:val="auto"/>
          <w:szCs w:val="32"/>
          <w:highlight w:val="none"/>
        </w:rPr>
        <w:t>结果</w:t>
      </w:r>
      <w:r>
        <w:rPr>
          <w:rFonts w:hint="eastAsia" w:ascii="仿宋" w:hAnsi="仿宋" w:eastAsia="仿宋" w:cs="仿宋"/>
          <w:color w:val="auto"/>
          <w:szCs w:val="32"/>
          <w:highlight w:val="none"/>
          <w:lang w:val="zh-CN"/>
        </w:rPr>
        <w:t>报告如下：</w:t>
      </w:r>
      <w:r>
        <w:rPr>
          <w:rFonts w:hint="eastAsia" w:ascii="仿宋_GB2312" w:hAnsi="宋体" w:cs="宋体"/>
          <w:color w:val="auto"/>
          <w:kern w:val="0"/>
          <w:szCs w:val="32"/>
          <w:highlight w:val="none"/>
          <w:shd w:val="clear" w:color="auto" w:fill="FFFFFF"/>
        </w:rPr>
        <w:t xml:space="preserve">  </w:t>
      </w:r>
      <w:r>
        <w:rPr>
          <w:rFonts w:hint="eastAsia" w:ascii="仿宋_GB2312" w:hAnsi="宋体" w:cs="宋体"/>
          <w:b/>
          <w:color w:val="auto"/>
          <w:kern w:val="0"/>
          <w:szCs w:val="32"/>
          <w:highlight w:val="none"/>
          <w:shd w:val="clear" w:color="auto" w:fill="FFFFFF"/>
        </w:rPr>
        <w:t xml:space="preserve">  </w:t>
      </w:r>
      <w:r>
        <w:rPr>
          <w:rFonts w:hint="eastAsia" w:ascii="仿宋_GB2312" w:hAnsi="宋体" w:cs="宋体"/>
          <w:b/>
          <w:color w:val="auto"/>
          <w:kern w:val="0"/>
          <w:szCs w:val="32"/>
          <w:highlight w:val="none"/>
          <w:shd w:val="clear" w:color="auto" w:fill="FFFFFF"/>
        </w:rPr>
        <w:tab/>
      </w:r>
    </w:p>
    <w:p>
      <w:pPr>
        <w:adjustRightInd w:val="0"/>
        <w:snapToGrid w:val="0"/>
        <w:spacing w:line="600" w:lineRule="exact"/>
        <w:ind w:right="22" w:rightChars="7" w:firstLine="720" w:firstLineChars="225"/>
        <w:outlineLvl w:val="0"/>
        <w:rPr>
          <w:rFonts w:hint="eastAsia" w:ascii="黑体" w:hAnsi="黑体" w:eastAsia="黑体" w:cs="黑体"/>
          <w:bCs/>
          <w:color w:val="auto"/>
          <w:szCs w:val="32"/>
          <w:highlight w:val="none"/>
        </w:rPr>
      </w:pPr>
      <w:bookmarkStart w:id="32" w:name="_Toc31973"/>
      <w:bookmarkStart w:id="33" w:name="_Toc25932"/>
      <w:bookmarkStart w:id="34" w:name="_Toc14252"/>
      <w:bookmarkStart w:id="35" w:name="_Toc17189"/>
      <w:bookmarkStart w:id="36" w:name="_Toc18107"/>
      <w:r>
        <w:rPr>
          <w:rFonts w:hint="eastAsia" w:ascii="黑体" w:hAnsi="黑体" w:eastAsia="黑体" w:cs="黑体"/>
          <w:bCs/>
          <w:color w:val="auto"/>
          <w:szCs w:val="32"/>
          <w:highlight w:val="none"/>
        </w:rPr>
        <w:t>一、部门概况</w:t>
      </w:r>
      <w:bookmarkEnd w:id="32"/>
      <w:bookmarkEnd w:id="33"/>
      <w:bookmarkEnd w:id="34"/>
      <w:bookmarkEnd w:id="35"/>
      <w:bookmarkEnd w:id="36"/>
    </w:p>
    <w:p>
      <w:pPr>
        <w:adjustRightInd w:val="0"/>
        <w:snapToGrid w:val="0"/>
        <w:spacing w:line="600" w:lineRule="exact"/>
        <w:ind w:right="22" w:rightChars="7" w:firstLine="630" w:firstLineChars="196"/>
        <w:outlineLvl w:val="1"/>
        <w:rPr>
          <w:rFonts w:hint="eastAsia" w:ascii="楷体" w:hAnsi="楷体" w:eastAsia="楷体" w:cs="楷体"/>
          <w:b/>
          <w:color w:val="auto"/>
          <w:szCs w:val="32"/>
          <w:highlight w:val="none"/>
        </w:rPr>
      </w:pPr>
      <w:bookmarkStart w:id="37" w:name="_Toc23536"/>
      <w:bookmarkStart w:id="38" w:name="_Toc19567"/>
      <w:bookmarkStart w:id="39" w:name="_Toc12380"/>
      <w:bookmarkStart w:id="40" w:name="_Toc31733"/>
      <w:bookmarkStart w:id="41" w:name="_Toc22664"/>
      <w:r>
        <w:rPr>
          <w:rFonts w:hint="eastAsia" w:ascii="楷体" w:hAnsi="楷体" w:eastAsia="楷体" w:cs="楷体"/>
          <w:b/>
          <w:color w:val="auto"/>
          <w:szCs w:val="32"/>
          <w:highlight w:val="none"/>
        </w:rPr>
        <w:t>（一）机构组成</w:t>
      </w:r>
      <w:bookmarkEnd w:id="37"/>
      <w:bookmarkEnd w:id="38"/>
      <w:bookmarkEnd w:id="39"/>
      <w:bookmarkEnd w:id="40"/>
      <w:bookmarkEnd w:id="41"/>
    </w:p>
    <w:p>
      <w:pPr>
        <w:spacing w:line="600" w:lineRule="exact"/>
        <w:ind w:firstLine="640" w:firstLineChars="200"/>
        <w:rPr>
          <w:rFonts w:hint="eastAsia" w:eastAsia="仿宋"/>
          <w:color w:val="auto"/>
          <w:szCs w:val="32"/>
          <w:highlight w:val="none"/>
          <w:lang w:val="zh-CN"/>
        </w:rPr>
      </w:pPr>
      <w:r>
        <w:rPr>
          <w:rFonts w:hint="eastAsia" w:ascii="仿宋" w:hAnsi="仿宋" w:eastAsia="仿宋" w:cs="仿宋"/>
          <w:color w:val="auto"/>
          <w:szCs w:val="32"/>
          <w:highlight w:val="none"/>
        </w:rPr>
        <w:t>仁和区林业局属一级预算单位</w:t>
      </w:r>
      <w:r>
        <w:rPr>
          <w:rFonts w:hint="eastAsia" w:ascii="仿宋" w:hAnsi="仿宋" w:eastAsia="仿宋" w:cs="仿宋"/>
          <w:color w:val="auto"/>
          <w:szCs w:val="32"/>
          <w:highlight w:val="none"/>
          <w:lang w:val="zh-CN"/>
        </w:rPr>
        <w:t>，</w:t>
      </w:r>
      <w:r>
        <w:rPr>
          <w:rFonts w:hint="eastAsia" w:ascii="仿宋" w:hAnsi="仿宋" w:eastAsia="仿宋" w:cs="仿宋"/>
          <w:color w:val="auto"/>
          <w:spacing w:val="-11"/>
          <w:szCs w:val="32"/>
          <w:highlight w:val="none"/>
          <w:lang w:val="zh-CN"/>
        </w:rPr>
        <w:t>负责</w:t>
      </w:r>
      <w:r>
        <w:rPr>
          <w:rFonts w:hint="eastAsia" w:eastAsia="仿宋"/>
          <w:color w:val="auto"/>
          <w:spacing w:val="-11"/>
          <w:szCs w:val="32"/>
          <w:highlight w:val="none"/>
          <w:lang w:val="zh-CN"/>
        </w:rPr>
        <w:t>人:冉镇华；</w:t>
      </w:r>
      <w:r>
        <w:rPr>
          <w:rFonts w:hint="eastAsia" w:ascii="仿宋" w:hAnsi="仿宋" w:eastAsia="仿宋" w:cs="仿宋"/>
          <w:color w:val="auto"/>
          <w:szCs w:val="32"/>
          <w:highlight w:val="none"/>
          <w:lang w:val="zh-CN"/>
        </w:rPr>
        <w:t>机构地址:攀枝花大道南段</w:t>
      </w:r>
      <w:r>
        <w:rPr>
          <w:rFonts w:eastAsia="仿宋"/>
          <w:color w:val="auto"/>
          <w:szCs w:val="32"/>
          <w:highlight w:val="none"/>
          <w:lang w:val="zh-CN"/>
        </w:rPr>
        <w:t>1332</w:t>
      </w:r>
      <w:r>
        <w:rPr>
          <w:rFonts w:hint="eastAsia" w:ascii="仿宋" w:hAnsi="仿宋" w:eastAsia="仿宋" w:cs="仿宋"/>
          <w:color w:val="auto"/>
          <w:szCs w:val="32"/>
          <w:highlight w:val="none"/>
          <w:lang w:val="zh-CN"/>
        </w:rPr>
        <w:t>号</w:t>
      </w:r>
      <w:r>
        <w:rPr>
          <w:rFonts w:hint="eastAsia" w:eastAsia="仿宋"/>
          <w:color w:val="auto"/>
          <w:spacing w:val="-11"/>
          <w:szCs w:val="32"/>
          <w:highlight w:val="none"/>
          <w:lang w:val="zh-CN"/>
        </w:rPr>
        <w:t xml:space="preserve">; </w:t>
      </w:r>
      <w:r>
        <w:rPr>
          <w:rFonts w:hint="eastAsia" w:eastAsia="仿宋"/>
          <w:color w:val="auto"/>
          <w:spacing w:val="-20"/>
          <w:kern w:val="10"/>
          <w:szCs w:val="32"/>
          <w:highlight w:val="none"/>
          <w:lang w:val="zh-CN"/>
        </w:rPr>
        <w:t xml:space="preserve">统一社会信用代码 </w:t>
      </w:r>
      <w:r>
        <w:rPr>
          <w:rFonts w:hint="eastAsia" w:eastAsia="仿宋"/>
          <w:color w:val="auto"/>
          <w:szCs w:val="32"/>
          <w:highlight w:val="none"/>
          <w:lang w:val="zh-CN"/>
        </w:rPr>
        <w:t>11510303008332392U；赋码机关：中共攀枝花市仁和区委机构编制委员会办公室。</w:t>
      </w:r>
    </w:p>
    <w:p>
      <w:pPr>
        <w:spacing w:line="600" w:lineRule="exact"/>
        <w:ind w:firstLine="640" w:firstLineChars="200"/>
        <w:rPr>
          <w:rFonts w:hint="eastAsia" w:eastAsia="仿宋"/>
          <w:color w:val="auto"/>
          <w:szCs w:val="32"/>
          <w:highlight w:val="none"/>
          <w:lang w:val="zh-CN"/>
        </w:rPr>
      </w:pPr>
      <w:r>
        <w:rPr>
          <w:rFonts w:hint="eastAsia" w:ascii="仿宋" w:hAnsi="仿宋" w:eastAsia="仿宋" w:cs="仿宋"/>
          <w:color w:val="auto"/>
          <w:szCs w:val="32"/>
          <w:highlight w:val="none"/>
        </w:rPr>
        <w:t>仁和</w:t>
      </w:r>
      <w:r>
        <w:rPr>
          <w:rFonts w:hint="eastAsia" w:eastAsia="仿宋"/>
          <w:color w:val="auto"/>
          <w:szCs w:val="32"/>
          <w:highlight w:val="none"/>
          <w:lang w:val="zh-CN"/>
        </w:rPr>
        <w:t>区林业局内设综合股、业务股、党总支部3个股室。下设森林病虫害防治检疫站、林业服务中心</w:t>
      </w:r>
      <w:r>
        <w:rPr>
          <w:rFonts w:hint="eastAsia" w:eastAsia="仿宋"/>
          <w:color w:val="auto"/>
          <w:szCs w:val="32"/>
          <w:highlight w:val="none"/>
        </w:rPr>
        <w:t>2个</w:t>
      </w:r>
      <w:r>
        <w:rPr>
          <w:rFonts w:hint="eastAsia" w:eastAsia="仿宋"/>
          <w:color w:val="auto"/>
          <w:szCs w:val="32"/>
          <w:highlight w:val="none"/>
          <w:lang w:val="zh-CN"/>
        </w:rPr>
        <w:t>非独立核算</w:t>
      </w:r>
      <w:r>
        <w:rPr>
          <w:rFonts w:hint="eastAsia" w:eastAsia="仿宋"/>
          <w:color w:val="auto"/>
          <w:szCs w:val="32"/>
          <w:highlight w:val="none"/>
        </w:rPr>
        <w:t>二级部门</w:t>
      </w:r>
      <w:r>
        <w:rPr>
          <w:rFonts w:hint="eastAsia" w:eastAsia="仿宋"/>
          <w:color w:val="auto"/>
          <w:szCs w:val="32"/>
          <w:highlight w:val="none"/>
          <w:lang w:val="zh-CN"/>
        </w:rPr>
        <w:t>。</w:t>
      </w:r>
      <w:bookmarkStart w:id="42" w:name="_Toc26620"/>
    </w:p>
    <w:p>
      <w:pPr>
        <w:spacing w:line="600" w:lineRule="exact"/>
        <w:ind w:firstLine="643" w:firstLineChars="200"/>
        <w:rPr>
          <w:rFonts w:hint="eastAsia" w:ascii="楷体" w:hAnsi="楷体" w:eastAsia="楷体" w:cs="楷体"/>
          <w:b/>
          <w:color w:val="auto"/>
          <w:szCs w:val="32"/>
          <w:highlight w:val="none"/>
        </w:rPr>
      </w:pPr>
      <w:bookmarkStart w:id="43" w:name="_Toc24006"/>
      <w:bookmarkStart w:id="44" w:name="_Toc27931"/>
      <w:bookmarkStart w:id="45" w:name="_Toc15173"/>
      <w:r>
        <w:rPr>
          <w:rFonts w:hint="eastAsia" w:ascii="楷体" w:hAnsi="楷体" w:eastAsia="楷体" w:cs="楷体"/>
          <w:b/>
          <w:color w:val="auto"/>
          <w:szCs w:val="32"/>
          <w:highlight w:val="none"/>
        </w:rPr>
        <w:t>（二）机构职能</w:t>
      </w:r>
      <w:bookmarkEnd w:id="42"/>
      <w:bookmarkEnd w:id="43"/>
      <w:bookmarkEnd w:id="44"/>
      <w:bookmarkEnd w:id="45"/>
    </w:p>
    <w:p>
      <w:pPr>
        <w:spacing w:line="600" w:lineRule="exact"/>
        <w:ind w:firstLine="640" w:firstLineChars="200"/>
        <w:rPr>
          <w:rFonts w:hint="eastAsia" w:eastAsia="仿宋"/>
          <w:color w:val="auto"/>
          <w:szCs w:val="32"/>
          <w:highlight w:val="none"/>
          <w:lang w:val="zh-CN"/>
        </w:rPr>
      </w:pPr>
      <w:r>
        <w:rPr>
          <w:rFonts w:hint="eastAsia" w:eastAsia="仿宋"/>
          <w:color w:val="auto"/>
          <w:szCs w:val="32"/>
          <w:highlight w:val="none"/>
          <w:lang w:val="zh-CN"/>
        </w:rPr>
        <w:t>1.负责全区林业及其生态保护修复的监督管理</w:t>
      </w:r>
      <w:r>
        <w:rPr>
          <w:rFonts w:hint="eastAsia" w:eastAsia="仿宋"/>
          <w:color w:val="auto"/>
          <w:szCs w:val="32"/>
          <w:highlight w:val="none"/>
          <w:lang w:val="zh-CN" w:eastAsia="zh-CN"/>
        </w:rPr>
        <w:t>。</w:t>
      </w:r>
      <w:r>
        <w:rPr>
          <w:rFonts w:hint="eastAsia" w:eastAsia="仿宋"/>
          <w:color w:val="auto"/>
          <w:szCs w:val="32"/>
          <w:highlight w:val="none"/>
          <w:lang w:val="zh-CN"/>
        </w:rPr>
        <w:t xml:space="preserve">贯彻执行国家、省、市有关林业的方针政策和法律法规，拟订全区林业及其生态保护修复的相关措施、规划，并组织实施，监督检查规划实施完成情况。组织开展全区森林、 湿地、荒漠和陆生野生动植物资源动态监测与评估，推进全区林业数字化建设。 </w:t>
      </w:r>
    </w:p>
    <w:p>
      <w:pPr>
        <w:spacing w:line="600" w:lineRule="exact"/>
        <w:ind w:firstLine="640" w:firstLineChars="200"/>
        <w:rPr>
          <w:rFonts w:hint="eastAsia" w:eastAsia="仿宋"/>
          <w:color w:val="auto"/>
          <w:szCs w:val="32"/>
          <w:highlight w:val="none"/>
          <w:lang w:val="zh-CN"/>
        </w:rPr>
      </w:pPr>
      <w:r>
        <w:rPr>
          <w:rFonts w:hint="eastAsia" w:eastAsia="仿宋"/>
          <w:color w:val="auto"/>
          <w:szCs w:val="32"/>
          <w:highlight w:val="none"/>
          <w:lang w:val="zh-CN"/>
        </w:rPr>
        <w:t>2.负责全区林业生态保护修复和造林绿化工作。 组织实施林业重点生态保护修复工程，指导公益林和商品林的培育，组织、指导、监督全民义务植树、城乡绿化工作。组织开展全区市区视野区荒山造林绿化工作。承担林业有害生物防治、检疫工作，承担林业应对气候变化的相关工作。</w:t>
      </w:r>
    </w:p>
    <w:p>
      <w:pPr>
        <w:spacing w:line="600" w:lineRule="exact"/>
        <w:ind w:firstLine="640" w:firstLineChars="200"/>
        <w:rPr>
          <w:rFonts w:hint="eastAsia" w:eastAsia="仿宋"/>
          <w:color w:val="auto"/>
          <w:szCs w:val="32"/>
          <w:highlight w:val="none"/>
          <w:lang w:val="zh-CN"/>
        </w:rPr>
      </w:pPr>
      <w:r>
        <w:rPr>
          <w:rFonts w:hint="eastAsia" w:eastAsia="仿宋"/>
          <w:color w:val="auto"/>
          <w:szCs w:val="32"/>
          <w:highlight w:val="none"/>
          <w:lang w:val="zh-CN"/>
        </w:rPr>
        <w:t xml:space="preserve">3.负责全区森林、湿地资源的监督管理。组织编制并监督执行全区森林采伐限额，监督指导限额采伐制度的执行和林木的凭证采伐、运输，监督木材的经营加工。负责林地管理，拟订林地保护利用规划并组织实施，组织实施公益林划定和管理工作，管理国有森林资源。负责湿地生态保护修复工作，拟订全区湿地保护规划，监督管理湿地的开发利用。 </w:t>
      </w:r>
    </w:p>
    <w:p>
      <w:pPr>
        <w:spacing w:line="600" w:lineRule="exact"/>
        <w:ind w:firstLine="640" w:firstLineChars="200"/>
        <w:rPr>
          <w:rFonts w:hint="eastAsia" w:eastAsia="仿宋"/>
          <w:color w:val="auto"/>
          <w:szCs w:val="32"/>
          <w:highlight w:val="none"/>
          <w:lang w:val="zh-CN"/>
        </w:rPr>
      </w:pPr>
      <w:r>
        <w:rPr>
          <w:rFonts w:hint="eastAsia" w:eastAsia="仿宋"/>
          <w:color w:val="auto"/>
          <w:szCs w:val="32"/>
          <w:highlight w:val="none"/>
          <w:lang w:val="zh-CN"/>
        </w:rPr>
        <w:t>4.负责全区荒漠化防治工作的监督管理。组织开展全区石漠化、沙化土地调查，贯彻执行国家、省、市有关防沙治沙、石漠化防治及沙化土地封禁保护区建设规划及其标准和规定，监督管理沙化土地的合理开发利用，组织沙尘暴灾害预测预报和应急处置。</w:t>
      </w:r>
    </w:p>
    <w:p>
      <w:pPr>
        <w:spacing w:line="600" w:lineRule="exact"/>
        <w:ind w:firstLine="640" w:firstLineChars="200"/>
        <w:rPr>
          <w:rFonts w:hint="eastAsia" w:eastAsia="仿宋"/>
          <w:color w:val="auto"/>
          <w:szCs w:val="32"/>
          <w:highlight w:val="none"/>
          <w:lang w:val="zh-CN"/>
        </w:rPr>
      </w:pPr>
      <w:r>
        <w:rPr>
          <w:rFonts w:hint="eastAsia" w:eastAsia="仿宋"/>
          <w:color w:val="auto"/>
          <w:szCs w:val="32"/>
          <w:highlight w:val="none"/>
          <w:lang w:val="zh-CN"/>
        </w:rPr>
        <w:t>5.负责全区陆生野生动植物资源的监督管理。贯彻执行国家、省、市关于陆生野生动植物保护管理的有关政策、法规；组织开展陆生野生动植物资源调查，依法组织指导陆生野生动植物的救护繁育、栖息地恢复发展、疫源疫病监测，监督管理全区陆生野生动植物猎捕或采集、驯养繁殖或培植、经营利用。</w:t>
      </w:r>
    </w:p>
    <w:p>
      <w:pPr>
        <w:spacing w:line="600" w:lineRule="exact"/>
        <w:ind w:firstLine="640" w:firstLineChars="200"/>
        <w:rPr>
          <w:rFonts w:hint="eastAsia" w:eastAsia="仿宋"/>
          <w:color w:val="auto"/>
          <w:szCs w:val="32"/>
          <w:highlight w:val="none"/>
          <w:lang w:val="zh-CN"/>
        </w:rPr>
      </w:pPr>
      <w:r>
        <w:rPr>
          <w:rFonts w:hint="eastAsia" w:eastAsia="仿宋"/>
          <w:color w:val="auto"/>
          <w:szCs w:val="32"/>
          <w:highlight w:val="none"/>
          <w:lang w:val="zh-CN"/>
        </w:rPr>
        <w:t>6.负责全区各类自然保护地的监督管理。贯彻执行国家、省、市自然保护地建设规划及其标准和规定，拟订各类自然保护地规划。负责国家公园申报设立、规划、建设和特许经营等工作，负责区政府直接行使和代理行使全民所有权的国家公园等自然保护地的自然资源资产管理和国土空间用途管制。提出新建、调整各类自然保护地的审核建议并按程序报批，组织审核世界自然遗产的申报， 会同有关部门审核自然与文化双重遗产的申报，依法指导全区各类自然保护地的建设管理和开发利用。负责生物多样性保护相关工作。</w:t>
      </w:r>
    </w:p>
    <w:p>
      <w:pPr>
        <w:spacing w:line="600" w:lineRule="exact"/>
        <w:ind w:firstLine="640" w:firstLineChars="200"/>
        <w:rPr>
          <w:rFonts w:hint="eastAsia" w:eastAsia="仿宋"/>
          <w:color w:val="auto"/>
          <w:szCs w:val="32"/>
          <w:highlight w:val="none"/>
          <w:lang w:val="zh-CN"/>
        </w:rPr>
      </w:pPr>
      <w:r>
        <w:rPr>
          <w:rFonts w:hint="eastAsia" w:eastAsia="仿宋"/>
          <w:color w:val="auto"/>
          <w:szCs w:val="32"/>
          <w:highlight w:val="none"/>
          <w:lang w:val="zh-CN"/>
        </w:rPr>
        <w:t>7.负责推进全区林业改革相关工作。贯彻执行国家、省、市有关集体林权制度、国有林区等重大林业改革意见和政策，拟订全区集体林权制度改革和国有林区改革相关政策措施并组织实施。贯彻落实农村林业发展、维护林业经营者合法权益的相关政策措施。指导、监督农村林地承包经营工作。开展退耕还林还草，负责天然林保护工作。</w:t>
      </w:r>
    </w:p>
    <w:p>
      <w:pPr>
        <w:spacing w:line="600" w:lineRule="exact"/>
        <w:ind w:firstLine="640" w:firstLineChars="200"/>
        <w:rPr>
          <w:rFonts w:hint="eastAsia" w:eastAsia="仿宋"/>
          <w:color w:val="auto"/>
          <w:szCs w:val="32"/>
          <w:highlight w:val="none"/>
          <w:lang w:val="zh-CN"/>
        </w:rPr>
      </w:pPr>
      <w:r>
        <w:rPr>
          <w:rFonts w:hint="eastAsia" w:eastAsia="仿宋"/>
          <w:color w:val="auto"/>
          <w:szCs w:val="32"/>
          <w:highlight w:val="none"/>
          <w:lang w:val="zh-CN"/>
        </w:rPr>
        <w:t xml:space="preserve">8.贯彻执行国家、省、市有关林业资源优化配置及木材利用政策，拟订全区林业产业发展规划并监督实施， 组织、指导林产品质量监督，指导生态扶贫相关工作。指导林业现代园区建设，发展花卉、特色经济林、森林林下经济、森林康养和生态旅游产业。推进林业绿色产业发展。 </w:t>
      </w:r>
    </w:p>
    <w:p>
      <w:pPr>
        <w:spacing w:line="600" w:lineRule="exact"/>
        <w:ind w:firstLine="640" w:firstLineChars="200"/>
        <w:rPr>
          <w:rFonts w:hint="eastAsia" w:eastAsia="仿宋"/>
          <w:color w:val="auto"/>
          <w:szCs w:val="32"/>
          <w:highlight w:val="none"/>
          <w:lang w:val="zh-CN"/>
        </w:rPr>
      </w:pPr>
      <w:r>
        <w:rPr>
          <w:rFonts w:hint="eastAsia" w:eastAsia="仿宋"/>
          <w:color w:val="auto"/>
          <w:szCs w:val="32"/>
          <w:highlight w:val="none"/>
          <w:lang w:val="zh-CN"/>
        </w:rPr>
        <w:t>9.组织开展林木种质、草种种质资源普查，组织建立种质资源库，负责良种选育推广，管理林木种苗、草种生产经营行为，监管林木种苗、草种质量。监督管理林业生物种质资源、转基因生物安全、植物新品种保护。</w:t>
      </w:r>
    </w:p>
    <w:p>
      <w:pPr>
        <w:spacing w:line="600" w:lineRule="exact"/>
        <w:ind w:firstLine="640" w:firstLineChars="200"/>
        <w:rPr>
          <w:rFonts w:hint="eastAsia" w:eastAsia="仿宋"/>
          <w:color w:val="auto"/>
          <w:szCs w:val="32"/>
          <w:highlight w:val="none"/>
          <w:lang w:val="zh-CN"/>
        </w:rPr>
      </w:pPr>
      <w:r>
        <w:rPr>
          <w:rFonts w:hint="eastAsia" w:eastAsia="仿宋"/>
          <w:color w:val="auto"/>
          <w:szCs w:val="32"/>
          <w:highlight w:val="none"/>
          <w:lang w:val="zh-CN"/>
        </w:rPr>
        <w:t>10.负责落实全区综合防灾减灾规划相关要求，组织编制森林火灾防治规划并指导实施，组织、指导开展防火巡护、火源管理、防火设施建设工作。负责森林火情监测预警、火灾预防工作，发送森林火险信息。</w:t>
      </w:r>
    </w:p>
    <w:p>
      <w:pPr>
        <w:spacing w:line="600" w:lineRule="exact"/>
        <w:ind w:firstLine="640" w:firstLineChars="200"/>
        <w:rPr>
          <w:rFonts w:hint="eastAsia" w:eastAsia="仿宋"/>
          <w:color w:val="auto"/>
          <w:szCs w:val="32"/>
          <w:highlight w:val="none"/>
          <w:lang w:val="zh-CN"/>
        </w:rPr>
      </w:pPr>
      <w:r>
        <w:rPr>
          <w:rFonts w:hint="eastAsia" w:eastAsia="仿宋"/>
          <w:color w:val="auto"/>
          <w:szCs w:val="32"/>
          <w:highlight w:val="none"/>
          <w:lang w:val="zh-CN"/>
        </w:rPr>
        <w:t>11.监督管理全区林业区级以上资金和国有资产，提出林业预算内投资、区级以上财政性资金安排建议，按区政府规定权限，核报、核准规划内和年度计划内投资项目。参与拟订全区林业经济调节政策，组织实施林业生态补偿工作。</w:t>
      </w:r>
    </w:p>
    <w:p>
      <w:pPr>
        <w:spacing w:line="600" w:lineRule="exact"/>
        <w:ind w:firstLine="640" w:firstLineChars="200"/>
        <w:rPr>
          <w:rFonts w:hint="eastAsia" w:eastAsia="仿宋"/>
          <w:color w:val="auto"/>
          <w:szCs w:val="32"/>
          <w:highlight w:val="none"/>
          <w:lang w:val="zh-CN"/>
        </w:rPr>
      </w:pPr>
      <w:r>
        <w:rPr>
          <w:rFonts w:hint="eastAsia" w:eastAsia="仿宋"/>
          <w:color w:val="auto"/>
          <w:szCs w:val="32"/>
          <w:highlight w:val="none"/>
          <w:lang w:val="zh-CN"/>
        </w:rPr>
        <w:t>12.负责林业科技、教育和对外交流工作，负责全区林业人才队伍的管理。</w:t>
      </w:r>
    </w:p>
    <w:p>
      <w:pPr>
        <w:spacing w:line="600" w:lineRule="exact"/>
        <w:ind w:firstLine="640" w:firstLineChars="200"/>
        <w:rPr>
          <w:rFonts w:hint="eastAsia" w:eastAsia="仿宋"/>
          <w:color w:val="auto"/>
          <w:szCs w:val="32"/>
          <w:highlight w:val="none"/>
          <w:lang w:val="zh-CN"/>
        </w:rPr>
      </w:pPr>
      <w:r>
        <w:rPr>
          <w:rFonts w:hint="eastAsia" w:eastAsia="仿宋"/>
          <w:color w:val="auto"/>
          <w:szCs w:val="32"/>
          <w:highlight w:val="none"/>
          <w:lang w:val="zh-CN"/>
        </w:rPr>
        <w:t>13.承担职责范围内的安全生产和职业健康、生态环境保护、审批服务便民化等工作。按省市要求，指导推进相对集中行政许可权改革。</w:t>
      </w:r>
    </w:p>
    <w:p>
      <w:pPr>
        <w:spacing w:line="600" w:lineRule="exact"/>
        <w:ind w:firstLine="640" w:firstLineChars="200"/>
        <w:rPr>
          <w:rFonts w:hint="eastAsia" w:eastAsia="仿宋"/>
          <w:color w:val="auto"/>
          <w:szCs w:val="32"/>
          <w:highlight w:val="none"/>
          <w:lang w:val="zh-CN"/>
        </w:rPr>
      </w:pPr>
      <w:r>
        <w:rPr>
          <w:rFonts w:hint="eastAsia" w:eastAsia="仿宋"/>
          <w:color w:val="auto"/>
          <w:szCs w:val="32"/>
          <w:highlight w:val="none"/>
          <w:lang w:val="zh-CN"/>
        </w:rPr>
        <w:t xml:space="preserve">14.负责全区林业违法案件的查处和相关行政执法监管工作。 </w:t>
      </w:r>
    </w:p>
    <w:p>
      <w:pPr>
        <w:spacing w:line="600" w:lineRule="exact"/>
        <w:ind w:firstLine="640" w:firstLineChars="200"/>
        <w:rPr>
          <w:rFonts w:hint="eastAsia" w:eastAsia="仿宋"/>
          <w:color w:val="auto"/>
          <w:szCs w:val="32"/>
          <w:highlight w:val="none"/>
          <w:lang w:val="zh-CN"/>
        </w:rPr>
      </w:pPr>
      <w:r>
        <w:rPr>
          <w:rFonts w:hint="eastAsia" w:eastAsia="仿宋"/>
          <w:color w:val="auto"/>
          <w:szCs w:val="32"/>
          <w:highlight w:val="none"/>
          <w:lang w:val="en-US" w:eastAsia="zh-CN"/>
        </w:rPr>
        <w:t>15</w:t>
      </w:r>
      <w:r>
        <w:rPr>
          <w:rFonts w:hint="eastAsia" w:eastAsia="仿宋"/>
          <w:color w:val="auto"/>
          <w:szCs w:val="32"/>
          <w:highlight w:val="none"/>
          <w:lang w:val="zh-CN"/>
        </w:rPr>
        <w:t xml:space="preserve">.承担全区森林、水资源调查和确权登记管理相应职责。 </w:t>
      </w:r>
    </w:p>
    <w:p>
      <w:pPr>
        <w:spacing w:line="600" w:lineRule="exact"/>
        <w:ind w:firstLine="640" w:firstLineChars="200"/>
        <w:rPr>
          <w:rFonts w:hint="eastAsia" w:eastAsia="仿宋"/>
          <w:color w:val="auto"/>
          <w:szCs w:val="32"/>
          <w:highlight w:val="none"/>
          <w:lang w:val="zh-CN"/>
        </w:rPr>
      </w:pPr>
      <w:r>
        <w:rPr>
          <w:rFonts w:hint="eastAsia" w:eastAsia="仿宋"/>
          <w:color w:val="auto"/>
          <w:szCs w:val="32"/>
          <w:highlight w:val="none"/>
          <w:lang w:val="en-US" w:eastAsia="zh-CN"/>
        </w:rPr>
        <w:t>16</w:t>
      </w:r>
      <w:r>
        <w:rPr>
          <w:rFonts w:hint="eastAsia" w:eastAsia="仿宋"/>
          <w:color w:val="auto"/>
          <w:szCs w:val="32"/>
          <w:highlight w:val="none"/>
          <w:lang w:val="zh-CN"/>
        </w:rPr>
        <w:t>.完成区委、区政府交办的其他任务。</w:t>
      </w:r>
    </w:p>
    <w:p>
      <w:pPr>
        <w:spacing w:line="600" w:lineRule="exact"/>
        <w:ind w:firstLine="643" w:firstLineChars="200"/>
        <w:rPr>
          <w:rFonts w:hint="eastAsia" w:ascii="楷体" w:hAnsi="楷体" w:eastAsia="楷体"/>
          <w:b/>
          <w:color w:val="auto"/>
          <w:szCs w:val="32"/>
          <w:highlight w:val="none"/>
          <w:lang w:val="zh-CN"/>
        </w:rPr>
      </w:pPr>
      <w:bookmarkStart w:id="46" w:name="_Toc19218"/>
      <w:bookmarkStart w:id="47" w:name="_Toc25886"/>
      <w:bookmarkStart w:id="48" w:name="_Toc12884"/>
      <w:r>
        <w:rPr>
          <w:rFonts w:hint="eastAsia" w:ascii="楷体" w:hAnsi="楷体" w:eastAsia="楷体"/>
          <w:b/>
          <w:color w:val="auto"/>
          <w:szCs w:val="32"/>
          <w:highlight w:val="none"/>
          <w:lang w:val="zh-CN"/>
        </w:rPr>
        <w:t>（三）人员概况</w:t>
      </w:r>
      <w:bookmarkEnd w:id="46"/>
      <w:bookmarkEnd w:id="47"/>
      <w:bookmarkEnd w:id="48"/>
    </w:p>
    <w:p>
      <w:pPr>
        <w:spacing w:line="600" w:lineRule="exact"/>
        <w:ind w:firstLine="640" w:firstLineChars="200"/>
        <w:rPr>
          <w:rFonts w:hint="eastAsia" w:ascii="楷体" w:hAnsi="楷体" w:eastAsia="楷体"/>
          <w:b/>
          <w:color w:val="auto"/>
          <w:szCs w:val="32"/>
          <w:highlight w:val="none"/>
          <w:lang w:val="zh-CN"/>
        </w:rPr>
      </w:pPr>
      <w:r>
        <w:rPr>
          <w:rFonts w:hint="eastAsia" w:eastAsia="仿宋"/>
          <w:color w:val="auto"/>
          <w:szCs w:val="32"/>
          <w:highlight w:val="none"/>
          <w:lang w:val="zh-CN"/>
        </w:rPr>
        <w:t>仁和区林业局</w:t>
      </w:r>
      <w:r>
        <w:rPr>
          <w:rFonts w:hint="eastAsia" w:eastAsia="仿宋"/>
          <w:color w:val="auto"/>
          <w:szCs w:val="32"/>
          <w:highlight w:val="none"/>
          <w:lang w:val="en-US" w:eastAsia="zh-CN"/>
        </w:rPr>
        <w:t>2022年末编制人数和实有人数如下表：</w:t>
      </w:r>
    </w:p>
    <w:tbl>
      <w:tblPr>
        <w:tblStyle w:val="14"/>
        <w:tblW w:w="8363" w:type="dxa"/>
        <w:tblInd w:w="250" w:type="dxa"/>
        <w:tblLayout w:type="fixed"/>
        <w:tblCellMar>
          <w:top w:w="0" w:type="dxa"/>
          <w:left w:w="108" w:type="dxa"/>
          <w:bottom w:w="0" w:type="dxa"/>
          <w:right w:w="108" w:type="dxa"/>
        </w:tblCellMar>
      </w:tblPr>
      <w:tblGrid>
        <w:gridCol w:w="3260"/>
        <w:gridCol w:w="2977"/>
        <w:gridCol w:w="2126"/>
      </w:tblGrid>
      <w:tr>
        <w:tblPrEx>
          <w:tblCellMar>
            <w:top w:w="0" w:type="dxa"/>
            <w:left w:w="108" w:type="dxa"/>
            <w:bottom w:w="0" w:type="dxa"/>
            <w:right w:w="108" w:type="dxa"/>
          </w:tblCellMar>
        </w:tblPrEx>
        <w:trPr>
          <w:trHeight w:val="405" w:hRule="atLeast"/>
        </w:trPr>
        <w:tc>
          <w:tcPr>
            <w:tcW w:w="326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仿宋" w:cs="Times New Roman"/>
                <w:i w:val="0"/>
                <w:iCs w:val="0"/>
                <w:color w:val="auto"/>
                <w:kern w:val="0"/>
                <w:sz w:val="24"/>
                <w:szCs w:val="24"/>
                <w:highlight w:val="none"/>
                <w:u w:val="none"/>
                <w:lang w:val="en-US" w:eastAsia="zh-CN" w:bidi="ar"/>
              </w:rPr>
            </w:pPr>
            <w:r>
              <w:rPr>
                <w:rFonts w:hint="eastAsia" w:ascii="Times New Roman" w:hAnsi="Times New Roman" w:eastAsia="仿宋" w:cs="Times New Roman"/>
                <w:i w:val="0"/>
                <w:iCs w:val="0"/>
                <w:color w:val="auto"/>
                <w:kern w:val="0"/>
                <w:sz w:val="24"/>
                <w:szCs w:val="24"/>
                <w:highlight w:val="none"/>
                <w:u w:val="none"/>
                <w:lang w:val="en-US" w:eastAsia="zh-CN" w:bidi="ar"/>
              </w:rPr>
              <w:t>人员编制</w:t>
            </w:r>
          </w:p>
        </w:tc>
        <w:tc>
          <w:tcPr>
            <w:tcW w:w="297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仿宋" w:cs="Times New Roman"/>
                <w:i w:val="0"/>
                <w:iCs w:val="0"/>
                <w:color w:val="auto"/>
                <w:kern w:val="0"/>
                <w:sz w:val="24"/>
                <w:szCs w:val="24"/>
                <w:highlight w:val="none"/>
                <w:u w:val="none"/>
                <w:lang w:val="en-US" w:eastAsia="zh-CN" w:bidi="ar"/>
              </w:rPr>
            </w:pPr>
            <w:r>
              <w:rPr>
                <w:rFonts w:hint="eastAsia" w:ascii="Times New Roman" w:hAnsi="Times New Roman" w:eastAsia="仿宋" w:cs="Times New Roman"/>
                <w:i w:val="0"/>
                <w:iCs w:val="0"/>
                <w:color w:val="auto"/>
                <w:kern w:val="0"/>
                <w:sz w:val="24"/>
                <w:szCs w:val="24"/>
                <w:highlight w:val="none"/>
                <w:u w:val="none"/>
                <w:lang w:val="en-US" w:eastAsia="zh-CN" w:bidi="ar"/>
              </w:rPr>
              <w:t>编制人数</w:t>
            </w:r>
          </w:p>
        </w:tc>
        <w:tc>
          <w:tcPr>
            <w:tcW w:w="2126"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仿宋" w:cs="Times New Roman"/>
                <w:i w:val="0"/>
                <w:iCs w:val="0"/>
                <w:color w:val="auto"/>
                <w:kern w:val="0"/>
                <w:sz w:val="24"/>
                <w:szCs w:val="24"/>
                <w:highlight w:val="none"/>
                <w:u w:val="none"/>
                <w:lang w:val="en-US" w:eastAsia="zh-CN" w:bidi="ar"/>
              </w:rPr>
            </w:pPr>
            <w:r>
              <w:rPr>
                <w:rFonts w:hint="eastAsia" w:ascii="Times New Roman" w:hAnsi="Times New Roman" w:eastAsia="仿宋" w:cs="Times New Roman"/>
                <w:i w:val="0"/>
                <w:iCs w:val="0"/>
                <w:color w:val="auto"/>
                <w:kern w:val="0"/>
                <w:sz w:val="24"/>
                <w:szCs w:val="24"/>
                <w:highlight w:val="none"/>
                <w:u w:val="none"/>
                <w:lang w:val="en-US" w:eastAsia="zh-CN" w:bidi="ar"/>
              </w:rPr>
              <w:t>实有人数</w:t>
            </w:r>
          </w:p>
        </w:tc>
      </w:tr>
      <w:tr>
        <w:tblPrEx>
          <w:tblCellMar>
            <w:top w:w="0" w:type="dxa"/>
            <w:left w:w="108" w:type="dxa"/>
            <w:bottom w:w="0" w:type="dxa"/>
            <w:right w:w="108" w:type="dxa"/>
          </w:tblCellMar>
        </w:tblPrEx>
        <w:trPr>
          <w:trHeight w:val="405" w:hRule="atLeast"/>
        </w:trPr>
        <w:tc>
          <w:tcPr>
            <w:tcW w:w="326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仿宋" w:cs="Times New Roman"/>
                <w:i w:val="0"/>
                <w:iCs w:val="0"/>
                <w:color w:val="auto"/>
                <w:kern w:val="0"/>
                <w:sz w:val="24"/>
                <w:szCs w:val="24"/>
                <w:highlight w:val="none"/>
                <w:u w:val="none"/>
                <w:lang w:val="en-US" w:eastAsia="zh-CN" w:bidi="ar"/>
              </w:rPr>
            </w:pPr>
            <w:r>
              <w:rPr>
                <w:rFonts w:hint="eastAsia" w:ascii="Times New Roman" w:hAnsi="Times New Roman" w:eastAsia="仿宋" w:cs="Times New Roman"/>
                <w:i w:val="0"/>
                <w:iCs w:val="0"/>
                <w:color w:val="auto"/>
                <w:kern w:val="0"/>
                <w:sz w:val="24"/>
                <w:szCs w:val="24"/>
                <w:highlight w:val="none"/>
                <w:u w:val="none"/>
                <w:lang w:val="en-US" w:eastAsia="zh-CN" w:bidi="ar"/>
              </w:rPr>
              <w:t>政府行政机关人员</w:t>
            </w:r>
          </w:p>
        </w:tc>
        <w:tc>
          <w:tcPr>
            <w:tcW w:w="2977"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center"/>
              <w:rPr>
                <w:rFonts w:hint="eastAsia" w:ascii="Times New Roman" w:hAnsi="Times New Roman" w:eastAsia="仿宋" w:cs="Times New Roman"/>
                <w:i w:val="0"/>
                <w:iCs w:val="0"/>
                <w:color w:val="auto"/>
                <w:kern w:val="0"/>
                <w:sz w:val="24"/>
                <w:szCs w:val="24"/>
                <w:highlight w:val="none"/>
                <w:u w:val="none"/>
                <w:lang w:val="en-US" w:eastAsia="zh-CN" w:bidi="ar"/>
              </w:rPr>
            </w:pPr>
            <w:r>
              <w:rPr>
                <w:rFonts w:hint="eastAsia" w:ascii="Times New Roman" w:hAnsi="Times New Roman" w:eastAsia="仿宋" w:cs="Times New Roman"/>
                <w:i w:val="0"/>
                <w:iCs w:val="0"/>
                <w:color w:val="auto"/>
                <w:kern w:val="0"/>
                <w:sz w:val="24"/>
                <w:szCs w:val="24"/>
                <w:highlight w:val="none"/>
                <w:u w:val="none"/>
                <w:lang w:val="en-US" w:eastAsia="zh-CN" w:bidi="ar"/>
              </w:rPr>
              <w:t>13</w:t>
            </w:r>
          </w:p>
        </w:tc>
        <w:tc>
          <w:tcPr>
            <w:tcW w:w="212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仿宋" w:cs="Times New Roman"/>
                <w:i w:val="0"/>
                <w:iCs w:val="0"/>
                <w:color w:val="auto"/>
                <w:kern w:val="0"/>
                <w:sz w:val="24"/>
                <w:szCs w:val="24"/>
                <w:highlight w:val="none"/>
                <w:u w:val="none"/>
                <w:lang w:val="en-US" w:eastAsia="zh-CN" w:bidi="ar"/>
              </w:rPr>
            </w:pPr>
            <w:r>
              <w:rPr>
                <w:rFonts w:hint="eastAsia" w:ascii="Times New Roman" w:hAnsi="Times New Roman" w:eastAsia="仿宋" w:cs="Times New Roman"/>
                <w:i w:val="0"/>
                <w:iCs w:val="0"/>
                <w:color w:val="auto"/>
                <w:kern w:val="0"/>
                <w:sz w:val="24"/>
                <w:szCs w:val="24"/>
                <w:highlight w:val="none"/>
                <w:u w:val="none"/>
                <w:lang w:val="en-US" w:eastAsia="zh-CN" w:bidi="ar"/>
              </w:rPr>
              <w:t>13</w:t>
            </w:r>
          </w:p>
        </w:tc>
      </w:tr>
      <w:tr>
        <w:tblPrEx>
          <w:tblCellMar>
            <w:top w:w="0" w:type="dxa"/>
            <w:left w:w="108" w:type="dxa"/>
            <w:bottom w:w="0" w:type="dxa"/>
            <w:right w:w="108" w:type="dxa"/>
          </w:tblCellMar>
        </w:tblPrEx>
        <w:trPr>
          <w:trHeight w:val="405" w:hRule="atLeast"/>
        </w:trPr>
        <w:tc>
          <w:tcPr>
            <w:tcW w:w="326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 w:cs="Times New Roman"/>
                <w:i w:val="0"/>
                <w:iCs w:val="0"/>
                <w:color w:val="auto"/>
                <w:kern w:val="0"/>
                <w:sz w:val="24"/>
                <w:szCs w:val="24"/>
                <w:highlight w:val="none"/>
                <w:u w:val="none"/>
                <w:lang w:val="en-US" w:eastAsia="zh-CN" w:bidi="ar"/>
              </w:rPr>
            </w:pPr>
            <w:r>
              <w:rPr>
                <w:rFonts w:hint="default" w:ascii="Times New Roman" w:hAnsi="Times New Roman" w:eastAsia="仿宋" w:cs="Times New Roman"/>
                <w:i w:val="0"/>
                <w:iCs w:val="0"/>
                <w:color w:val="auto"/>
                <w:kern w:val="0"/>
                <w:sz w:val="24"/>
                <w:szCs w:val="24"/>
                <w:highlight w:val="none"/>
                <w:u w:val="none"/>
                <w:lang w:val="en-US" w:eastAsia="zh-CN" w:bidi="ar"/>
              </w:rPr>
              <w:t>行政工勤</w:t>
            </w:r>
          </w:p>
        </w:tc>
        <w:tc>
          <w:tcPr>
            <w:tcW w:w="2977"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center"/>
              <w:rPr>
                <w:rFonts w:hint="default" w:ascii="Times New Roman" w:hAnsi="Times New Roman" w:eastAsia="仿宋" w:cs="Times New Roman"/>
                <w:i w:val="0"/>
                <w:iCs w:val="0"/>
                <w:color w:val="auto"/>
                <w:kern w:val="0"/>
                <w:sz w:val="24"/>
                <w:szCs w:val="24"/>
                <w:highlight w:val="none"/>
                <w:u w:val="none"/>
                <w:lang w:val="en-US" w:eastAsia="zh-CN" w:bidi="ar"/>
              </w:rPr>
            </w:pPr>
            <w:r>
              <w:rPr>
                <w:rFonts w:hint="default" w:ascii="Times New Roman" w:hAnsi="Times New Roman" w:eastAsia="仿宋" w:cs="Times New Roman"/>
                <w:i w:val="0"/>
                <w:iCs w:val="0"/>
                <w:color w:val="auto"/>
                <w:kern w:val="0"/>
                <w:sz w:val="24"/>
                <w:szCs w:val="24"/>
                <w:highlight w:val="none"/>
                <w:u w:val="none"/>
                <w:lang w:val="en-US" w:eastAsia="zh-CN" w:bidi="ar"/>
              </w:rPr>
              <w:t>3</w:t>
            </w:r>
          </w:p>
        </w:tc>
        <w:tc>
          <w:tcPr>
            <w:tcW w:w="212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仿宋" w:cs="Times New Roman"/>
                <w:i w:val="0"/>
                <w:iCs w:val="0"/>
                <w:color w:val="auto"/>
                <w:kern w:val="0"/>
                <w:sz w:val="24"/>
                <w:szCs w:val="24"/>
                <w:highlight w:val="none"/>
                <w:u w:val="none"/>
                <w:lang w:val="en-US" w:eastAsia="zh-CN" w:bidi="ar"/>
              </w:rPr>
            </w:pPr>
            <w:r>
              <w:rPr>
                <w:rFonts w:hint="eastAsia" w:ascii="Times New Roman" w:hAnsi="Times New Roman" w:eastAsia="仿宋" w:cs="Times New Roman"/>
                <w:i w:val="0"/>
                <w:iCs w:val="0"/>
                <w:color w:val="auto"/>
                <w:kern w:val="0"/>
                <w:sz w:val="24"/>
                <w:szCs w:val="24"/>
                <w:highlight w:val="none"/>
                <w:u w:val="none"/>
                <w:lang w:val="en-US" w:eastAsia="zh-CN" w:bidi="ar"/>
              </w:rPr>
              <w:t>3</w:t>
            </w:r>
          </w:p>
        </w:tc>
      </w:tr>
      <w:tr>
        <w:tblPrEx>
          <w:tblCellMar>
            <w:top w:w="0" w:type="dxa"/>
            <w:left w:w="108" w:type="dxa"/>
            <w:bottom w:w="0" w:type="dxa"/>
            <w:right w:w="108" w:type="dxa"/>
          </w:tblCellMar>
        </w:tblPrEx>
        <w:trPr>
          <w:trHeight w:val="405" w:hRule="atLeast"/>
        </w:trPr>
        <w:tc>
          <w:tcPr>
            <w:tcW w:w="326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 w:cs="Times New Roman"/>
                <w:i w:val="0"/>
                <w:iCs w:val="0"/>
                <w:color w:val="auto"/>
                <w:kern w:val="0"/>
                <w:sz w:val="24"/>
                <w:szCs w:val="24"/>
                <w:highlight w:val="none"/>
                <w:u w:val="none"/>
                <w:lang w:val="en-US" w:eastAsia="zh-CN" w:bidi="ar"/>
              </w:rPr>
            </w:pPr>
            <w:r>
              <w:rPr>
                <w:rFonts w:hint="default" w:ascii="Times New Roman" w:hAnsi="Times New Roman" w:eastAsia="仿宋" w:cs="Times New Roman"/>
                <w:i w:val="0"/>
                <w:iCs w:val="0"/>
                <w:color w:val="auto"/>
                <w:kern w:val="0"/>
                <w:sz w:val="24"/>
                <w:szCs w:val="24"/>
                <w:highlight w:val="none"/>
                <w:u w:val="none"/>
                <w:lang w:val="en-US" w:eastAsia="zh-CN" w:bidi="ar"/>
              </w:rPr>
              <w:t>事业编制</w:t>
            </w:r>
          </w:p>
        </w:tc>
        <w:tc>
          <w:tcPr>
            <w:tcW w:w="2977"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center"/>
              <w:rPr>
                <w:rFonts w:hint="default" w:ascii="Times New Roman" w:hAnsi="Times New Roman" w:eastAsia="仿宋" w:cs="Times New Roman"/>
                <w:i w:val="0"/>
                <w:iCs w:val="0"/>
                <w:color w:val="auto"/>
                <w:kern w:val="0"/>
                <w:sz w:val="24"/>
                <w:szCs w:val="24"/>
                <w:highlight w:val="none"/>
                <w:u w:val="none"/>
                <w:lang w:val="en-US" w:eastAsia="zh-CN" w:bidi="ar"/>
              </w:rPr>
            </w:pPr>
            <w:r>
              <w:rPr>
                <w:rFonts w:hint="default" w:ascii="Times New Roman" w:hAnsi="Times New Roman" w:eastAsia="仿宋" w:cs="Times New Roman"/>
                <w:i w:val="0"/>
                <w:iCs w:val="0"/>
                <w:color w:val="auto"/>
                <w:kern w:val="0"/>
                <w:sz w:val="24"/>
                <w:szCs w:val="24"/>
                <w:highlight w:val="none"/>
                <w:u w:val="none"/>
                <w:lang w:val="en-US" w:eastAsia="zh-CN" w:bidi="ar"/>
              </w:rPr>
              <w:t>15</w:t>
            </w:r>
          </w:p>
        </w:tc>
        <w:tc>
          <w:tcPr>
            <w:tcW w:w="212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仿宋" w:cs="Times New Roman"/>
                <w:i w:val="0"/>
                <w:iCs w:val="0"/>
                <w:color w:val="auto"/>
                <w:kern w:val="0"/>
                <w:sz w:val="24"/>
                <w:szCs w:val="24"/>
                <w:highlight w:val="none"/>
                <w:u w:val="none"/>
                <w:lang w:val="en-US" w:eastAsia="zh-CN" w:bidi="ar"/>
              </w:rPr>
            </w:pPr>
            <w:r>
              <w:rPr>
                <w:rFonts w:hint="eastAsia" w:ascii="Times New Roman" w:hAnsi="Times New Roman" w:eastAsia="仿宋" w:cs="Times New Roman"/>
                <w:i w:val="0"/>
                <w:iCs w:val="0"/>
                <w:color w:val="auto"/>
                <w:kern w:val="0"/>
                <w:sz w:val="24"/>
                <w:szCs w:val="24"/>
                <w:highlight w:val="none"/>
                <w:u w:val="none"/>
                <w:lang w:val="en-US" w:eastAsia="zh-CN" w:bidi="ar"/>
              </w:rPr>
              <w:t>15</w:t>
            </w:r>
          </w:p>
        </w:tc>
      </w:tr>
      <w:tr>
        <w:tblPrEx>
          <w:tblCellMar>
            <w:top w:w="0" w:type="dxa"/>
            <w:left w:w="108" w:type="dxa"/>
            <w:bottom w:w="0" w:type="dxa"/>
            <w:right w:w="108" w:type="dxa"/>
          </w:tblCellMar>
        </w:tblPrEx>
        <w:trPr>
          <w:trHeight w:val="405" w:hRule="atLeast"/>
        </w:trPr>
        <w:tc>
          <w:tcPr>
            <w:tcW w:w="326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仿宋" w:cs="Times New Roman"/>
                <w:i w:val="0"/>
                <w:iCs w:val="0"/>
                <w:color w:val="auto"/>
                <w:kern w:val="0"/>
                <w:sz w:val="24"/>
                <w:szCs w:val="24"/>
                <w:highlight w:val="none"/>
                <w:u w:val="none"/>
                <w:lang w:val="en-US" w:eastAsia="zh-CN" w:bidi="ar"/>
              </w:rPr>
            </w:pPr>
            <w:r>
              <w:rPr>
                <w:rFonts w:hint="eastAsia" w:ascii="Times New Roman" w:hAnsi="Times New Roman" w:eastAsia="仿宋" w:cs="Times New Roman"/>
                <w:i w:val="0"/>
                <w:iCs w:val="0"/>
                <w:color w:val="auto"/>
                <w:kern w:val="0"/>
                <w:sz w:val="24"/>
                <w:szCs w:val="24"/>
                <w:highlight w:val="none"/>
                <w:u w:val="none"/>
                <w:lang w:val="en-US" w:eastAsia="zh-CN" w:bidi="ar"/>
              </w:rPr>
              <w:t>合  计</w:t>
            </w:r>
          </w:p>
        </w:tc>
        <w:tc>
          <w:tcPr>
            <w:tcW w:w="2977"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center"/>
              <w:rPr>
                <w:rFonts w:hint="eastAsia" w:ascii="Times New Roman" w:hAnsi="Times New Roman" w:eastAsia="仿宋" w:cs="Times New Roman"/>
                <w:i w:val="0"/>
                <w:iCs w:val="0"/>
                <w:color w:val="auto"/>
                <w:kern w:val="0"/>
                <w:sz w:val="24"/>
                <w:szCs w:val="24"/>
                <w:highlight w:val="none"/>
                <w:u w:val="none"/>
                <w:lang w:val="en-US" w:eastAsia="zh-CN" w:bidi="ar"/>
              </w:rPr>
            </w:pPr>
            <w:r>
              <w:rPr>
                <w:rFonts w:hint="eastAsia" w:ascii="Times New Roman" w:hAnsi="Times New Roman" w:eastAsia="仿宋" w:cs="Times New Roman"/>
                <w:i w:val="0"/>
                <w:iCs w:val="0"/>
                <w:color w:val="auto"/>
                <w:kern w:val="0"/>
                <w:sz w:val="24"/>
                <w:szCs w:val="24"/>
                <w:highlight w:val="none"/>
                <w:u w:val="none"/>
                <w:lang w:val="en-US" w:eastAsia="zh-CN" w:bidi="ar"/>
              </w:rPr>
              <w:t>31</w:t>
            </w:r>
          </w:p>
        </w:tc>
        <w:tc>
          <w:tcPr>
            <w:tcW w:w="212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仿宋" w:cs="Times New Roman"/>
                <w:i w:val="0"/>
                <w:iCs w:val="0"/>
                <w:color w:val="auto"/>
                <w:kern w:val="0"/>
                <w:sz w:val="24"/>
                <w:szCs w:val="24"/>
                <w:highlight w:val="none"/>
                <w:u w:val="none"/>
                <w:lang w:val="en-US" w:eastAsia="zh-CN" w:bidi="ar"/>
              </w:rPr>
            </w:pPr>
            <w:r>
              <w:rPr>
                <w:rFonts w:hint="eastAsia" w:ascii="Times New Roman" w:hAnsi="Times New Roman" w:eastAsia="仿宋" w:cs="Times New Roman"/>
                <w:i w:val="0"/>
                <w:iCs w:val="0"/>
                <w:color w:val="auto"/>
                <w:kern w:val="0"/>
                <w:sz w:val="24"/>
                <w:szCs w:val="24"/>
                <w:highlight w:val="none"/>
                <w:u w:val="none"/>
                <w:lang w:val="en-US" w:eastAsia="zh-CN" w:bidi="ar"/>
              </w:rPr>
              <w:t>31</w:t>
            </w:r>
          </w:p>
        </w:tc>
      </w:tr>
    </w:tbl>
    <w:p>
      <w:pPr>
        <w:keepNext w:val="0"/>
        <w:keepLines w:val="0"/>
        <w:pageBreakBefore w:val="0"/>
        <w:kinsoku/>
        <w:wordWrap/>
        <w:overflowPunct/>
        <w:topLinePunct w:val="0"/>
        <w:autoSpaceDE/>
        <w:autoSpaceDN/>
        <w:bidi w:val="0"/>
        <w:spacing w:line="600" w:lineRule="exact"/>
        <w:ind w:left="0" w:leftChars="0" w:firstLine="640" w:firstLineChars="200"/>
        <w:textAlignment w:val="auto"/>
        <w:outlineLvl w:val="0"/>
        <w:rPr>
          <w:rFonts w:hint="eastAsia" w:ascii="黑体" w:hAnsi="黑体" w:eastAsia="黑体" w:cs="黑体"/>
          <w:color w:val="auto"/>
          <w:szCs w:val="32"/>
          <w:highlight w:val="none"/>
        </w:rPr>
      </w:pPr>
      <w:bookmarkStart w:id="49" w:name="_Toc2855"/>
      <w:bookmarkStart w:id="50" w:name="_Toc19"/>
      <w:bookmarkStart w:id="51" w:name="_Toc26818"/>
      <w:bookmarkStart w:id="52" w:name="_Toc16675"/>
      <w:bookmarkStart w:id="53" w:name="_Toc31890"/>
      <w:r>
        <w:rPr>
          <w:rFonts w:hint="eastAsia" w:ascii="黑体" w:hAnsi="黑体" w:eastAsia="黑体" w:cs="黑体"/>
          <w:color w:val="auto"/>
          <w:szCs w:val="32"/>
          <w:highlight w:val="none"/>
          <w:lang w:val="zh-CN"/>
        </w:rPr>
        <w:t>二、</w:t>
      </w:r>
      <w:r>
        <w:rPr>
          <w:rFonts w:hint="eastAsia" w:ascii="黑体" w:hAnsi="黑体" w:eastAsia="黑体" w:cs="黑体"/>
          <w:color w:val="auto"/>
          <w:szCs w:val="32"/>
          <w:highlight w:val="none"/>
        </w:rPr>
        <w:t>绩效评价工作情况</w:t>
      </w:r>
      <w:bookmarkEnd w:id="49"/>
      <w:bookmarkEnd w:id="50"/>
      <w:bookmarkEnd w:id="51"/>
      <w:bookmarkEnd w:id="52"/>
    </w:p>
    <w:p>
      <w:pPr>
        <w:keepNext w:val="0"/>
        <w:keepLines w:val="0"/>
        <w:pageBreakBefore w:val="0"/>
        <w:kinsoku/>
        <w:wordWrap/>
        <w:overflowPunct/>
        <w:topLinePunct w:val="0"/>
        <w:autoSpaceDE/>
        <w:autoSpaceDN/>
        <w:bidi w:val="0"/>
        <w:spacing w:line="600" w:lineRule="exact"/>
        <w:ind w:left="0" w:leftChars="0" w:firstLine="643" w:firstLineChars="200"/>
        <w:textAlignment w:val="auto"/>
        <w:outlineLvl w:val="1"/>
        <w:rPr>
          <w:rFonts w:hint="eastAsia" w:ascii="楷体" w:hAnsi="楷体" w:eastAsia="楷体" w:cs="楷体"/>
          <w:b/>
          <w:bCs/>
          <w:color w:val="auto"/>
          <w:szCs w:val="32"/>
          <w:highlight w:val="none"/>
        </w:rPr>
      </w:pPr>
      <w:bookmarkStart w:id="54" w:name="_Toc19546"/>
      <w:bookmarkStart w:id="55" w:name="_Toc11578"/>
      <w:bookmarkStart w:id="56" w:name="_Toc31146"/>
      <w:bookmarkStart w:id="57" w:name="_Toc3883"/>
      <w:r>
        <w:rPr>
          <w:rFonts w:hint="eastAsia" w:ascii="楷体" w:hAnsi="楷体" w:eastAsia="楷体" w:cs="楷体"/>
          <w:b/>
          <w:bCs/>
          <w:color w:val="auto"/>
          <w:szCs w:val="32"/>
          <w:highlight w:val="none"/>
        </w:rPr>
        <w:t>（一）绩效评价的目的</w:t>
      </w:r>
      <w:bookmarkEnd w:id="54"/>
      <w:bookmarkEnd w:id="55"/>
      <w:bookmarkEnd w:id="56"/>
      <w:bookmarkEnd w:id="57"/>
    </w:p>
    <w:p>
      <w:pPr>
        <w:keepNext w:val="0"/>
        <w:keepLines w:val="0"/>
        <w:pageBreakBefore w:val="0"/>
        <w:widowControl w:val="0"/>
        <w:kinsoku/>
        <w:wordWrap/>
        <w:overflowPunct/>
        <w:topLinePunct w:val="0"/>
        <w:autoSpaceDE/>
        <w:autoSpaceDN/>
        <w:bidi w:val="0"/>
        <w:spacing w:line="600" w:lineRule="exact"/>
        <w:ind w:left="0" w:leftChars="0" w:firstLine="640" w:firstLineChars="200"/>
        <w:textAlignment w:val="auto"/>
        <w:rPr>
          <w:rFonts w:hint="eastAsia" w:eastAsia="仿宋"/>
          <w:color w:val="auto"/>
          <w:szCs w:val="32"/>
          <w:highlight w:val="none"/>
        </w:rPr>
      </w:pPr>
      <w:r>
        <w:rPr>
          <w:rFonts w:hint="eastAsia" w:eastAsia="仿宋"/>
          <w:color w:val="auto"/>
          <w:szCs w:val="32"/>
          <w:highlight w:val="none"/>
        </w:rPr>
        <w:t>为深入贯彻落实攀枝花市仁和区财政局</w:t>
      </w:r>
      <w:r>
        <w:rPr>
          <w:rFonts w:hint="eastAsia" w:eastAsia="仿宋"/>
          <w:color w:val="auto"/>
          <w:szCs w:val="32"/>
          <w:highlight w:val="none"/>
          <w:lang w:val="zh-CN"/>
        </w:rPr>
        <w:t>《关于开展2023年财政重点项目（政策）支出绩效评价和部门整体支出绩效评价工作的通知》（攀仁财〔2023〕71号）</w:t>
      </w:r>
      <w:r>
        <w:rPr>
          <w:rFonts w:hint="eastAsia" w:eastAsia="仿宋"/>
          <w:color w:val="auto"/>
          <w:szCs w:val="32"/>
          <w:highlight w:val="none"/>
        </w:rPr>
        <w:t>要求，进一步提高预算绩效管理水平和财政资源配置</w:t>
      </w:r>
      <w:r>
        <w:rPr>
          <w:rFonts w:hint="eastAsia" w:eastAsia="仿宋"/>
          <w:color w:val="auto"/>
          <w:szCs w:val="32"/>
          <w:highlight w:val="none"/>
          <w:lang w:eastAsia="zh-CN"/>
        </w:rPr>
        <w:t>和</w:t>
      </w:r>
      <w:r>
        <w:rPr>
          <w:rFonts w:hint="eastAsia" w:eastAsia="仿宋"/>
          <w:color w:val="auto"/>
          <w:szCs w:val="32"/>
          <w:highlight w:val="none"/>
        </w:rPr>
        <w:t>使用效率</w:t>
      </w:r>
      <w:r>
        <w:rPr>
          <w:rFonts w:hint="eastAsia" w:eastAsia="仿宋"/>
          <w:color w:val="auto"/>
          <w:szCs w:val="32"/>
          <w:highlight w:val="none"/>
          <w:lang w:eastAsia="zh-CN"/>
        </w:rPr>
        <w:t>。</w:t>
      </w:r>
      <w:r>
        <w:rPr>
          <w:rFonts w:hint="eastAsia" w:eastAsia="仿宋"/>
          <w:color w:val="auto"/>
          <w:szCs w:val="32"/>
          <w:highlight w:val="none"/>
        </w:rPr>
        <w:t>通过绩效评价，提出资金使用、管理中出现的问题并提出有效建议，提高预算管理水平和政策实施效果。</w:t>
      </w:r>
    </w:p>
    <w:p>
      <w:pPr>
        <w:keepNext w:val="0"/>
        <w:keepLines w:val="0"/>
        <w:pageBreakBefore w:val="0"/>
        <w:kinsoku/>
        <w:wordWrap/>
        <w:overflowPunct/>
        <w:topLinePunct w:val="0"/>
        <w:autoSpaceDE/>
        <w:autoSpaceDN/>
        <w:bidi w:val="0"/>
        <w:spacing w:line="600" w:lineRule="exact"/>
        <w:ind w:left="0" w:leftChars="0" w:firstLine="643" w:firstLineChars="200"/>
        <w:textAlignment w:val="auto"/>
        <w:outlineLvl w:val="1"/>
        <w:rPr>
          <w:rFonts w:hint="eastAsia" w:ascii="楷体" w:hAnsi="楷体" w:eastAsia="楷体" w:cs="楷体"/>
          <w:b/>
          <w:bCs/>
          <w:color w:val="auto"/>
          <w:szCs w:val="32"/>
          <w:highlight w:val="none"/>
        </w:rPr>
      </w:pPr>
      <w:bookmarkStart w:id="58" w:name="_Toc8396"/>
      <w:bookmarkStart w:id="59" w:name="_Toc16330"/>
      <w:bookmarkStart w:id="60" w:name="_Toc29492"/>
      <w:bookmarkStart w:id="61" w:name="_Toc25049"/>
      <w:r>
        <w:rPr>
          <w:rFonts w:hint="eastAsia" w:ascii="楷体" w:hAnsi="楷体" w:eastAsia="楷体" w:cs="楷体"/>
          <w:b/>
          <w:bCs/>
          <w:color w:val="auto"/>
          <w:szCs w:val="32"/>
          <w:highlight w:val="none"/>
        </w:rPr>
        <w:t>（二）绩效评价的依据</w:t>
      </w:r>
      <w:bookmarkEnd w:id="58"/>
      <w:bookmarkEnd w:id="59"/>
      <w:bookmarkEnd w:id="60"/>
      <w:bookmarkEnd w:id="61"/>
    </w:p>
    <w:p>
      <w:pPr>
        <w:keepNext w:val="0"/>
        <w:keepLines w:val="0"/>
        <w:pageBreakBefore w:val="0"/>
        <w:kinsoku/>
        <w:wordWrap/>
        <w:overflowPunct/>
        <w:topLinePunct w:val="0"/>
        <w:autoSpaceDE/>
        <w:autoSpaceDN/>
        <w:bidi w:val="0"/>
        <w:spacing w:line="600" w:lineRule="exact"/>
        <w:ind w:left="0" w:leftChars="0" w:firstLine="640" w:firstLineChars="200"/>
        <w:textAlignment w:val="auto"/>
        <w:outlineLvl w:val="2"/>
        <w:rPr>
          <w:rFonts w:hint="default" w:ascii="Times New Roman" w:hAnsi="Times New Roman" w:eastAsia="仿宋" w:cs="Times New Roman"/>
          <w:color w:val="auto"/>
          <w:szCs w:val="32"/>
          <w:highlight w:val="none"/>
        </w:rPr>
      </w:pPr>
      <w:r>
        <w:rPr>
          <w:rFonts w:hint="default" w:ascii="Times New Roman" w:hAnsi="Times New Roman" w:eastAsia="仿宋" w:cs="Times New Roman"/>
          <w:color w:val="auto"/>
          <w:szCs w:val="32"/>
          <w:highlight w:val="none"/>
        </w:rPr>
        <w:t>1.中共中央国务院《关于全面实施预算绩效管理的意见》；</w:t>
      </w:r>
    </w:p>
    <w:p>
      <w:pPr>
        <w:keepNext w:val="0"/>
        <w:keepLines w:val="0"/>
        <w:pageBreakBefore w:val="0"/>
        <w:kinsoku/>
        <w:wordWrap/>
        <w:overflowPunct/>
        <w:topLinePunct w:val="0"/>
        <w:autoSpaceDE/>
        <w:autoSpaceDN/>
        <w:bidi w:val="0"/>
        <w:spacing w:line="600" w:lineRule="exact"/>
        <w:ind w:left="0" w:leftChars="0" w:firstLine="640" w:firstLineChars="200"/>
        <w:textAlignment w:val="auto"/>
        <w:outlineLvl w:val="9"/>
        <w:rPr>
          <w:rFonts w:hint="default" w:ascii="Times New Roman" w:hAnsi="Times New Roman" w:eastAsia="仿宋" w:cs="Times New Roman"/>
          <w:color w:val="auto"/>
          <w:szCs w:val="32"/>
          <w:highlight w:val="none"/>
        </w:rPr>
      </w:pPr>
      <w:r>
        <w:rPr>
          <w:rFonts w:hint="default" w:ascii="Times New Roman" w:hAnsi="Times New Roman" w:eastAsia="仿宋" w:cs="Times New Roman"/>
          <w:color w:val="auto"/>
          <w:szCs w:val="32"/>
          <w:highlight w:val="none"/>
        </w:rPr>
        <w:t>2.财政部《关于贯彻落实(中共中央</w:t>
      </w:r>
      <w:r>
        <w:rPr>
          <w:rFonts w:hint="eastAsia" w:ascii="Times New Roman" w:hAnsi="Times New Roman" w:eastAsia="仿宋" w:cs="Times New Roman"/>
          <w:color w:val="auto"/>
          <w:szCs w:val="32"/>
          <w:highlight w:val="none"/>
          <w:lang w:val="en-US" w:eastAsia="zh-CN"/>
        </w:rPr>
        <w:t xml:space="preserve"> </w:t>
      </w:r>
      <w:r>
        <w:rPr>
          <w:rFonts w:hint="default" w:ascii="Times New Roman" w:hAnsi="Times New Roman" w:eastAsia="仿宋" w:cs="Times New Roman"/>
          <w:color w:val="auto"/>
          <w:szCs w:val="32"/>
          <w:highlight w:val="none"/>
        </w:rPr>
        <w:t>国务院全面实施预算绩效管理的意见)的通知》（财预</w:t>
      </w:r>
      <w:r>
        <w:rPr>
          <w:rFonts w:hint="eastAsia" w:eastAsia="仿宋" w:cs="Times New Roman"/>
          <w:color w:val="auto"/>
          <w:szCs w:val="32"/>
          <w:highlight w:val="none"/>
          <w:lang w:eastAsia="zh-CN"/>
        </w:rPr>
        <w:t>〔</w:t>
      </w:r>
      <w:r>
        <w:rPr>
          <w:rFonts w:hint="default" w:ascii="Times New Roman" w:hAnsi="Times New Roman" w:eastAsia="仿宋" w:cs="Times New Roman"/>
          <w:color w:val="auto"/>
          <w:szCs w:val="32"/>
          <w:highlight w:val="none"/>
        </w:rPr>
        <w:t>2018</w:t>
      </w:r>
      <w:r>
        <w:rPr>
          <w:rFonts w:hint="eastAsia" w:eastAsia="仿宋" w:cs="Times New Roman"/>
          <w:color w:val="auto"/>
          <w:szCs w:val="32"/>
          <w:highlight w:val="none"/>
          <w:lang w:eastAsia="zh-CN"/>
        </w:rPr>
        <w:t>〕</w:t>
      </w:r>
      <w:r>
        <w:rPr>
          <w:rFonts w:hint="default" w:ascii="Times New Roman" w:hAnsi="Times New Roman" w:eastAsia="仿宋" w:cs="Times New Roman"/>
          <w:color w:val="auto"/>
          <w:szCs w:val="32"/>
          <w:highlight w:val="none"/>
        </w:rPr>
        <w:t>167号）；</w:t>
      </w:r>
    </w:p>
    <w:p>
      <w:pPr>
        <w:keepNext w:val="0"/>
        <w:keepLines w:val="0"/>
        <w:pageBreakBefore w:val="0"/>
        <w:kinsoku/>
        <w:wordWrap/>
        <w:overflowPunct/>
        <w:topLinePunct w:val="0"/>
        <w:autoSpaceDE/>
        <w:autoSpaceDN/>
        <w:bidi w:val="0"/>
        <w:spacing w:line="600" w:lineRule="exact"/>
        <w:ind w:left="0" w:leftChars="0" w:firstLine="640" w:firstLineChars="200"/>
        <w:textAlignment w:val="auto"/>
        <w:outlineLvl w:val="9"/>
        <w:rPr>
          <w:rFonts w:hint="default" w:ascii="Times New Roman" w:hAnsi="Times New Roman" w:eastAsia="仿宋" w:cs="Times New Roman"/>
          <w:color w:val="auto"/>
          <w:szCs w:val="32"/>
          <w:highlight w:val="none"/>
        </w:rPr>
      </w:pPr>
      <w:r>
        <w:rPr>
          <w:rFonts w:hint="default" w:ascii="Times New Roman" w:hAnsi="Times New Roman" w:eastAsia="仿宋" w:cs="Times New Roman"/>
          <w:color w:val="auto"/>
          <w:szCs w:val="32"/>
          <w:highlight w:val="none"/>
        </w:rPr>
        <w:t>3.中共四川省委办公厅</w:t>
      </w:r>
      <w:r>
        <w:rPr>
          <w:rFonts w:hint="eastAsia" w:ascii="Times New Roman" w:hAnsi="Times New Roman" w:eastAsia="仿宋" w:cs="Times New Roman"/>
          <w:color w:val="auto"/>
          <w:szCs w:val="32"/>
          <w:highlight w:val="none"/>
          <w:lang w:val="en-US" w:eastAsia="zh-CN"/>
        </w:rPr>
        <w:t xml:space="preserve"> </w:t>
      </w:r>
      <w:r>
        <w:rPr>
          <w:rFonts w:hint="default" w:ascii="Times New Roman" w:hAnsi="Times New Roman" w:eastAsia="仿宋" w:cs="Times New Roman"/>
          <w:color w:val="auto"/>
          <w:szCs w:val="32"/>
          <w:highlight w:val="none"/>
        </w:rPr>
        <w:t>四川省人民政府办公厅</w:t>
      </w:r>
      <w:r>
        <w:rPr>
          <w:rFonts w:hint="default" w:ascii="Times New Roman" w:hAnsi="Times New Roman" w:eastAsia="仿宋" w:cs="Times New Roman"/>
          <w:color w:val="auto"/>
          <w:szCs w:val="32"/>
          <w:highlight w:val="none"/>
          <w:lang w:eastAsia="zh-CN"/>
        </w:rPr>
        <w:t>《</w:t>
      </w:r>
      <w:r>
        <w:rPr>
          <w:rFonts w:hint="default" w:ascii="Times New Roman" w:hAnsi="Times New Roman" w:eastAsia="仿宋" w:cs="Times New Roman"/>
          <w:color w:val="auto"/>
          <w:szCs w:val="32"/>
          <w:highlight w:val="none"/>
        </w:rPr>
        <w:t>关于深入实施预算绩效管理的通知》（川委厅〔2022〕5 号）；</w:t>
      </w:r>
    </w:p>
    <w:p>
      <w:pPr>
        <w:keepNext w:val="0"/>
        <w:keepLines w:val="0"/>
        <w:pageBreakBefore w:val="0"/>
        <w:kinsoku/>
        <w:wordWrap/>
        <w:overflowPunct/>
        <w:topLinePunct w:val="0"/>
        <w:autoSpaceDE/>
        <w:autoSpaceDN/>
        <w:bidi w:val="0"/>
        <w:spacing w:line="600" w:lineRule="exact"/>
        <w:ind w:left="0" w:leftChars="0" w:firstLine="640" w:firstLineChars="200"/>
        <w:textAlignment w:val="auto"/>
        <w:outlineLvl w:val="9"/>
        <w:rPr>
          <w:rFonts w:hint="eastAsia" w:ascii="黑体" w:hAnsi="黑体" w:eastAsia="黑体" w:cs="黑体"/>
          <w:bCs/>
          <w:color w:val="auto"/>
          <w:szCs w:val="32"/>
          <w:highlight w:val="none"/>
        </w:rPr>
      </w:pPr>
      <w:r>
        <w:rPr>
          <w:rFonts w:hint="default" w:ascii="Times New Roman" w:hAnsi="Times New Roman" w:eastAsia="仿宋" w:cs="Times New Roman"/>
          <w:color w:val="auto"/>
          <w:szCs w:val="32"/>
          <w:highlight w:val="none"/>
        </w:rPr>
        <w:t>4.攀枝花市仁和区财政局《关于开展2023年度财政重点项目(政策)支出绩效评价和部门整体支出绩效评价工作的通知》（攀仁财〔2023〕71号）。</w:t>
      </w:r>
    </w:p>
    <w:p>
      <w:pPr>
        <w:adjustRightInd w:val="0"/>
        <w:snapToGrid w:val="0"/>
        <w:spacing w:line="600" w:lineRule="exact"/>
        <w:ind w:right="22" w:rightChars="7" w:firstLine="640" w:firstLineChars="200"/>
        <w:outlineLvl w:val="0"/>
        <w:rPr>
          <w:rFonts w:hint="eastAsia" w:ascii="黑体" w:hAnsi="黑体" w:eastAsia="黑体" w:cs="黑体"/>
          <w:bCs/>
          <w:color w:val="auto"/>
          <w:szCs w:val="32"/>
          <w:highlight w:val="none"/>
        </w:rPr>
      </w:pPr>
      <w:bookmarkStart w:id="62" w:name="_Toc20028"/>
      <w:bookmarkStart w:id="63" w:name="_Toc6977"/>
      <w:bookmarkStart w:id="64" w:name="_Toc17048"/>
      <w:bookmarkStart w:id="65" w:name="_Toc28433"/>
      <w:r>
        <w:rPr>
          <w:rFonts w:hint="eastAsia" w:ascii="黑体" w:hAnsi="黑体" w:eastAsia="黑体" w:cs="黑体"/>
          <w:bCs/>
          <w:color w:val="auto"/>
          <w:szCs w:val="32"/>
          <w:highlight w:val="none"/>
        </w:rPr>
        <w:t>三、</w:t>
      </w:r>
      <w:r>
        <w:rPr>
          <w:rFonts w:hint="eastAsia" w:ascii="黑体" w:hAnsi="黑体" w:eastAsia="黑体" w:cs="黑体"/>
          <w:bCs/>
          <w:color w:val="auto"/>
          <w:szCs w:val="32"/>
          <w:highlight w:val="none"/>
          <w:lang w:eastAsia="zh-CN"/>
        </w:rPr>
        <w:t>仁和</w:t>
      </w:r>
      <w:r>
        <w:rPr>
          <w:rFonts w:hint="eastAsia" w:ascii="黑体" w:hAnsi="黑体" w:eastAsia="黑体" w:cs="黑体"/>
          <w:bCs/>
          <w:color w:val="auto"/>
          <w:szCs w:val="32"/>
          <w:highlight w:val="none"/>
        </w:rPr>
        <w:t>区林业局部门预算收支情况</w:t>
      </w:r>
      <w:bookmarkEnd w:id="53"/>
      <w:bookmarkEnd w:id="62"/>
      <w:bookmarkEnd w:id="63"/>
      <w:bookmarkEnd w:id="64"/>
      <w:bookmarkEnd w:id="65"/>
    </w:p>
    <w:p>
      <w:pPr>
        <w:adjustRightInd w:val="0"/>
        <w:snapToGrid w:val="0"/>
        <w:spacing w:line="600" w:lineRule="exact"/>
        <w:ind w:right="22" w:rightChars="7" w:firstLine="321" w:firstLineChars="100"/>
        <w:outlineLvl w:val="1"/>
        <w:rPr>
          <w:rFonts w:hint="eastAsia" w:ascii="楷体" w:hAnsi="楷体" w:eastAsia="楷体" w:cs="楷体"/>
          <w:b/>
          <w:color w:val="auto"/>
          <w:szCs w:val="32"/>
          <w:highlight w:val="none"/>
          <w:lang w:val="zh-CN"/>
        </w:rPr>
      </w:pPr>
      <w:bookmarkStart w:id="66" w:name="_Toc30292"/>
      <w:bookmarkStart w:id="67" w:name="_Toc24146"/>
      <w:bookmarkStart w:id="68" w:name="_Toc15045"/>
      <w:bookmarkStart w:id="69" w:name="_Toc5010"/>
      <w:bookmarkStart w:id="70" w:name="_Toc4943"/>
      <w:r>
        <w:rPr>
          <w:rFonts w:hint="eastAsia" w:ascii="楷体" w:hAnsi="楷体" w:eastAsia="楷体" w:cs="楷体"/>
          <w:b/>
          <w:color w:val="auto"/>
          <w:szCs w:val="32"/>
          <w:highlight w:val="none"/>
          <w:lang w:val="zh-CN"/>
        </w:rPr>
        <w:t>（一）仁和区林业局</w:t>
      </w:r>
      <w:bookmarkEnd w:id="66"/>
      <w:bookmarkEnd w:id="67"/>
      <w:bookmarkEnd w:id="68"/>
      <w:r>
        <w:rPr>
          <w:rFonts w:hint="eastAsia" w:ascii="楷体" w:hAnsi="楷体" w:eastAsia="楷体" w:cs="楷体"/>
          <w:b/>
          <w:bCs/>
          <w:color w:val="auto"/>
          <w:szCs w:val="32"/>
          <w:highlight w:val="none"/>
          <w:lang w:val="en-US" w:eastAsia="zh-CN"/>
        </w:rPr>
        <w:t>2022</w:t>
      </w:r>
      <w:r>
        <w:rPr>
          <w:rFonts w:hint="eastAsia" w:ascii="楷体" w:hAnsi="楷体" w:eastAsia="楷体" w:cs="楷体"/>
          <w:b/>
          <w:bCs/>
          <w:color w:val="auto"/>
          <w:szCs w:val="32"/>
          <w:highlight w:val="none"/>
          <w:lang w:val="zh-CN" w:eastAsia="zh-CN"/>
        </w:rPr>
        <w:t>年度收入情况</w:t>
      </w:r>
      <w:bookmarkEnd w:id="69"/>
      <w:bookmarkEnd w:id="70"/>
    </w:p>
    <w:p>
      <w:pPr>
        <w:spacing w:line="600" w:lineRule="exact"/>
        <w:ind w:firstLine="640" w:firstLineChars="200"/>
        <w:rPr>
          <w:rFonts w:hint="eastAsia" w:eastAsia="仿宋"/>
          <w:color w:val="auto"/>
          <w:szCs w:val="32"/>
          <w:highlight w:val="none"/>
        </w:rPr>
      </w:pPr>
      <w:r>
        <w:rPr>
          <w:rFonts w:hint="eastAsia" w:eastAsia="仿宋"/>
          <w:color w:val="auto"/>
          <w:szCs w:val="32"/>
          <w:highlight w:val="none"/>
        </w:rPr>
        <w:t>仁和区林业局</w:t>
      </w:r>
      <w:r>
        <w:rPr>
          <w:rFonts w:hint="eastAsia" w:eastAsia="仿宋"/>
          <w:color w:val="auto"/>
          <w:szCs w:val="32"/>
          <w:highlight w:val="none"/>
          <w:lang w:val="zh-CN" w:eastAsia="zh-CN"/>
        </w:rPr>
        <w:t>2022年初预算收入</w:t>
      </w:r>
      <w:r>
        <w:rPr>
          <w:rFonts w:hint="eastAsia" w:eastAsia="仿宋"/>
          <w:color w:val="auto"/>
          <w:szCs w:val="32"/>
          <w:highlight w:val="none"/>
          <w:lang w:val="en-US" w:eastAsia="zh-CN"/>
        </w:rPr>
        <w:t>4053.64</w:t>
      </w:r>
      <w:r>
        <w:rPr>
          <w:rFonts w:hint="eastAsia" w:eastAsia="仿宋"/>
          <w:color w:val="auto"/>
          <w:szCs w:val="32"/>
          <w:highlight w:val="none"/>
          <w:lang w:val="zh-CN" w:eastAsia="zh-CN"/>
        </w:rPr>
        <w:t>万元，上年结转和结余</w:t>
      </w:r>
      <w:r>
        <w:rPr>
          <w:rFonts w:hint="eastAsia" w:eastAsia="仿宋"/>
          <w:color w:val="auto"/>
          <w:szCs w:val="32"/>
          <w:highlight w:val="none"/>
          <w:lang w:val="en-US" w:eastAsia="zh-CN"/>
        </w:rPr>
        <w:t>15.80万元。</w:t>
      </w:r>
      <w:r>
        <w:rPr>
          <w:rFonts w:hint="eastAsia" w:eastAsia="仿宋"/>
          <w:color w:val="auto"/>
          <w:szCs w:val="32"/>
          <w:highlight w:val="none"/>
          <w:lang w:val="zh-CN" w:eastAsia="zh-CN"/>
        </w:rPr>
        <w:t>实际决算收</w:t>
      </w:r>
      <w:r>
        <w:rPr>
          <w:rFonts w:hint="eastAsia" w:eastAsia="仿宋"/>
          <w:color w:val="auto"/>
          <w:szCs w:val="32"/>
          <w:highlight w:val="none"/>
        </w:rPr>
        <w:t>入5,305.90万元，</w:t>
      </w:r>
      <w:r>
        <w:rPr>
          <w:rFonts w:hint="eastAsia" w:eastAsia="仿宋"/>
          <w:color w:val="auto"/>
          <w:szCs w:val="32"/>
          <w:highlight w:val="none"/>
          <w:lang w:eastAsia="zh-CN"/>
        </w:rPr>
        <w:t>全部</w:t>
      </w:r>
      <w:r>
        <w:rPr>
          <w:rFonts w:hint="eastAsia" w:eastAsia="仿宋"/>
          <w:color w:val="auto"/>
          <w:szCs w:val="32"/>
          <w:highlight w:val="none"/>
        </w:rPr>
        <w:t>为一般公共预算财政拨款收入。</w:t>
      </w:r>
    </w:p>
    <w:p>
      <w:pPr>
        <w:keepNext w:val="0"/>
        <w:keepLines w:val="0"/>
        <w:widowControl/>
        <w:suppressLineNumbers w:val="0"/>
        <w:jc w:val="center"/>
        <w:textAlignment w:val="center"/>
        <w:rPr>
          <w:rFonts w:hint="eastAsia" w:ascii="Times New Roman" w:hAnsi="Times New Roman" w:eastAsia="仿宋" w:cs="Times New Roman"/>
          <w:color w:val="auto"/>
          <w:szCs w:val="32"/>
          <w:highlight w:val="none"/>
        </w:rPr>
      </w:pPr>
      <w:r>
        <w:rPr>
          <w:rFonts w:hint="eastAsia" w:eastAsia="仿宋"/>
          <w:color w:val="auto"/>
          <w:szCs w:val="32"/>
          <w:highlight w:val="none"/>
        </w:rPr>
        <w:t xml:space="preserve"> </w:t>
      </w:r>
      <w:r>
        <w:rPr>
          <w:rFonts w:hint="eastAsia" w:eastAsia="仿宋"/>
          <w:color w:val="auto"/>
          <w:szCs w:val="32"/>
          <w:highlight w:val="none"/>
          <w:lang w:val="en-US" w:eastAsia="zh-CN"/>
        </w:rPr>
        <w:t xml:space="preserve">                                     </w:t>
      </w:r>
      <w:r>
        <w:rPr>
          <w:rFonts w:hint="eastAsia" w:ascii="Times New Roman" w:hAnsi="Times New Roman" w:eastAsia="仿宋" w:cs="Times New Roman"/>
          <w:color w:val="auto"/>
          <w:szCs w:val="32"/>
          <w:highlight w:val="none"/>
        </w:rPr>
        <w:t>单位：万元</w:t>
      </w:r>
    </w:p>
    <w:tbl>
      <w:tblPr>
        <w:tblStyle w:val="14"/>
        <w:tblW w:w="900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965"/>
        <w:gridCol w:w="1599"/>
        <w:gridCol w:w="1410"/>
        <w:gridCol w:w="1500"/>
        <w:gridCol w:w="1449"/>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50" w:hRule="atLeast"/>
        </w:trPr>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仿宋" w:cs="Times New Roman"/>
                <w:i w:val="0"/>
                <w:iCs w:val="0"/>
                <w:color w:val="auto"/>
                <w:kern w:val="0"/>
                <w:sz w:val="24"/>
                <w:szCs w:val="24"/>
                <w:highlight w:val="none"/>
                <w:u w:val="none"/>
                <w:lang w:val="en-US" w:eastAsia="zh-CN" w:bidi="ar"/>
              </w:rPr>
            </w:pPr>
            <w:r>
              <w:rPr>
                <w:rFonts w:hint="eastAsia" w:ascii="Times New Roman" w:hAnsi="Times New Roman" w:eastAsia="仿宋" w:cs="Times New Roman"/>
                <w:i w:val="0"/>
                <w:iCs w:val="0"/>
                <w:color w:val="auto"/>
                <w:kern w:val="0"/>
                <w:sz w:val="24"/>
                <w:szCs w:val="24"/>
                <w:highlight w:val="none"/>
                <w:u w:val="none"/>
                <w:lang w:val="en-US" w:eastAsia="zh-CN" w:bidi="ar"/>
              </w:rPr>
              <w:t>资金来源</w:t>
            </w:r>
          </w:p>
        </w:tc>
        <w:tc>
          <w:tcPr>
            <w:tcW w:w="15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仿宋" w:cs="Times New Roman"/>
                <w:i w:val="0"/>
                <w:iCs w:val="0"/>
                <w:color w:val="auto"/>
                <w:kern w:val="0"/>
                <w:sz w:val="24"/>
                <w:szCs w:val="24"/>
                <w:highlight w:val="none"/>
                <w:u w:val="none"/>
                <w:lang w:val="en-US" w:eastAsia="zh-CN" w:bidi="ar"/>
              </w:rPr>
            </w:pPr>
            <w:r>
              <w:rPr>
                <w:rFonts w:hint="eastAsia" w:ascii="Times New Roman" w:hAnsi="Times New Roman" w:eastAsia="仿宋" w:cs="Times New Roman"/>
                <w:i w:val="0"/>
                <w:iCs w:val="0"/>
                <w:color w:val="auto"/>
                <w:kern w:val="0"/>
                <w:sz w:val="24"/>
                <w:szCs w:val="24"/>
                <w:highlight w:val="none"/>
                <w:u w:val="none"/>
                <w:lang w:val="en-US" w:eastAsia="zh-CN" w:bidi="ar"/>
              </w:rPr>
              <w:t>年初</w:t>
            </w:r>
          </w:p>
          <w:p>
            <w:pPr>
              <w:keepNext w:val="0"/>
              <w:keepLines w:val="0"/>
              <w:widowControl/>
              <w:suppressLineNumbers w:val="0"/>
              <w:jc w:val="center"/>
              <w:textAlignment w:val="center"/>
              <w:rPr>
                <w:rFonts w:hint="eastAsia" w:ascii="Times New Roman" w:hAnsi="Times New Roman" w:eastAsia="仿宋" w:cs="Times New Roman"/>
                <w:i w:val="0"/>
                <w:iCs w:val="0"/>
                <w:color w:val="auto"/>
                <w:kern w:val="0"/>
                <w:sz w:val="24"/>
                <w:szCs w:val="24"/>
                <w:highlight w:val="none"/>
                <w:u w:val="none"/>
                <w:lang w:val="en-US" w:eastAsia="zh-CN" w:bidi="ar"/>
              </w:rPr>
            </w:pPr>
            <w:r>
              <w:rPr>
                <w:rFonts w:hint="eastAsia" w:ascii="Times New Roman" w:hAnsi="Times New Roman" w:eastAsia="仿宋" w:cs="Times New Roman"/>
                <w:i w:val="0"/>
                <w:iCs w:val="0"/>
                <w:color w:val="auto"/>
                <w:kern w:val="0"/>
                <w:sz w:val="24"/>
                <w:szCs w:val="24"/>
                <w:highlight w:val="none"/>
                <w:u w:val="none"/>
                <w:lang w:val="en-US" w:eastAsia="zh-CN" w:bidi="ar"/>
              </w:rPr>
              <w:t>结转结余</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仿宋" w:cs="Times New Roman"/>
                <w:i w:val="0"/>
                <w:iCs w:val="0"/>
                <w:color w:val="auto"/>
                <w:kern w:val="0"/>
                <w:sz w:val="24"/>
                <w:szCs w:val="24"/>
                <w:highlight w:val="none"/>
                <w:u w:val="none"/>
                <w:lang w:val="en-US" w:eastAsia="zh-CN" w:bidi="ar"/>
              </w:rPr>
            </w:pPr>
            <w:r>
              <w:rPr>
                <w:rFonts w:hint="eastAsia" w:ascii="Times New Roman" w:hAnsi="Times New Roman" w:eastAsia="仿宋" w:cs="Times New Roman"/>
                <w:i w:val="0"/>
                <w:iCs w:val="0"/>
                <w:color w:val="auto"/>
                <w:kern w:val="0"/>
                <w:sz w:val="24"/>
                <w:szCs w:val="24"/>
                <w:highlight w:val="none"/>
                <w:u w:val="none"/>
                <w:lang w:val="en-US" w:eastAsia="zh-CN" w:bidi="ar"/>
              </w:rPr>
              <w:t>年初</w:t>
            </w:r>
          </w:p>
          <w:p>
            <w:pPr>
              <w:keepNext w:val="0"/>
              <w:keepLines w:val="0"/>
              <w:widowControl/>
              <w:suppressLineNumbers w:val="0"/>
              <w:jc w:val="center"/>
              <w:textAlignment w:val="center"/>
              <w:rPr>
                <w:rFonts w:hint="eastAsia" w:ascii="Times New Roman" w:hAnsi="Times New Roman" w:eastAsia="仿宋" w:cs="Times New Roman"/>
                <w:i w:val="0"/>
                <w:iCs w:val="0"/>
                <w:color w:val="auto"/>
                <w:kern w:val="0"/>
                <w:sz w:val="24"/>
                <w:szCs w:val="24"/>
                <w:highlight w:val="none"/>
                <w:u w:val="none"/>
                <w:lang w:val="en-US" w:eastAsia="zh-CN" w:bidi="ar"/>
              </w:rPr>
            </w:pPr>
            <w:r>
              <w:rPr>
                <w:rFonts w:hint="eastAsia" w:ascii="Times New Roman" w:hAnsi="Times New Roman" w:eastAsia="仿宋" w:cs="Times New Roman"/>
                <w:i w:val="0"/>
                <w:iCs w:val="0"/>
                <w:color w:val="auto"/>
                <w:kern w:val="0"/>
                <w:sz w:val="24"/>
                <w:szCs w:val="24"/>
                <w:highlight w:val="none"/>
                <w:u w:val="none"/>
                <w:lang w:val="en-US" w:eastAsia="zh-CN" w:bidi="ar"/>
              </w:rPr>
              <w:t>预算数</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仿宋" w:cs="Times New Roman"/>
                <w:i w:val="0"/>
                <w:iCs w:val="0"/>
                <w:color w:val="auto"/>
                <w:kern w:val="0"/>
                <w:sz w:val="24"/>
                <w:szCs w:val="24"/>
                <w:highlight w:val="none"/>
                <w:u w:val="none"/>
                <w:lang w:val="en-US" w:eastAsia="zh-CN" w:bidi="ar"/>
              </w:rPr>
            </w:pPr>
            <w:r>
              <w:rPr>
                <w:rFonts w:hint="eastAsia" w:ascii="Times New Roman" w:hAnsi="Times New Roman" w:eastAsia="仿宋" w:cs="Times New Roman"/>
                <w:i w:val="0"/>
                <w:iCs w:val="0"/>
                <w:color w:val="auto"/>
                <w:kern w:val="0"/>
                <w:sz w:val="24"/>
                <w:szCs w:val="24"/>
                <w:highlight w:val="none"/>
                <w:u w:val="none"/>
                <w:lang w:val="en-US" w:eastAsia="zh-CN" w:bidi="ar"/>
              </w:rPr>
              <w:t>预算</w:t>
            </w:r>
          </w:p>
          <w:p>
            <w:pPr>
              <w:keepNext w:val="0"/>
              <w:keepLines w:val="0"/>
              <w:widowControl/>
              <w:suppressLineNumbers w:val="0"/>
              <w:jc w:val="center"/>
              <w:textAlignment w:val="center"/>
              <w:rPr>
                <w:rFonts w:hint="eastAsia" w:ascii="Times New Roman" w:hAnsi="Times New Roman" w:eastAsia="仿宋" w:cs="Times New Roman"/>
                <w:i w:val="0"/>
                <w:iCs w:val="0"/>
                <w:color w:val="auto"/>
                <w:kern w:val="0"/>
                <w:sz w:val="24"/>
                <w:szCs w:val="24"/>
                <w:highlight w:val="none"/>
                <w:u w:val="none"/>
                <w:lang w:val="en-US" w:eastAsia="zh-CN" w:bidi="ar"/>
              </w:rPr>
            </w:pPr>
            <w:r>
              <w:rPr>
                <w:rFonts w:hint="eastAsia" w:ascii="Times New Roman" w:hAnsi="Times New Roman" w:eastAsia="仿宋" w:cs="Times New Roman"/>
                <w:i w:val="0"/>
                <w:iCs w:val="0"/>
                <w:color w:val="auto"/>
                <w:kern w:val="0"/>
                <w:sz w:val="24"/>
                <w:szCs w:val="24"/>
                <w:highlight w:val="none"/>
                <w:u w:val="none"/>
                <w:lang w:val="en-US" w:eastAsia="zh-CN" w:bidi="ar"/>
              </w:rPr>
              <w:t>调整数</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仿宋" w:cs="Times New Roman"/>
                <w:i w:val="0"/>
                <w:iCs w:val="0"/>
                <w:color w:val="auto"/>
                <w:kern w:val="0"/>
                <w:sz w:val="24"/>
                <w:szCs w:val="24"/>
                <w:highlight w:val="none"/>
                <w:u w:val="none"/>
                <w:lang w:val="en-US" w:eastAsia="zh-CN" w:bidi="ar"/>
              </w:rPr>
            </w:pPr>
            <w:r>
              <w:rPr>
                <w:rFonts w:hint="eastAsia" w:ascii="Times New Roman" w:hAnsi="Times New Roman" w:eastAsia="仿宋" w:cs="Times New Roman"/>
                <w:i w:val="0"/>
                <w:iCs w:val="0"/>
                <w:color w:val="auto"/>
                <w:kern w:val="0"/>
                <w:sz w:val="24"/>
                <w:szCs w:val="24"/>
                <w:highlight w:val="none"/>
                <w:u w:val="none"/>
                <w:lang w:val="en-US" w:eastAsia="zh-CN" w:bidi="ar"/>
              </w:rPr>
              <w:t>年末</w:t>
            </w:r>
          </w:p>
          <w:p>
            <w:pPr>
              <w:keepNext w:val="0"/>
              <w:keepLines w:val="0"/>
              <w:widowControl/>
              <w:suppressLineNumbers w:val="0"/>
              <w:jc w:val="center"/>
              <w:textAlignment w:val="center"/>
              <w:rPr>
                <w:rFonts w:hint="eastAsia" w:ascii="Times New Roman" w:hAnsi="Times New Roman" w:eastAsia="仿宋" w:cs="Times New Roman"/>
                <w:i w:val="0"/>
                <w:iCs w:val="0"/>
                <w:color w:val="auto"/>
                <w:kern w:val="0"/>
                <w:sz w:val="24"/>
                <w:szCs w:val="24"/>
                <w:highlight w:val="none"/>
                <w:u w:val="none"/>
                <w:lang w:val="en-US" w:eastAsia="zh-CN" w:bidi="ar"/>
              </w:rPr>
            </w:pPr>
            <w:r>
              <w:rPr>
                <w:rFonts w:hint="eastAsia" w:ascii="Times New Roman" w:hAnsi="Times New Roman" w:eastAsia="仿宋" w:cs="Times New Roman"/>
                <w:i w:val="0"/>
                <w:iCs w:val="0"/>
                <w:color w:val="auto"/>
                <w:kern w:val="0"/>
                <w:sz w:val="24"/>
                <w:szCs w:val="24"/>
                <w:highlight w:val="none"/>
                <w:u w:val="none"/>
                <w:lang w:val="en-US" w:eastAsia="zh-CN" w:bidi="ar"/>
              </w:rPr>
              <w:t>决算数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eastAsia="仿宋" w:cs="Times New Roman"/>
                <w:i w:val="0"/>
                <w:iCs w:val="0"/>
                <w:color w:val="auto"/>
                <w:kern w:val="0"/>
                <w:sz w:val="24"/>
                <w:szCs w:val="24"/>
                <w:highlight w:val="none"/>
                <w:u w:val="none"/>
                <w:lang w:val="en-US" w:eastAsia="zh-CN" w:bidi="ar"/>
              </w:rPr>
            </w:pPr>
            <w:r>
              <w:rPr>
                <w:rFonts w:hint="eastAsia" w:eastAsia="仿宋" w:cs="Times New Roman"/>
                <w:i w:val="0"/>
                <w:iCs w:val="0"/>
                <w:color w:val="auto"/>
                <w:kern w:val="0"/>
                <w:sz w:val="24"/>
                <w:szCs w:val="24"/>
                <w:highlight w:val="none"/>
                <w:u w:val="none"/>
                <w:lang w:val="en-US" w:eastAsia="zh-CN" w:bidi="ar"/>
              </w:rPr>
              <w:t>预算</w:t>
            </w:r>
          </w:p>
          <w:p>
            <w:pPr>
              <w:keepNext w:val="0"/>
              <w:keepLines w:val="0"/>
              <w:widowControl/>
              <w:suppressLineNumbers w:val="0"/>
              <w:jc w:val="center"/>
              <w:textAlignment w:val="center"/>
              <w:rPr>
                <w:rFonts w:hint="eastAsia" w:ascii="Times New Roman" w:hAnsi="Times New Roman" w:eastAsia="仿宋" w:cs="Times New Roman"/>
                <w:i w:val="0"/>
                <w:iCs w:val="0"/>
                <w:color w:val="auto"/>
                <w:kern w:val="0"/>
                <w:sz w:val="24"/>
                <w:szCs w:val="24"/>
                <w:highlight w:val="none"/>
                <w:u w:val="none"/>
                <w:lang w:val="en-US" w:eastAsia="zh-CN" w:bidi="ar"/>
              </w:rPr>
            </w:pPr>
            <w:r>
              <w:rPr>
                <w:rFonts w:hint="eastAsia" w:eastAsia="仿宋" w:cs="Times New Roman"/>
                <w:i w:val="0"/>
                <w:iCs w:val="0"/>
                <w:color w:val="auto"/>
                <w:kern w:val="0"/>
                <w:sz w:val="24"/>
                <w:szCs w:val="24"/>
                <w:highlight w:val="none"/>
                <w:u w:val="none"/>
                <w:lang w:val="en-US" w:eastAsia="zh-CN" w:bidi="ar"/>
              </w:rPr>
              <w:t>调整率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0" w:hRule="atLeast"/>
        </w:trPr>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仿宋" w:cs="Times New Roman"/>
                <w:i w:val="0"/>
                <w:iCs w:val="0"/>
                <w:color w:val="auto"/>
                <w:kern w:val="0"/>
                <w:sz w:val="24"/>
                <w:szCs w:val="24"/>
                <w:highlight w:val="none"/>
                <w:u w:val="none"/>
                <w:lang w:val="en-US" w:eastAsia="zh-CN" w:bidi="ar"/>
              </w:rPr>
            </w:pPr>
            <w:r>
              <w:rPr>
                <w:rFonts w:hint="eastAsia" w:ascii="Times New Roman" w:hAnsi="Times New Roman" w:eastAsia="仿宋" w:cs="Times New Roman"/>
                <w:i w:val="0"/>
                <w:iCs w:val="0"/>
                <w:color w:val="auto"/>
                <w:kern w:val="0"/>
                <w:sz w:val="24"/>
                <w:szCs w:val="24"/>
                <w:highlight w:val="none"/>
                <w:u w:val="none"/>
                <w:lang w:val="en-US" w:eastAsia="zh-CN" w:bidi="ar"/>
              </w:rPr>
              <w:t>公共财政拨款收入</w:t>
            </w:r>
          </w:p>
        </w:tc>
        <w:tc>
          <w:tcPr>
            <w:tcW w:w="15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仿宋" w:cs="Times New Roman"/>
                <w:i w:val="0"/>
                <w:iCs w:val="0"/>
                <w:color w:val="auto"/>
                <w:kern w:val="0"/>
                <w:sz w:val="24"/>
                <w:szCs w:val="24"/>
                <w:highlight w:val="none"/>
                <w:u w:val="none"/>
                <w:lang w:val="en-US" w:eastAsia="zh-CN" w:bidi="ar"/>
              </w:rPr>
            </w:pPr>
            <w:r>
              <w:rPr>
                <w:rFonts w:hint="eastAsia" w:ascii="Times New Roman" w:hAnsi="Times New Roman" w:eastAsia="仿宋" w:cs="Times New Roman"/>
                <w:i w:val="0"/>
                <w:iCs w:val="0"/>
                <w:color w:val="auto"/>
                <w:kern w:val="0"/>
                <w:sz w:val="24"/>
                <w:szCs w:val="24"/>
                <w:highlight w:val="none"/>
                <w:u w:val="none"/>
                <w:lang w:val="en-US" w:eastAsia="zh-CN" w:bidi="ar"/>
              </w:rPr>
              <w:t>15.8</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 w:cs="Times New Roman"/>
                <w:i w:val="0"/>
                <w:iCs w:val="0"/>
                <w:color w:val="auto"/>
                <w:kern w:val="0"/>
                <w:sz w:val="24"/>
                <w:szCs w:val="24"/>
                <w:highlight w:val="none"/>
                <w:u w:val="none"/>
                <w:lang w:val="en-US" w:eastAsia="zh-CN" w:bidi="ar"/>
              </w:rPr>
            </w:pPr>
            <w:r>
              <w:rPr>
                <w:rFonts w:hint="default" w:ascii="Times New Roman" w:hAnsi="Times New Roman" w:eastAsia="仿宋" w:cs="Times New Roman"/>
                <w:i w:val="0"/>
                <w:iCs w:val="0"/>
                <w:color w:val="auto"/>
                <w:kern w:val="0"/>
                <w:sz w:val="24"/>
                <w:szCs w:val="24"/>
                <w:highlight w:val="none"/>
                <w:u w:val="none"/>
                <w:lang w:val="en-US" w:eastAsia="zh-CN" w:bidi="ar"/>
              </w:rPr>
              <w:t>4053.64</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 w:cs="Times New Roman"/>
                <w:i w:val="0"/>
                <w:iCs w:val="0"/>
                <w:color w:val="auto"/>
                <w:kern w:val="0"/>
                <w:sz w:val="24"/>
                <w:szCs w:val="24"/>
                <w:highlight w:val="none"/>
                <w:u w:val="none"/>
                <w:lang w:val="en-US" w:eastAsia="zh-CN" w:bidi="ar"/>
              </w:rPr>
            </w:pPr>
            <w:r>
              <w:rPr>
                <w:rFonts w:hint="default" w:ascii="Times New Roman" w:hAnsi="Times New Roman" w:eastAsia="仿宋" w:cs="Times New Roman"/>
                <w:i w:val="0"/>
                <w:iCs w:val="0"/>
                <w:color w:val="auto"/>
                <w:kern w:val="0"/>
                <w:sz w:val="24"/>
                <w:szCs w:val="24"/>
                <w:highlight w:val="none"/>
                <w:u w:val="none"/>
                <w:lang w:val="en-US" w:eastAsia="zh-CN" w:bidi="ar"/>
              </w:rPr>
              <w:t>1,236.46</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仿宋" w:cs="Times New Roman"/>
                <w:i w:val="0"/>
                <w:iCs w:val="0"/>
                <w:color w:val="auto"/>
                <w:kern w:val="0"/>
                <w:sz w:val="24"/>
                <w:szCs w:val="24"/>
                <w:highlight w:val="none"/>
                <w:u w:val="none"/>
                <w:lang w:val="en-US" w:eastAsia="zh-CN" w:bidi="ar"/>
              </w:rPr>
            </w:pPr>
            <w:r>
              <w:rPr>
                <w:rFonts w:hint="eastAsia" w:ascii="Times New Roman" w:hAnsi="Times New Roman" w:eastAsia="仿宋" w:cs="Times New Roman"/>
                <w:i w:val="0"/>
                <w:iCs w:val="0"/>
                <w:color w:val="auto"/>
                <w:kern w:val="0"/>
                <w:sz w:val="24"/>
                <w:szCs w:val="24"/>
                <w:highlight w:val="none"/>
                <w:u w:val="none"/>
                <w:lang w:val="en-US" w:eastAsia="zh-CN" w:bidi="ar"/>
              </w:rPr>
              <w:t>5,305.90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 w:cs="Times New Roman"/>
                <w:i w:val="0"/>
                <w:iCs w:val="0"/>
                <w:color w:val="auto"/>
                <w:kern w:val="0"/>
                <w:sz w:val="24"/>
                <w:szCs w:val="24"/>
                <w:highlight w:val="none"/>
                <w:u w:val="none"/>
                <w:lang w:val="en-US" w:eastAsia="zh-CN" w:bidi="ar"/>
              </w:rPr>
            </w:pPr>
            <w:r>
              <w:rPr>
                <w:rFonts w:hint="default" w:ascii="Times New Roman" w:hAnsi="Times New Roman" w:eastAsia="仿宋" w:cs="Times New Roman"/>
                <w:i w:val="0"/>
                <w:iCs w:val="0"/>
                <w:color w:val="auto"/>
                <w:kern w:val="0"/>
                <w:sz w:val="24"/>
                <w:szCs w:val="24"/>
                <w:highlight w:val="none"/>
                <w:u w:val="none"/>
                <w:lang w:val="en-US" w:eastAsia="zh-CN" w:bidi="ar"/>
              </w:rPr>
              <w:t>30.50%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仿宋" w:cs="Times New Roman"/>
                <w:i w:val="0"/>
                <w:iCs w:val="0"/>
                <w:color w:val="auto"/>
                <w:kern w:val="0"/>
                <w:sz w:val="24"/>
                <w:szCs w:val="24"/>
                <w:highlight w:val="none"/>
                <w:u w:val="none"/>
                <w:lang w:val="en-US" w:eastAsia="zh-CN" w:bidi="ar"/>
              </w:rPr>
            </w:pPr>
            <w:r>
              <w:rPr>
                <w:rFonts w:hint="eastAsia" w:eastAsia="仿宋" w:cs="Times New Roman"/>
                <w:i w:val="0"/>
                <w:iCs w:val="0"/>
                <w:color w:val="auto"/>
                <w:kern w:val="0"/>
                <w:sz w:val="24"/>
                <w:szCs w:val="24"/>
                <w:highlight w:val="none"/>
                <w:u w:val="none"/>
                <w:lang w:val="en-US" w:eastAsia="zh-CN" w:bidi="ar"/>
              </w:rPr>
              <w:t xml:space="preserve"> </w:t>
            </w:r>
            <w:r>
              <w:rPr>
                <w:rFonts w:hint="eastAsia" w:ascii="Times New Roman" w:hAnsi="Times New Roman" w:eastAsia="仿宋" w:cs="Times New Roman"/>
                <w:i w:val="0"/>
                <w:iCs w:val="0"/>
                <w:color w:val="auto"/>
                <w:kern w:val="0"/>
                <w:sz w:val="24"/>
                <w:szCs w:val="24"/>
                <w:highlight w:val="none"/>
                <w:u w:val="none"/>
                <w:lang w:val="en-US" w:eastAsia="zh-CN" w:bidi="ar"/>
              </w:rPr>
              <w:t>收入合计</w:t>
            </w:r>
          </w:p>
        </w:tc>
        <w:tc>
          <w:tcPr>
            <w:tcW w:w="15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仿宋" w:cs="Times New Roman"/>
                <w:i w:val="0"/>
                <w:iCs w:val="0"/>
                <w:color w:val="auto"/>
                <w:kern w:val="0"/>
                <w:sz w:val="24"/>
                <w:szCs w:val="24"/>
                <w:highlight w:val="none"/>
                <w:u w:val="none"/>
                <w:lang w:val="en-US" w:eastAsia="zh-CN" w:bidi="ar"/>
              </w:rPr>
            </w:pPr>
            <w:r>
              <w:rPr>
                <w:rFonts w:hint="eastAsia" w:ascii="Times New Roman" w:hAnsi="Times New Roman" w:eastAsia="仿宋" w:cs="Times New Roman"/>
                <w:i w:val="0"/>
                <w:iCs w:val="0"/>
                <w:color w:val="auto"/>
                <w:kern w:val="0"/>
                <w:sz w:val="24"/>
                <w:szCs w:val="24"/>
                <w:highlight w:val="none"/>
                <w:u w:val="none"/>
                <w:lang w:val="en-US" w:eastAsia="zh-CN" w:bidi="ar"/>
              </w:rPr>
              <w:t>15.8</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 w:cs="Times New Roman"/>
                <w:i w:val="0"/>
                <w:iCs w:val="0"/>
                <w:color w:val="auto"/>
                <w:kern w:val="0"/>
                <w:sz w:val="24"/>
                <w:szCs w:val="24"/>
                <w:highlight w:val="none"/>
                <w:u w:val="none"/>
                <w:lang w:val="en-US" w:eastAsia="zh-CN" w:bidi="ar"/>
              </w:rPr>
            </w:pPr>
            <w:r>
              <w:rPr>
                <w:rFonts w:hint="default" w:ascii="Times New Roman" w:hAnsi="Times New Roman" w:eastAsia="仿宋" w:cs="Times New Roman"/>
                <w:i w:val="0"/>
                <w:iCs w:val="0"/>
                <w:color w:val="auto"/>
                <w:kern w:val="0"/>
                <w:sz w:val="24"/>
                <w:szCs w:val="24"/>
                <w:highlight w:val="none"/>
                <w:u w:val="none"/>
                <w:lang w:val="en-US" w:eastAsia="zh-CN" w:bidi="ar"/>
              </w:rPr>
              <w:t>4053.64</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 w:cs="Times New Roman"/>
                <w:i w:val="0"/>
                <w:iCs w:val="0"/>
                <w:color w:val="auto"/>
                <w:kern w:val="0"/>
                <w:sz w:val="24"/>
                <w:szCs w:val="24"/>
                <w:highlight w:val="none"/>
                <w:u w:val="none"/>
                <w:lang w:val="en-US" w:eastAsia="zh-CN" w:bidi="ar"/>
              </w:rPr>
            </w:pPr>
            <w:r>
              <w:rPr>
                <w:rFonts w:hint="default" w:ascii="Times New Roman" w:hAnsi="Times New Roman" w:eastAsia="仿宋" w:cs="Times New Roman"/>
                <w:i w:val="0"/>
                <w:iCs w:val="0"/>
                <w:color w:val="auto"/>
                <w:kern w:val="0"/>
                <w:sz w:val="24"/>
                <w:szCs w:val="24"/>
                <w:highlight w:val="none"/>
                <w:u w:val="none"/>
                <w:lang w:val="en-US" w:eastAsia="zh-CN" w:bidi="ar"/>
              </w:rPr>
              <w:t>1,236.46</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仿宋" w:cs="Times New Roman"/>
                <w:i w:val="0"/>
                <w:iCs w:val="0"/>
                <w:color w:val="auto"/>
                <w:kern w:val="0"/>
                <w:sz w:val="24"/>
                <w:szCs w:val="24"/>
                <w:highlight w:val="none"/>
                <w:u w:val="none"/>
                <w:lang w:val="en-US" w:eastAsia="zh-CN" w:bidi="ar"/>
              </w:rPr>
            </w:pPr>
            <w:r>
              <w:rPr>
                <w:rFonts w:hint="eastAsia" w:ascii="Times New Roman" w:hAnsi="Times New Roman" w:eastAsia="仿宋" w:cs="Times New Roman"/>
                <w:i w:val="0"/>
                <w:iCs w:val="0"/>
                <w:color w:val="auto"/>
                <w:kern w:val="0"/>
                <w:sz w:val="24"/>
                <w:szCs w:val="24"/>
                <w:highlight w:val="none"/>
                <w:u w:val="none"/>
                <w:lang w:val="en-US" w:eastAsia="zh-CN" w:bidi="ar"/>
              </w:rPr>
              <w:t>5,305.90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 w:cs="Times New Roman"/>
                <w:i w:val="0"/>
                <w:iCs w:val="0"/>
                <w:color w:val="auto"/>
                <w:kern w:val="0"/>
                <w:sz w:val="24"/>
                <w:szCs w:val="24"/>
                <w:highlight w:val="none"/>
                <w:u w:val="none"/>
                <w:lang w:val="en-US" w:eastAsia="zh-CN" w:bidi="ar"/>
              </w:rPr>
            </w:pPr>
            <w:r>
              <w:rPr>
                <w:rFonts w:hint="default" w:ascii="Times New Roman" w:hAnsi="Times New Roman" w:eastAsia="仿宋" w:cs="Times New Roman"/>
                <w:i w:val="0"/>
                <w:iCs w:val="0"/>
                <w:color w:val="auto"/>
                <w:kern w:val="0"/>
                <w:sz w:val="24"/>
                <w:szCs w:val="24"/>
                <w:highlight w:val="none"/>
                <w:u w:val="none"/>
                <w:lang w:val="en-US" w:eastAsia="zh-CN" w:bidi="ar"/>
              </w:rPr>
              <w:t>30.50%</w:t>
            </w:r>
          </w:p>
        </w:tc>
      </w:tr>
    </w:tbl>
    <w:p>
      <w:pPr>
        <w:adjustRightInd w:val="0"/>
        <w:snapToGrid w:val="0"/>
        <w:spacing w:line="600" w:lineRule="exact"/>
        <w:ind w:right="22" w:rightChars="7" w:firstLine="321" w:firstLineChars="100"/>
        <w:outlineLvl w:val="1"/>
        <w:rPr>
          <w:rFonts w:hint="eastAsia" w:ascii="楷体" w:hAnsi="楷体" w:eastAsia="楷体" w:cs="楷体"/>
          <w:b/>
          <w:color w:val="auto"/>
          <w:szCs w:val="32"/>
          <w:highlight w:val="none"/>
        </w:rPr>
      </w:pPr>
      <w:bookmarkStart w:id="71" w:name="_Toc26613"/>
      <w:bookmarkStart w:id="72" w:name="_Toc23230"/>
      <w:bookmarkStart w:id="73" w:name="_Toc14969"/>
      <w:bookmarkStart w:id="74" w:name="_Toc18849"/>
      <w:bookmarkStart w:id="75" w:name="_Toc28628"/>
      <w:r>
        <w:rPr>
          <w:rFonts w:hint="eastAsia" w:ascii="楷体" w:hAnsi="楷体" w:eastAsia="楷体" w:cs="楷体"/>
          <w:b/>
          <w:color w:val="auto"/>
          <w:szCs w:val="32"/>
          <w:highlight w:val="none"/>
        </w:rPr>
        <w:t>（二）2</w:t>
      </w:r>
      <w:r>
        <w:rPr>
          <w:rFonts w:hint="eastAsia" w:ascii="楷体" w:hAnsi="楷体" w:eastAsia="楷体" w:cs="楷体"/>
          <w:b/>
          <w:color w:val="auto"/>
          <w:szCs w:val="32"/>
          <w:highlight w:val="none"/>
          <w:lang w:val="zh-CN"/>
        </w:rPr>
        <w:t>02</w:t>
      </w:r>
      <w:r>
        <w:rPr>
          <w:rFonts w:ascii="楷体" w:hAnsi="楷体" w:eastAsia="楷体" w:cs="楷体"/>
          <w:b/>
          <w:color w:val="auto"/>
          <w:szCs w:val="32"/>
          <w:highlight w:val="none"/>
          <w:lang w:val="zh-CN"/>
        </w:rPr>
        <w:t>2</w:t>
      </w:r>
      <w:r>
        <w:rPr>
          <w:rFonts w:hint="eastAsia" w:ascii="楷体" w:hAnsi="楷体" w:eastAsia="楷体" w:cs="楷体"/>
          <w:b/>
          <w:color w:val="auto"/>
          <w:szCs w:val="32"/>
          <w:highlight w:val="none"/>
          <w:lang w:val="zh-CN"/>
        </w:rPr>
        <w:t>年度仁和区林业局预算支出情况</w:t>
      </w:r>
      <w:bookmarkEnd w:id="71"/>
      <w:bookmarkEnd w:id="72"/>
      <w:bookmarkEnd w:id="73"/>
      <w:bookmarkEnd w:id="74"/>
      <w:bookmarkEnd w:id="75"/>
    </w:p>
    <w:p>
      <w:pPr>
        <w:keepNext w:val="0"/>
        <w:keepLines w:val="0"/>
        <w:pageBreakBefore w:val="0"/>
        <w:kinsoku/>
        <w:wordWrap/>
        <w:overflowPunct/>
        <w:topLinePunct w:val="0"/>
        <w:autoSpaceDE/>
        <w:autoSpaceDN/>
        <w:bidi w:val="0"/>
        <w:spacing w:line="600" w:lineRule="exact"/>
        <w:ind w:left="0" w:leftChars="0" w:firstLine="640" w:firstLineChars="200"/>
        <w:textAlignment w:val="auto"/>
        <w:outlineLvl w:val="9"/>
        <w:rPr>
          <w:rFonts w:hint="eastAsia" w:ascii="Times New Roman" w:hAnsi="Times New Roman" w:eastAsia="仿宋" w:cs="Times New Roman"/>
          <w:color w:val="auto"/>
          <w:szCs w:val="32"/>
          <w:highlight w:val="none"/>
        </w:rPr>
      </w:pPr>
      <w:r>
        <w:rPr>
          <w:rFonts w:hint="eastAsia" w:ascii="Times New Roman" w:hAnsi="Times New Roman" w:eastAsia="仿宋" w:cs="Times New Roman"/>
          <w:color w:val="auto"/>
          <w:szCs w:val="32"/>
          <w:highlight w:val="none"/>
        </w:rPr>
        <w:t>1.仁和区林业局</w:t>
      </w:r>
      <w:r>
        <w:rPr>
          <w:rFonts w:hint="eastAsia" w:eastAsia="仿宋"/>
          <w:color w:val="auto"/>
          <w:szCs w:val="32"/>
          <w:highlight w:val="none"/>
        </w:rPr>
        <w:t>2022年</w:t>
      </w:r>
      <w:r>
        <w:rPr>
          <w:rFonts w:hint="eastAsia" w:eastAsia="仿宋"/>
          <w:color w:val="auto"/>
          <w:szCs w:val="32"/>
          <w:highlight w:val="none"/>
          <w:lang w:eastAsia="zh-CN"/>
        </w:rPr>
        <w:t>支出</w:t>
      </w:r>
      <w:r>
        <w:rPr>
          <w:rFonts w:hint="eastAsia" w:ascii="Times New Roman" w:hAnsi="Times New Roman" w:eastAsia="仿宋" w:cs="Times New Roman"/>
          <w:color w:val="auto"/>
          <w:szCs w:val="32"/>
          <w:highlight w:val="none"/>
          <w:lang w:eastAsia="zh-CN"/>
        </w:rPr>
        <w:t>按</w:t>
      </w:r>
      <w:r>
        <w:rPr>
          <w:rFonts w:hint="eastAsia" w:ascii="仿宋" w:hAnsi="仿宋" w:eastAsia="仿宋" w:cs="仿宋"/>
          <w:color w:val="auto"/>
          <w:kern w:val="0"/>
          <w:szCs w:val="32"/>
          <w:highlight w:val="none"/>
          <w:lang w:val="zh-CN"/>
        </w:rPr>
        <w:t>经济性质分类情况</w:t>
      </w:r>
    </w:p>
    <w:p>
      <w:pPr>
        <w:keepNext w:val="0"/>
        <w:keepLines w:val="0"/>
        <w:pageBreakBefore w:val="0"/>
        <w:kinsoku/>
        <w:wordWrap/>
        <w:overflowPunct/>
        <w:topLinePunct w:val="0"/>
        <w:autoSpaceDE/>
        <w:autoSpaceDN/>
        <w:bidi w:val="0"/>
        <w:spacing w:line="600" w:lineRule="exact"/>
        <w:ind w:left="0" w:leftChars="0" w:firstLine="640" w:firstLineChars="200"/>
        <w:textAlignment w:val="auto"/>
        <w:outlineLvl w:val="9"/>
        <w:rPr>
          <w:rFonts w:hint="eastAsia" w:ascii="Times New Roman" w:hAnsi="Times New Roman" w:eastAsia="仿宋" w:cs="Times New Roman"/>
          <w:color w:val="auto"/>
          <w:szCs w:val="32"/>
          <w:highlight w:val="none"/>
          <w:lang w:val="zh-CN"/>
        </w:rPr>
      </w:pPr>
      <w:r>
        <w:rPr>
          <w:rFonts w:hint="eastAsia" w:ascii="Times New Roman" w:hAnsi="Times New Roman" w:eastAsia="仿宋" w:cs="Times New Roman"/>
          <w:color w:val="auto"/>
          <w:szCs w:val="32"/>
          <w:highlight w:val="none"/>
        </w:rPr>
        <w:t>仁和区林业局2022年</w:t>
      </w:r>
      <w:r>
        <w:rPr>
          <w:rFonts w:hint="eastAsia" w:eastAsia="仿宋"/>
          <w:color w:val="auto"/>
          <w:kern w:val="0"/>
          <w:szCs w:val="32"/>
          <w:highlight w:val="none"/>
          <w:lang w:val="zh-CN"/>
        </w:rPr>
        <w:t>决算</w:t>
      </w:r>
      <w:r>
        <w:rPr>
          <w:rFonts w:eastAsia="仿宋"/>
          <w:color w:val="auto"/>
          <w:kern w:val="0"/>
          <w:szCs w:val="32"/>
          <w:highlight w:val="none"/>
          <w:lang w:val="zh-CN"/>
        </w:rPr>
        <w:t>支出</w:t>
      </w:r>
      <w:r>
        <w:rPr>
          <w:rFonts w:hint="eastAsia" w:eastAsia="仿宋"/>
          <w:color w:val="auto"/>
          <w:kern w:val="0"/>
          <w:szCs w:val="32"/>
          <w:highlight w:val="none"/>
          <w:lang w:val="zh-CN"/>
        </w:rPr>
        <w:t>总计</w:t>
      </w:r>
      <w:r>
        <w:rPr>
          <w:rFonts w:hint="eastAsia" w:ascii="Times New Roman" w:hAnsi="Times New Roman" w:eastAsia="仿宋" w:cs="Times New Roman"/>
          <w:color w:val="auto"/>
          <w:szCs w:val="32"/>
          <w:highlight w:val="none"/>
        </w:rPr>
        <w:t>5,321.2</w:t>
      </w:r>
      <w:r>
        <w:rPr>
          <w:rFonts w:hint="eastAsia" w:eastAsia="仿宋" w:cs="Times New Roman"/>
          <w:color w:val="auto"/>
          <w:szCs w:val="32"/>
          <w:highlight w:val="none"/>
          <w:lang w:val="en-US" w:eastAsia="zh-CN"/>
        </w:rPr>
        <w:t>7</w:t>
      </w:r>
      <w:r>
        <w:rPr>
          <w:rFonts w:hint="eastAsia" w:ascii="Times New Roman" w:hAnsi="Times New Roman" w:eastAsia="仿宋" w:cs="Times New Roman"/>
          <w:color w:val="auto"/>
          <w:szCs w:val="32"/>
          <w:highlight w:val="none"/>
        </w:rPr>
        <w:t>万元，其中：</w:t>
      </w:r>
      <w:r>
        <w:rPr>
          <w:rFonts w:hint="eastAsia" w:ascii="Times New Roman" w:hAnsi="Times New Roman" w:eastAsia="仿宋" w:cs="Times New Roman"/>
          <w:color w:val="auto"/>
          <w:szCs w:val="32"/>
          <w:highlight w:val="none"/>
          <w:lang w:eastAsia="zh-CN"/>
        </w:rPr>
        <w:t>基本支出</w:t>
      </w:r>
      <w:r>
        <w:rPr>
          <w:rFonts w:hint="eastAsia" w:ascii="Times New Roman" w:hAnsi="Times New Roman" w:eastAsia="仿宋" w:cs="Times New Roman"/>
          <w:color w:val="auto"/>
          <w:szCs w:val="32"/>
          <w:highlight w:val="none"/>
        </w:rPr>
        <w:t>593.05万元，项目支出4,728.23万元。如下表</w:t>
      </w:r>
      <w:r>
        <w:rPr>
          <w:rFonts w:hint="eastAsia" w:ascii="Times New Roman" w:hAnsi="Times New Roman" w:eastAsia="仿宋" w:cs="Times New Roman"/>
          <w:color w:val="auto"/>
          <w:szCs w:val="32"/>
          <w:highlight w:val="none"/>
          <w:lang w:eastAsia="zh-CN"/>
        </w:rPr>
        <w:t>：</w:t>
      </w:r>
    </w:p>
    <w:p>
      <w:pPr>
        <w:keepNext w:val="0"/>
        <w:keepLines w:val="0"/>
        <w:pageBreakBefore w:val="0"/>
        <w:kinsoku/>
        <w:wordWrap/>
        <w:overflowPunct/>
        <w:topLinePunct w:val="0"/>
        <w:autoSpaceDE/>
        <w:autoSpaceDN/>
        <w:bidi w:val="0"/>
        <w:spacing w:line="600" w:lineRule="exact"/>
        <w:ind w:left="0" w:leftChars="0" w:firstLine="640" w:firstLineChars="200"/>
        <w:textAlignment w:val="auto"/>
        <w:outlineLvl w:val="9"/>
        <w:rPr>
          <w:rFonts w:hint="eastAsia" w:eastAsia="仿宋"/>
          <w:color w:val="auto"/>
          <w:szCs w:val="32"/>
          <w:highlight w:val="none"/>
          <w:lang w:val="en-US" w:eastAsia="zh-CN"/>
        </w:rPr>
      </w:pPr>
      <w:r>
        <w:rPr>
          <w:rFonts w:hint="eastAsia" w:eastAsia="仿宋"/>
          <w:color w:val="auto"/>
          <w:szCs w:val="32"/>
          <w:highlight w:val="none"/>
          <w:lang w:val="en-US" w:eastAsia="zh-CN"/>
        </w:rPr>
        <w:t xml:space="preserve">                                      单位：万元</w:t>
      </w:r>
    </w:p>
    <w:tbl>
      <w:tblPr>
        <w:tblStyle w:val="14"/>
        <w:tblW w:w="900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205"/>
        <w:gridCol w:w="1545"/>
        <w:gridCol w:w="1650"/>
        <w:gridCol w:w="1725"/>
        <w:gridCol w:w="18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项目</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 xml:space="preserve"> 年初预算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 xml:space="preserve">预算调整数 </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 xml:space="preserve"> 年末决算数 </w:t>
            </w:r>
          </w:p>
        </w:tc>
        <w:tc>
          <w:tcPr>
            <w:tcW w:w="18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预算调整率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2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一、基本支出</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593.04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   </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593.04 </w:t>
            </w:r>
          </w:p>
        </w:tc>
        <w:tc>
          <w:tcPr>
            <w:tcW w:w="18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2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人员经费</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527.30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14.38 </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541.68 </w:t>
            </w:r>
          </w:p>
        </w:tc>
        <w:tc>
          <w:tcPr>
            <w:tcW w:w="18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2.73%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2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公用经费</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65.74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-14.38 </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51.36 </w:t>
            </w:r>
          </w:p>
        </w:tc>
        <w:tc>
          <w:tcPr>
            <w:tcW w:w="18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-21.87%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2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二、项目支出</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3,460.61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1,267.63 </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lang w:val="en-US"/>
              </w:rPr>
            </w:pPr>
            <w:r>
              <w:rPr>
                <w:rFonts w:hint="default" w:ascii="Times New Roman" w:hAnsi="Times New Roman" w:eastAsia="宋体" w:cs="Times New Roman"/>
                <w:i w:val="0"/>
                <w:color w:val="auto"/>
                <w:kern w:val="0"/>
                <w:sz w:val="24"/>
                <w:szCs w:val="24"/>
                <w:highlight w:val="none"/>
                <w:u w:val="none"/>
                <w:lang w:val="en-US" w:eastAsia="zh-CN" w:bidi="ar"/>
              </w:rPr>
              <w:t xml:space="preserve"> 4,728.2</w:t>
            </w:r>
            <w:r>
              <w:rPr>
                <w:rFonts w:hint="eastAsia" w:eastAsia="宋体" w:cs="Times New Roman"/>
                <w:i w:val="0"/>
                <w:color w:val="auto"/>
                <w:kern w:val="0"/>
                <w:sz w:val="24"/>
                <w:szCs w:val="24"/>
                <w:highlight w:val="none"/>
                <w:u w:val="none"/>
                <w:lang w:val="en-US" w:eastAsia="zh-CN" w:bidi="ar"/>
              </w:rPr>
              <w:t>3</w:t>
            </w:r>
          </w:p>
        </w:tc>
        <w:tc>
          <w:tcPr>
            <w:tcW w:w="18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36.63%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2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合计</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4,053.65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1,267.63 </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5,321.2</w:t>
            </w:r>
            <w:r>
              <w:rPr>
                <w:rFonts w:hint="eastAsia" w:eastAsia="宋体" w:cs="Times New Roman"/>
                <w:i w:val="0"/>
                <w:color w:val="auto"/>
                <w:kern w:val="0"/>
                <w:sz w:val="24"/>
                <w:szCs w:val="24"/>
                <w:highlight w:val="none"/>
                <w:u w:val="none"/>
                <w:lang w:val="en-US" w:eastAsia="zh-CN" w:bidi="ar"/>
              </w:rPr>
              <w:t>7</w:t>
            </w:r>
            <w:r>
              <w:rPr>
                <w:rFonts w:hint="default" w:ascii="Times New Roman" w:hAnsi="Times New Roman" w:eastAsia="宋体" w:cs="Times New Roman"/>
                <w:i w:val="0"/>
                <w:color w:val="auto"/>
                <w:kern w:val="0"/>
                <w:sz w:val="24"/>
                <w:szCs w:val="24"/>
                <w:highlight w:val="none"/>
                <w:u w:val="none"/>
                <w:lang w:val="en-US" w:eastAsia="zh-CN" w:bidi="ar"/>
              </w:rPr>
              <w:t xml:space="preserve"> </w:t>
            </w:r>
          </w:p>
        </w:tc>
        <w:tc>
          <w:tcPr>
            <w:tcW w:w="18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31.27%</w:t>
            </w:r>
          </w:p>
        </w:tc>
      </w:tr>
    </w:tbl>
    <w:p>
      <w:pPr>
        <w:keepNext w:val="0"/>
        <w:keepLines w:val="0"/>
        <w:pageBreakBefore w:val="0"/>
        <w:kinsoku/>
        <w:wordWrap/>
        <w:overflowPunct/>
        <w:topLinePunct w:val="0"/>
        <w:autoSpaceDE/>
        <w:autoSpaceDN/>
        <w:bidi w:val="0"/>
        <w:spacing w:line="600" w:lineRule="exact"/>
        <w:ind w:left="0" w:leftChars="0" w:firstLine="640" w:firstLineChars="200"/>
        <w:textAlignment w:val="auto"/>
        <w:outlineLvl w:val="9"/>
        <w:rPr>
          <w:rFonts w:hint="eastAsia" w:ascii="Times New Roman" w:hAnsi="Times New Roman" w:eastAsia="仿宋" w:cs="Times New Roman"/>
          <w:color w:val="auto"/>
          <w:szCs w:val="32"/>
          <w:highlight w:val="none"/>
          <w:lang w:val="zh-CN"/>
        </w:rPr>
      </w:pPr>
      <w:r>
        <w:rPr>
          <w:rFonts w:hint="eastAsia" w:ascii="Times New Roman" w:hAnsi="Times New Roman" w:eastAsia="仿宋" w:cs="Times New Roman"/>
          <w:color w:val="auto"/>
          <w:szCs w:val="32"/>
          <w:highlight w:val="none"/>
          <w:lang w:val="zh-CN"/>
        </w:rPr>
        <w:t>2.</w:t>
      </w:r>
      <w:r>
        <w:rPr>
          <w:rFonts w:hint="eastAsia" w:ascii="Times New Roman" w:hAnsi="Times New Roman" w:eastAsia="仿宋" w:cs="Times New Roman"/>
          <w:color w:val="auto"/>
          <w:szCs w:val="32"/>
          <w:highlight w:val="none"/>
        </w:rPr>
        <w:t>仁和区林业局</w:t>
      </w:r>
      <w:r>
        <w:rPr>
          <w:rFonts w:eastAsia="仿宋"/>
          <w:color w:val="auto"/>
          <w:kern w:val="0"/>
          <w:szCs w:val="32"/>
          <w:highlight w:val="none"/>
          <w:lang w:val="zh-CN"/>
        </w:rPr>
        <w:t>2022年</w:t>
      </w:r>
      <w:r>
        <w:rPr>
          <w:rFonts w:hint="eastAsia" w:ascii="仿宋" w:hAnsi="仿宋" w:eastAsia="仿宋" w:cs="仿宋"/>
          <w:color w:val="auto"/>
          <w:kern w:val="0"/>
          <w:szCs w:val="32"/>
          <w:highlight w:val="none"/>
          <w:lang w:val="zh-CN"/>
        </w:rPr>
        <w:t>支出按照支出功能分类情况</w:t>
      </w:r>
      <w:r>
        <w:rPr>
          <w:rFonts w:hint="eastAsia" w:eastAsia="仿宋"/>
          <w:color w:val="auto"/>
          <w:kern w:val="0"/>
          <w:szCs w:val="32"/>
          <w:highlight w:val="none"/>
          <w:lang w:val="zh-CN" w:bidi="ar"/>
        </w:rPr>
        <w:t>如下表：</w:t>
      </w:r>
    </w:p>
    <w:p>
      <w:pPr>
        <w:spacing w:line="600" w:lineRule="exact"/>
        <w:ind w:firstLine="640" w:firstLineChars="200"/>
        <w:outlineLvl w:val="2"/>
        <w:rPr>
          <w:rFonts w:hint="eastAsia" w:eastAsia="仿宋"/>
          <w:color w:val="auto"/>
          <w:szCs w:val="32"/>
          <w:highlight w:val="none"/>
          <w:lang w:val="en-US" w:eastAsia="zh-CN"/>
        </w:rPr>
      </w:pPr>
      <w:r>
        <w:rPr>
          <w:rFonts w:hint="eastAsia" w:eastAsia="仿宋"/>
          <w:color w:val="auto"/>
          <w:szCs w:val="32"/>
          <w:highlight w:val="none"/>
          <w:lang w:val="en-US" w:eastAsia="zh-CN"/>
        </w:rPr>
        <w:t xml:space="preserve">                                        单位：万元</w:t>
      </w:r>
    </w:p>
    <w:tbl>
      <w:tblPr>
        <w:tblStyle w:val="14"/>
        <w:tblW w:w="897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859"/>
        <w:gridCol w:w="1725"/>
        <w:gridCol w:w="1410"/>
        <w:gridCol w:w="1500"/>
        <w:gridCol w:w="14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55" w:hRule="atLeast"/>
        </w:trPr>
        <w:tc>
          <w:tcPr>
            <w:tcW w:w="2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仿宋" w:cs="Times New Roman"/>
                <w:i w:val="0"/>
                <w:iCs w:val="0"/>
                <w:color w:val="auto"/>
                <w:kern w:val="0"/>
                <w:sz w:val="24"/>
                <w:szCs w:val="24"/>
                <w:highlight w:val="none"/>
                <w:u w:val="none"/>
                <w:lang w:val="en-US" w:eastAsia="zh-CN" w:bidi="ar"/>
              </w:rPr>
            </w:pPr>
            <w:r>
              <w:rPr>
                <w:rFonts w:hint="eastAsia" w:ascii="Times New Roman" w:hAnsi="Times New Roman" w:eastAsia="仿宋" w:cs="Times New Roman"/>
                <w:i w:val="0"/>
                <w:iCs w:val="0"/>
                <w:color w:val="auto"/>
                <w:kern w:val="0"/>
                <w:sz w:val="24"/>
                <w:szCs w:val="24"/>
                <w:highlight w:val="none"/>
                <w:u w:val="none"/>
                <w:lang w:val="en-US" w:eastAsia="zh-CN" w:bidi="ar"/>
              </w:rPr>
              <w:t>项目</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仿宋" w:cs="Times New Roman"/>
                <w:i w:val="0"/>
                <w:iCs w:val="0"/>
                <w:color w:val="auto"/>
                <w:kern w:val="0"/>
                <w:sz w:val="24"/>
                <w:szCs w:val="24"/>
                <w:highlight w:val="none"/>
                <w:u w:val="none"/>
                <w:lang w:val="en-US" w:eastAsia="zh-CN" w:bidi="ar"/>
              </w:rPr>
            </w:pPr>
            <w:r>
              <w:rPr>
                <w:rFonts w:hint="eastAsia" w:ascii="Times New Roman" w:hAnsi="Times New Roman" w:eastAsia="仿宋" w:cs="Times New Roman"/>
                <w:i w:val="0"/>
                <w:iCs w:val="0"/>
                <w:color w:val="auto"/>
                <w:kern w:val="0"/>
                <w:sz w:val="24"/>
                <w:szCs w:val="24"/>
                <w:highlight w:val="none"/>
                <w:u w:val="none"/>
                <w:lang w:val="en-US" w:eastAsia="zh-CN" w:bidi="ar"/>
              </w:rPr>
              <w:t>年初预算支出</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仿宋" w:cs="Times New Roman"/>
                <w:i w:val="0"/>
                <w:iCs w:val="0"/>
                <w:color w:val="auto"/>
                <w:kern w:val="0"/>
                <w:sz w:val="24"/>
                <w:szCs w:val="24"/>
                <w:highlight w:val="none"/>
                <w:u w:val="none"/>
                <w:lang w:val="en-US" w:eastAsia="zh-CN" w:bidi="ar"/>
              </w:rPr>
            </w:pPr>
            <w:r>
              <w:rPr>
                <w:rFonts w:hint="eastAsia" w:ascii="Times New Roman" w:hAnsi="Times New Roman" w:eastAsia="仿宋" w:cs="Times New Roman"/>
                <w:i w:val="0"/>
                <w:iCs w:val="0"/>
                <w:color w:val="auto"/>
                <w:kern w:val="0"/>
                <w:sz w:val="24"/>
                <w:szCs w:val="24"/>
                <w:highlight w:val="none"/>
                <w:u w:val="none"/>
                <w:lang w:val="en-US" w:eastAsia="zh-CN" w:bidi="ar"/>
              </w:rPr>
              <w:t>预算调整数</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仿宋" w:cs="Times New Roman"/>
                <w:i w:val="0"/>
                <w:iCs w:val="0"/>
                <w:color w:val="auto"/>
                <w:kern w:val="0"/>
                <w:sz w:val="24"/>
                <w:szCs w:val="24"/>
                <w:highlight w:val="none"/>
                <w:u w:val="none"/>
                <w:lang w:val="en-US" w:eastAsia="zh-CN" w:bidi="ar"/>
              </w:rPr>
            </w:pPr>
            <w:r>
              <w:rPr>
                <w:rFonts w:hint="eastAsia" w:ascii="Times New Roman" w:hAnsi="Times New Roman" w:eastAsia="仿宋" w:cs="Times New Roman"/>
                <w:i w:val="0"/>
                <w:iCs w:val="0"/>
                <w:color w:val="auto"/>
                <w:kern w:val="0"/>
                <w:sz w:val="24"/>
                <w:szCs w:val="24"/>
                <w:highlight w:val="none"/>
                <w:u w:val="none"/>
                <w:lang w:val="en-US" w:eastAsia="zh-CN" w:bidi="ar"/>
              </w:rPr>
              <w:t>年末决算数</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仿宋" w:cs="Times New Roman"/>
                <w:i w:val="0"/>
                <w:iCs w:val="0"/>
                <w:color w:val="auto"/>
                <w:kern w:val="0"/>
                <w:sz w:val="24"/>
                <w:szCs w:val="24"/>
                <w:highlight w:val="none"/>
                <w:u w:val="none"/>
                <w:lang w:val="en-US" w:eastAsia="zh-CN" w:bidi="ar"/>
              </w:rPr>
            </w:pPr>
            <w:r>
              <w:rPr>
                <w:rFonts w:hint="eastAsia" w:eastAsia="仿宋" w:cs="Times New Roman"/>
                <w:i w:val="0"/>
                <w:iCs w:val="0"/>
                <w:color w:val="auto"/>
                <w:kern w:val="0"/>
                <w:sz w:val="24"/>
                <w:szCs w:val="24"/>
                <w:highlight w:val="none"/>
                <w:u w:val="none"/>
                <w:lang w:val="en-US" w:eastAsia="zh-CN" w:bidi="ar"/>
              </w:rPr>
              <w:t>预算调整率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28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Times New Roman" w:hAnsi="Times New Roman" w:eastAsia="仿宋" w:cs="Times New Roman"/>
                <w:i w:val="0"/>
                <w:iCs w:val="0"/>
                <w:color w:val="auto"/>
                <w:kern w:val="0"/>
                <w:sz w:val="24"/>
                <w:szCs w:val="24"/>
                <w:highlight w:val="none"/>
                <w:u w:val="none"/>
                <w:lang w:val="en-US" w:eastAsia="zh-CN" w:bidi="ar"/>
              </w:rPr>
            </w:pPr>
            <w:r>
              <w:rPr>
                <w:rFonts w:hint="eastAsia" w:ascii="Times New Roman" w:hAnsi="Times New Roman" w:eastAsia="仿宋" w:cs="Times New Roman"/>
                <w:i w:val="0"/>
                <w:iCs w:val="0"/>
                <w:color w:val="auto"/>
                <w:kern w:val="0"/>
                <w:sz w:val="24"/>
                <w:szCs w:val="24"/>
                <w:highlight w:val="none"/>
                <w:u w:val="none"/>
                <w:lang w:val="en-US" w:eastAsia="zh-CN" w:bidi="ar"/>
              </w:rPr>
              <w:t>社会保障和就业支出</w:t>
            </w:r>
          </w:p>
        </w:tc>
        <w:tc>
          <w:tcPr>
            <w:tcW w:w="1725"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center"/>
              <w:rPr>
                <w:rFonts w:hint="eastAsia" w:ascii="Times New Roman" w:hAnsi="Times New Roman" w:eastAsia="仿宋" w:cs="Times New Roman"/>
                <w:i w:val="0"/>
                <w:iCs w:val="0"/>
                <w:color w:val="auto"/>
                <w:kern w:val="0"/>
                <w:sz w:val="24"/>
                <w:szCs w:val="24"/>
                <w:highlight w:val="none"/>
                <w:u w:val="none"/>
                <w:lang w:val="en-US" w:eastAsia="zh-CN" w:bidi="ar"/>
              </w:rPr>
            </w:pPr>
            <w:r>
              <w:rPr>
                <w:rFonts w:hint="eastAsia" w:ascii="Times New Roman" w:hAnsi="Times New Roman" w:eastAsia="仿宋" w:cs="Times New Roman"/>
                <w:i w:val="0"/>
                <w:iCs w:val="0"/>
                <w:color w:val="auto"/>
                <w:kern w:val="0"/>
                <w:sz w:val="24"/>
                <w:szCs w:val="24"/>
                <w:highlight w:val="none"/>
                <w:u w:val="none"/>
                <w:lang w:val="en-US" w:eastAsia="zh-CN" w:bidi="ar"/>
              </w:rPr>
              <w:t xml:space="preserve">49.28 </w:t>
            </w:r>
          </w:p>
        </w:tc>
        <w:tc>
          <w:tcPr>
            <w:tcW w:w="141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center"/>
              <w:rPr>
                <w:rFonts w:hint="eastAsia" w:ascii="Times New Roman" w:hAnsi="Times New Roman" w:eastAsia="仿宋" w:cs="Times New Roman"/>
                <w:i w:val="0"/>
                <w:iCs w:val="0"/>
                <w:color w:val="auto"/>
                <w:kern w:val="0"/>
                <w:sz w:val="24"/>
                <w:szCs w:val="24"/>
                <w:highlight w:val="none"/>
                <w:u w:val="none"/>
                <w:lang w:val="en-US" w:eastAsia="zh-CN" w:bidi="ar"/>
              </w:rPr>
            </w:pPr>
            <w:r>
              <w:rPr>
                <w:rFonts w:hint="eastAsia" w:ascii="Times New Roman" w:hAnsi="Times New Roman" w:eastAsia="仿宋" w:cs="Times New Roman"/>
                <w:i w:val="0"/>
                <w:iCs w:val="0"/>
                <w:color w:val="auto"/>
                <w:kern w:val="0"/>
                <w:sz w:val="24"/>
                <w:szCs w:val="24"/>
                <w:highlight w:val="none"/>
                <w:u w:val="none"/>
                <w:lang w:val="en-US" w:eastAsia="zh-CN" w:bidi="ar"/>
              </w:rPr>
              <w:t xml:space="preserve">0.00 </w:t>
            </w:r>
          </w:p>
        </w:tc>
        <w:tc>
          <w:tcPr>
            <w:tcW w:w="150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center"/>
              <w:rPr>
                <w:rFonts w:hint="eastAsia" w:ascii="Times New Roman" w:hAnsi="Times New Roman" w:eastAsia="仿宋" w:cs="Times New Roman"/>
                <w:i w:val="0"/>
                <w:iCs w:val="0"/>
                <w:color w:val="auto"/>
                <w:kern w:val="0"/>
                <w:sz w:val="24"/>
                <w:szCs w:val="24"/>
                <w:highlight w:val="none"/>
                <w:u w:val="none"/>
                <w:lang w:val="en-US" w:eastAsia="zh-CN" w:bidi="ar"/>
              </w:rPr>
            </w:pPr>
            <w:r>
              <w:rPr>
                <w:rFonts w:hint="eastAsia" w:ascii="Times New Roman" w:hAnsi="Times New Roman" w:eastAsia="仿宋" w:cs="Times New Roman"/>
                <w:i w:val="0"/>
                <w:iCs w:val="0"/>
                <w:color w:val="auto"/>
                <w:kern w:val="0"/>
                <w:sz w:val="24"/>
                <w:szCs w:val="24"/>
                <w:highlight w:val="none"/>
                <w:u w:val="none"/>
                <w:lang w:val="en-US" w:eastAsia="zh-CN" w:bidi="ar"/>
              </w:rPr>
              <w:t xml:space="preserve">49.28 </w:t>
            </w:r>
          </w:p>
        </w:tc>
        <w:tc>
          <w:tcPr>
            <w:tcW w:w="1485"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center"/>
              <w:rPr>
                <w:rFonts w:hint="eastAsia" w:ascii="Times New Roman" w:hAnsi="Times New Roman" w:eastAsia="仿宋" w:cs="Times New Roman"/>
                <w:i w:val="0"/>
                <w:iCs w:val="0"/>
                <w:color w:val="auto"/>
                <w:kern w:val="0"/>
                <w:sz w:val="24"/>
                <w:szCs w:val="24"/>
                <w:highlight w:val="none"/>
                <w:u w:val="none"/>
                <w:lang w:val="en-US" w:eastAsia="zh-CN" w:bidi="ar"/>
              </w:rPr>
            </w:pPr>
            <w:r>
              <w:rPr>
                <w:rFonts w:hint="eastAsia" w:ascii="Times New Roman" w:hAnsi="Times New Roman" w:eastAsia="仿宋" w:cs="Times New Roman"/>
                <w:i w:val="0"/>
                <w:iCs w:val="0"/>
                <w:color w:val="auto"/>
                <w:kern w:val="0"/>
                <w:sz w:val="24"/>
                <w:szCs w:val="24"/>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28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Times New Roman" w:hAnsi="Times New Roman" w:eastAsia="仿宋" w:cs="Times New Roman"/>
                <w:i w:val="0"/>
                <w:iCs w:val="0"/>
                <w:color w:val="auto"/>
                <w:kern w:val="0"/>
                <w:sz w:val="24"/>
                <w:szCs w:val="24"/>
                <w:highlight w:val="none"/>
                <w:u w:val="none"/>
                <w:lang w:val="en-US" w:eastAsia="zh-CN" w:bidi="ar"/>
              </w:rPr>
            </w:pPr>
            <w:r>
              <w:rPr>
                <w:rFonts w:hint="eastAsia" w:ascii="Times New Roman" w:hAnsi="Times New Roman" w:eastAsia="仿宋" w:cs="Times New Roman"/>
                <w:i w:val="0"/>
                <w:iCs w:val="0"/>
                <w:color w:val="auto"/>
                <w:kern w:val="0"/>
                <w:sz w:val="24"/>
                <w:szCs w:val="24"/>
                <w:highlight w:val="none"/>
                <w:u w:val="none"/>
                <w:lang w:val="en-US" w:eastAsia="zh-CN" w:bidi="ar"/>
              </w:rPr>
              <w:t>卫生健康支出</w:t>
            </w:r>
          </w:p>
        </w:tc>
        <w:tc>
          <w:tcPr>
            <w:tcW w:w="1725"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center"/>
              <w:rPr>
                <w:rFonts w:hint="eastAsia" w:ascii="Times New Roman" w:hAnsi="Times New Roman" w:eastAsia="仿宋" w:cs="Times New Roman"/>
                <w:i w:val="0"/>
                <w:iCs w:val="0"/>
                <w:color w:val="auto"/>
                <w:kern w:val="0"/>
                <w:sz w:val="24"/>
                <w:szCs w:val="24"/>
                <w:highlight w:val="none"/>
                <w:u w:val="none"/>
                <w:lang w:val="en-US" w:eastAsia="zh-CN" w:bidi="ar"/>
              </w:rPr>
            </w:pPr>
            <w:r>
              <w:rPr>
                <w:rFonts w:hint="eastAsia" w:ascii="Times New Roman" w:hAnsi="Times New Roman" w:eastAsia="仿宋" w:cs="Times New Roman"/>
                <w:i w:val="0"/>
                <w:iCs w:val="0"/>
                <w:color w:val="auto"/>
                <w:kern w:val="0"/>
                <w:sz w:val="24"/>
                <w:szCs w:val="24"/>
                <w:highlight w:val="none"/>
                <w:u w:val="none"/>
                <w:lang w:val="en-US" w:eastAsia="zh-CN" w:bidi="ar"/>
              </w:rPr>
              <w:t xml:space="preserve">29.23 </w:t>
            </w:r>
          </w:p>
        </w:tc>
        <w:tc>
          <w:tcPr>
            <w:tcW w:w="141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center"/>
              <w:rPr>
                <w:rFonts w:hint="eastAsia" w:ascii="Times New Roman" w:hAnsi="Times New Roman" w:eastAsia="仿宋" w:cs="Times New Roman"/>
                <w:i w:val="0"/>
                <w:iCs w:val="0"/>
                <w:color w:val="auto"/>
                <w:kern w:val="0"/>
                <w:sz w:val="24"/>
                <w:szCs w:val="24"/>
                <w:highlight w:val="none"/>
                <w:u w:val="none"/>
                <w:lang w:val="en-US" w:eastAsia="zh-CN" w:bidi="ar"/>
              </w:rPr>
            </w:pPr>
            <w:r>
              <w:rPr>
                <w:rFonts w:hint="eastAsia" w:ascii="Times New Roman" w:hAnsi="Times New Roman" w:eastAsia="仿宋" w:cs="Times New Roman"/>
                <w:i w:val="0"/>
                <w:iCs w:val="0"/>
                <w:color w:val="auto"/>
                <w:kern w:val="0"/>
                <w:sz w:val="24"/>
                <w:szCs w:val="24"/>
                <w:highlight w:val="none"/>
                <w:u w:val="none"/>
                <w:lang w:val="en-US" w:eastAsia="zh-CN" w:bidi="ar"/>
              </w:rPr>
              <w:t xml:space="preserve">0.00 </w:t>
            </w:r>
          </w:p>
        </w:tc>
        <w:tc>
          <w:tcPr>
            <w:tcW w:w="150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center"/>
              <w:rPr>
                <w:rFonts w:hint="eastAsia" w:ascii="Times New Roman" w:hAnsi="Times New Roman" w:eastAsia="仿宋" w:cs="Times New Roman"/>
                <w:i w:val="0"/>
                <w:iCs w:val="0"/>
                <w:color w:val="auto"/>
                <w:kern w:val="0"/>
                <w:sz w:val="24"/>
                <w:szCs w:val="24"/>
                <w:highlight w:val="none"/>
                <w:u w:val="none"/>
                <w:lang w:val="en-US" w:eastAsia="zh-CN" w:bidi="ar"/>
              </w:rPr>
            </w:pPr>
            <w:r>
              <w:rPr>
                <w:rFonts w:hint="eastAsia" w:ascii="Times New Roman" w:hAnsi="Times New Roman" w:eastAsia="仿宋" w:cs="Times New Roman"/>
                <w:i w:val="0"/>
                <w:iCs w:val="0"/>
                <w:color w:val="auto"/>
                <w:kern w:val="0"/>
                <w:sz w:val="24"/>
                <w:szCs w:val="24"/>
                <w:highlight w:val="none"/>
                <w:u w:val="none"/>
                <w:lang w:val="en-US" w:eastAsia="zh-CN" w:bidi="ar"/>
              </w:rPr>
              <w:t xml:space="preserve">29.23 </w:t>
            </w:r>
          </w:p>
        </w:tc>
        <w:tc>
          <w:tcPr>
            <w:tcW w:w="1485"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center"/>
              <w:rPr>
                <w:rFonts w:hint="eastAsia" w:ascii="Times New Roman" w:hAnsi="Times New Roman" w:eastAsia="仿宋" w:cs="Times New Roman"/>
                <w:i w:val="0"/>
                <w:iCs w:val="0"/>
                <w:color w:val="auto"/>
                <w:kern w:val="0"/>
                <w:sz w:val="24"/>
                <w:szCs w:val="24"/>
                <w:highlight w:val="none"/>
                <w:u w:val="none"/>
                <w:lang w:val="en-US" w:eastAsia="zh-CN" w:bidi="ar"/>
              </w:rPr>
            </w:pPr>
            <w:r>
              <w:rPr>
                <w:rFonts w:hint="eastAsia" w:ascii="Times New Roman" w:hAnsi="Times New Roman" w:eastAsia="仿宋" w:cs="Times New Roman"/>
                <w:i w:val="0"/>
                <w:iCs w:val="0"/>
                <w:color w:val="auto"/>
                <w:kern w:val="0"/>
                <w:sz w:val="24"/>
                <w:szCs w:val="24"/>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28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Times New Roman" w:hAnsi="Times New Roman" w:eastAsia="仿宋" w:cs="Times New Roman"/>
                <w:i w:val="0"/>
                <w:iCs w:val="0"/>
                <w:color w:val="auto"/>
                <w:kern w:val="0"/>
                <w:sz w:val="24"/>
                <w:szCs w:val="24"/>
                <w:highlight w:val="none"/>
                <w:u w:val="none"/>
                <w:lang w:val="en-US" w:eastAsia="zh-CN" w:bidi="ar"/>
              </w:rPr>
            </w:pPr>
            <w:r>
              <w:rPr>
                <w:rFonts w:hint="eastAsia" w:ascii="Times New Roman" w:hAnsi="Times New Roman" w:eastAsia="仿宋" w:cs="Times New Roman"/>
                <w:i w:val="0"/>
                <w:iCs w:val="0"/>
                <w:color w:val="auto"/>
                <w:kern w:val="0"/>
                <w:sz w:val="24"/>
                <w:szCs w:val="24"/>
                <w:highlight w:val="none"/>
                <w:u w:val="none"/>
                <w:lang w:val="en-US" w:eastAsia="zh-CN" w:bidi="ar"/>
              </w:rPr>
              <w:t>节能环保支出</w:t>
            </w:r>
          </w:p>
        </w:tc>
        <w:tc>
          <w:tcPr>
            <w:tcW w:w="1725"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center"/>
              <w:rPr>
                <w:rFonts w:hint="eastAsia" w:ascii="Times New Roman" w:hAnsi="Times New Roman" w:eastAsia="仿宋" w:cs="Times New Roman"/>
                <w:i w:val="0"/>
                <w:iCs w:val="0"/>
                <w:color w:val="auto"/>
                <w:kern w:val="0"/>
                <w:sz w:val="24"/>
                <w:szCs w:val="24"/>
                <w:highlight w:val="none"/>
                <w:u w:val="none"/>
                <w:lang w:val="en-US" w:eastAsia="zh-CN" w:bidi="ar"/>
              </w:rPr>
            </w:pPr>
            <w:r>
              <w:rPr>
                <w:rFonts w:hint="eastAsia" w:ascii="Times New Roman" w:hAnsi="Times New Roman" w:eastAsia="仿宋" w:cs="Times New Roman"/>
                <w:i w:val="0"/>
                <w:iCs w:val="0"/>
                <w:color w:val="auto"/>
                <w:kern w:val="0"/>
                <w:sz w:val="24"/>
                <w:szCs w:val="24"/>
                <w:highlight w:val="none"/>
                <w:u w:val="none"/>
                <w:lang w:val="en-US" w:eastAsia="zh-CN" w:bidi="ar"/>
              </w:rPr>
              <w:t xml:space="preserve">32.36 </w:t>
            </w:r>
          </w:p>
        </w:tc>
        <w:tc>
          <w:tcPr>
            <w:tcW w:w="141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center"/>
              <w:rPr>
                <w:rFonts w:hint="eastAsia" w:ascii="Times New Roman" w:hAnsi="Times New Roman" w:eastAsia="仿宋" w:cs="Times New Roman"/>
                <w:i w:val="0"/>
                <w:iCs w:val="0"/>
                <w:color w:val="auto"/>
                <w:kern w:val="0"/>
                <w:sz w:val="24"/>
                <w:szCs w:val="24"/>
                <w:highlight w:val="none"/>
                <w:u w:val="none"/>
                <w:lang w:val="en-US" w:eastAsia="zh-CN" w:bidi="ar"/>
              </w:rPr>
            </w:pPr>
            <w:r>
              <w:rPr>
                <w:rFonts w:hint="eastAsia" w:ascii="Times New Roman" w:hAnsi="Times New Roman" w:eastAsia="仿宋" w:cs="Times New Roman"/>
                <w:i w:val="0"/>
                <w:iCs w:val="0"/>
                <w:color w:val="auto"/>
                <w:kern w:val="0"/>
                <w:sz w:val="24"/>
                <w:szCs w:val="24"/>
                <w:highlight w:val="none"/>
                <w:u w:val="none"/>
                <w:lang w:val="en-US" w:eastAsia="zh-CN" w:bidi="ar"/>
              </w:rPr>
              <w:t xml:space="preserve">0.00 </w:t>
            </w:r>
          </w:p>
        </w:tc>
        <w:tc>
          <w:tcPr>
            <w:tcW w:w="150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center"/>
              <w:rPr>
                <w:rFonts w:hint="eastAsia" w:ascii="Times New Roman" w:hAnsi="Times New Roman" w:eastAsia="仿宋" w:cs="Times New Roman"/>
                <w:i w:val="0"/>
                <w:iCs w:val="0"/>
                <w:color w:val="auto"/>
                <w:kern w:val="0"/>
                <w:sz w:val="24"/>
                <w:szCs w:val="24"/>
                <w:highlight w:val="none"/>
                <w:u w:val="none"/>
                <w:lang w:val="en-US" w:eastAsia="zh-CN" w:bidi="ar"/>
              </w:rPr>
            </w:pPr>
            <w:r>
              <w:rPr>
                <w:rFonts w:hint="eastAsia" w:ascii="Times New Roman" w:hAnsi="Times New Roman" w:eastAsia="仿宋" w:cs="Times New Roman"/>
                <w:i w:val="0"/>
                <w:iCs w:val="0"/>
                <w:color w:val="auto"/>
                <w:kern w:val="0"/>
                <w:sz w:val="24"/>
                <w:szCs w:val="24"/>
                <w:highlight w:val="none"/>
                <w:u w:val="none"/>
                <w:lang w:val="en-US" w:eastAsia="zh-CN" w:bidi="ar"/>
              </w:rPr>
              <w:t xml:space="preserve">32.36 </w:t>
            </w:r>
          </w:p>
        </w:tc>
        <w:tc>
          <w:tcPr>
            <w:tcW w:w="1485"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center"/>
              <w:rPr>
                <w:rFonts w:hint="eastAsia" w:ascii="Times New Roman" w:hAnsi="Times New Roman" w:eastAsia="仿宋" w:cs="Times New Roman"/>
                <w:i w:val="0"/>
                <w:iCs w:val="0"/>
                <w:color w:val="auto"/>
                <w:kern w:val="0"/>
                <w:sz w:val="24"/>
                <w:szCs w:val="24"/>
                <w:highlight w:val="none"/>
                <w:u w:val="none"/>
                <w:lang w:val="en-US" w:eastAsia="zh-CN" w:bidi="ar"/>
              </w:rPr>
            </w:pPr>
            <w:r>
              <w:rPr>
                <w:rFonts w:hint="eastAsia" w:ascii="Times New Roman" w:hAnsi="Times New Roman" w:eastAsia="仿宋" w:cs="Times New Roman"/>
                <w:i w:val="0"/>
                <w:iCs w:val="0"/>
                <w:color w:val="auto"/>
                <w:kern w:val="0"/>
                <w:sz w:val="24"/>
                <w:szCs w:val="24"/>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28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Times New Roman" w:hAnsi="Times New Roman" w:eastAsia="仿宋" w:cs="Times New Roman"/>
                <w:i w:val="0"/>
                <w:iCs w:val="0"/>
                <w:color w:val="auto"/>
                <w:kern w:val="0"/>
                <w:sz w:val="24"/>
                <w:szCs w:val="24"/>
                <w:highlight w:val="none"/>
                <w:u w:val="none"/>
                <w:lang w:val="en-US" w:eastAsia="zh-CN" w:bidi="ar"/>
              </w:rPr>
            </w:pPr>
            <w:r>
              <w:rPr>
                <w:rFonts w:hint="eastAsia" w:ascii="Times New Roman" w:hAnsi="Times New Roman" w:eastAsia="仿宋" w:cs="Times New Roman"/>
                <w:i w:val="0"/>
                <w:iCs w:val="0"/>
                <w:color w:val="auto"/>
                <w:kern w:val="0"/>
                <w:sz w:val="24"/>
                <w:szCs w:val="24"/>
                <w:highlight w:val="none"/>
                <w:u w:val="none"/>
                <w:lang w:val="en-US" w:eastAsia="zh-CN" w:bidi="ar"/>
              </w:rPr>
              <w:t>农林水支出</w:t>
            </w:r>
          </w:p>
        </w:tc>
        <w:tc>
          <w:tcPr>
            <w:tcW w:w="1725"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center"/>
              <w:rPr>
                <w:rFonts w:hint="eastAsia" w:ascii="Times New Roman" w:hAnsi="Times New Roman" w:eastAsia="仿宋" w:cs="Times New Roman"/>
                <w:i w:val="0"/>
                <w:iCs w:val="0"/>
                <w:color w:val="auto"/>
                <w:kern w:val="0"/>
                <w:sz w:val="24"/>
                <w:szCs w:val="24"/>
                <w:highlight w:val="none"/>
                <w:u w:val="none"/>
                <w:lang w:val="en-US" w:eastAsia="zh-CN" w:bidi="ar"/>
              </w:rPr>
            </w:pPr>
            <w:r>
              <w:rPr>
                <w:rFonts w:hint="eastAsia" w:ascii="Times New Roman" w:hAnsi="Times New Roman" w:eastAsia="仿宋" w:cs="Times New Roman"/>
                <w:i w:val="0"/>
                <w:iCs w:val="0"/>
                <w:color w:val="auto"/>
                <w:kern w:val="0"/>
                <w:sz w:val="24"/>
                <w:szCs w:val="24"/>
                <w:highlight w:val="none"/>
                <w:u w:val="none"/>
                <w:lang w:val="en-US" w:eastAsia="zh-CN" w:bidi="ar"/>
              </w:rPr>
              <w:t xml:space="preserve">3873.76 </w:t>
            </w:r>
          </w:p>
        </w:tc>
        <w:tc>
          <w:tcPr>
            <w:tcW w:w="141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center"/>
              <w:rPr>
                <w:rFonts w:hint="eastAsia" w:ascii="Times New Roman" w:hAnsi="Times New Roman" w:eastAsia="仿宋" w:cs="Times New Roman"/>
                <w:i w:val="0"/>
                <w:iCs w:val="0"/>
                <w:color w:val="auto"/>
                <w:kern w:val="0"/>
                <w:sz w:val="24"/>
                <w:szCs w:val="24"/>
                <w:highlight w:val="none"/>
                <w:u w:val="none"/>
                <w:lang w:val="en-US" w:eastAsia="zh-CN" w:bidi="ar"/>
              </w:rPr>
            </w:pPr>
            <w:r>
              <w:rPr>
                <w:rFonts w:hint="eastAsia" w:ascii="Times New Roman" w:hAnsi="Times New Roman" w:eastAsia="仿宋" w:cs="Times New Roman"/>
                <w:i w:val="0"/>
                <w:iCs w:val="0"/>
                <w:color w:val="auto"/>
                <w:kern w:val="0"/>
                <w:sz w:val="24"/>
                <w:szCs w:val="24"/>
                <w:highlight w:val="none"/>
                <w:u w:val="none"/>
                <w:lang w:val="en-US" w:eastAsia="zh-CN" w:bidi="ar"/>
              </w:rPr>
              <w:t xml:space="preserve">1267.63 </w:t>
            </w:r>
          </w:p>
        </w:tc>
        <w:tc>
          <w:tcPr>
            <w:tcW w:w="150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center"/>
              <w:rPr>
                <w:rFonts w:hint="eastAsia" w:ascii="Times New Roman" w:hAnsi="Times New Roman" w:eastAsia="仿宋" w:cs="Times New Roman"/>
                <w:i w:val="0"/>
                <w:iCs w:val="0"/>
                <w:color w:val="auto"/>
                <w:kern w:val="0"/>
                <w:sz w:val="24"/>
                <w:szCs w:val="24"/>
                <w:highlight w:val="none"/>
                <w:u w:val="none"/>
                <w:lang w:val="en-US" w:eastAsia="zh-CN" w:bidi="ar"/>
              </w:rPr>
            </w:pPr>
            <w:r>
              <w:rPr>
                <w:rFonts w:hint="eastAsia" w:ascii="Times New Roman" w:hAnsi="Times New Roman" w:eastAsia="仿宋" w:cs="Times New Roman"/>
                <w:i w:val="0"/>
                <w:iCs w:val="0"/>
                <w:color w:val="auto"/>
                <w:kern w:val="0"/>
                <w:sz w:val="24"/>
                <w:szCs w:val="24"/>
                <w:highlight w:val="none"/>
                <w:u w:val="none"/>
                <w:lang w:val="en-US" w:eastAsia="zh-CN" w:bidi="ar"/>
              </w:rPr>
              <w:t xml:space="preserve">5141.39 </w:t>
            </w:r>
          </w:p>
        </w:tc>
        <w:tc>
          <w:tcPr>
            <w:tcW w:w="1485"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center"/>
              <w:rPr>
                <w:rFonts w:hint="eastAsia" w:ascii="Times New Roman" w:hAnsi="Times New Roman" w:eastAsia="仿宋" w:cs="Times New Roman"/>
                <w:i w:val="0"/>
                <w:iCs w:val="0"/>
                <w:color w:val="auto"/>
                <w:kern w:val="0"/>
                <w:sz w:val="24"/>
                <w:szCs w:val="24"/>
                <w:highlight w:val="none"/>
                <w:u w:val="none"/>
                <w:lang w:val="en-US" w:eastAsia="zh-CN" w:bidi="ar"/>
              </w:rPr>
            </w:pPr>
            <w:r>
              <w:rPr>
                <w:rFonts w:hint="eastAsia" w:ascii="Times New Roman" w:hAnsi="Times New Roman" w:eastAsia="仿宋" w:cs="Times New Roman"/>
                <w:i w:val="0"/>
                <w:iCs w:val="0"/>
                <w:color w:val="auto"/>
                <w:kern w:val="0"/>
                <w:sz w:val="24"/>
                <w:szCs w:val="24"/>
                <w:highlight w:val="none"/>
                <w:u w:val="none"/>
                <w:lang w:val="en-US" w:eastAsia="zh-CN" w:bidi="ar"/>
              </w:rPr>
              <w:t>32.72%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28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Times New Roman" w:hAnsi="Times New Roman" w:eastAsia="仿宋" w:cs="Times New Roman"/>
                <w:i w:val="0"/>
                <w:iCs w:val="0"/>
                <w:color w:val="auto"/>
                <w:kern w:val="0"/>
                <w:sz w:val="24"/>
                <w:szCs w:val="24"/>
                <w:highlight w:val="none"/>
                <w:u w:val="none"/>
                <w:lang w:val="en-US" w:eastAsia="zh-CN" w:bidi="ar"/>
              </w:rPr>
            </w:pPr>
            <w:r>
              <w:rPr>
                <w:rFonts w:hint="eastAsia" w:ascii="Times New Roman" w:hAnsi="Times New Roman" w:eastAsia="仿宋" w:cs="Times New Roman"/>
                <w:i w:val="0"/>
                <w:iCs w:val="0"/>
                <w:color w:val="auto"/>
                <w:kern w:val="0"/>
                <w:sz w:val="24"/>
                <w:szCs w:val="24"/>
                <w:highlight w:val="none"/>
                <w:u w:val="none"/>
                <w:lang w:val="en-US" w:eastAsia="zh-CN" w:bidi="ar"/>
              </w:rPr>
              <w:t>住房保障支出</w:t>
            </w:r>
          </w:p>
        </w:tc>
        <w:tc>
          <w:tcPr>
            <w:tcW w:w="1725"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center"/>
              <w:rPr>
                <w:rFonts w:hint="eastAsia" w:ascii="Times New Roman" w:hAnsi="Times New Roman" w:eastAsia="仿宋" w:cs="Times New Roman"/>
                <w:i w:val="0"/>
                <w:iCs w:val="0"/>
                <w:color w:val="auto"/>
                <w:kern w:val="0"/>
                <w:sz w:val="24"/>
                <w:szCs w:val="24"/>
                <w:highlight w:val="none"/>
                <w:u w:val="none"/>
                <w:lang w:val="en-US" w:eastAsia="zh-CN" w:bidi="ar"/>
              </w:rPr>
            </w:pPr>
            <w:r>
              <w:rPr>
                <w:rFonts w:hint="eastAsia" w:ascii="Times New Roman" w:hAnsi="Times New Roman" w:eastAsia="仿宋" w:cs="Times New Roman"/>
                <w:i w:val="0"/>
                <w:iCs w:val="0"/>
                <w:color w:val="auto"/>
                <w:kern w:val="0"/>
                <w:sz w:val="24"/>
                <w:szCs w:val="24"/>
                <w:highlight w:val="none"/>
                <w:u w:val="none"/>
                <w:lang w:val="en-US" w:eastAsia="zh-CN" w:bidi="ar"/>
              </w:rPr>
              <w:t xml:space="preserve">39.01 </w:t>
            </w:r>
          </w:p>
        </w:tc>
        <w:tc>
          <w:tcPr>
            <w:tcW w:w="141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center"/>
              <w:rPr>
                <w:rFonts w:hint="eastAsia" w:ascii="Times New Roman" w:hAnsi="Times New Roman" w:eastAsia="仿宋" w:cs="Times New Roman"/>
                <w:i w:val="0"/>
                <w:iCs w:val="0"/>
                <w:color w:val="auto"/>
                <w:kern w:val="0"/>
                <w:sz w:val="24"/>
                <w:szCs w:val="24"/>
                <w:highlight w:val="none"/>
                <w:u w:val="none"/>
                <w:lang w:val="en-US" w:eastAsia="zh-CN" w:bidi="ar"/>
              </w:rPr>
            </w:pPr>
            <w:r>
              <w:rPr>
                <w:rFonts w:hint="eastAsia" w:ascii="Times New Roman" w:hAnsi="Times New Roman" w:eastAsia="仿宋" w:cs="Times New Roman"/>
                <w:i w:val="0"/>
                <w:iCs w:val="0"/>
                <w:color w:val="auto"/>
                <w:kern w:val="0"/>
                <w:sz w:val="24"/>
                <w:szCs w:val="24"/>
                <w:highlight w:val="none"/>
                <w:u w:val="none"/>
                <w:lang w:val="en-US" w:eastAsia="zh-CN" w:bidi="ar"/>
              </w:rPr>
              <w:t xml:space="preserve">0.00 </w:t>
            </w:r>
          </w:p>
        </w:tc>
        <w:tc>
          <w:tcPr>
            <w:tcW w:w="150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center"/>
              <w:rPr>
                <w:rFonts w:hint="eastAsia" w:ascii="Times New Roman" w:hAnsi="Times New Roman" w:eastAsia="仿宋" w:cs="Times New Roman"/>
                <w:i w:val="0"/>
                <w:iCs w:val="0"/>
                <w:color w:val="auto"/>
                <w:kern w:val="0"/>
                <w:sz w:val="24"/>
                <w:szCs w:val="24"/>
                <w:highlight w:val="none"/>
                <w:u w:val="none"/>
                <w:lang w:val="en-US" w:eastAsia="zh-CN" w:bidi="ar"/>
              </w:rPr>
            </w:pPr>
            <w:r>
              <w:rPr>
                <w:rFonts w:hint="eastAsia" w:ascii="Times New Roman" w:hAnsi="Times New Roman" w:eastAsia="仿宋" w:cs="Times New Roman"/>
                <w:i w:val="0"/>
                <w:iCs w:val="0"/>
                <w:color w:val="auto"/>
                <w:kern w:val="0"/>
                <w:sz w:val="24"/>
                <w:szCs w:val="24"/>
                <w:highlight w:val="none"/>
                <w:u w:val="none"/>
                <w:lang w:val="en-US" w:eastAsia="zh-CN" w:bidi="ar"/>
              </w:rPr>
              <w:t xml:space="preserve">39.01 </w:t>
            </w:r>
          </w:p>
        </w:tc>
        <w:tc>
          <w:tcPr>
            <w:tcW w:w="1485"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center"/>
              <w:rPr>
                <w:rFonts w:hint="eastAsia" w:ascii="Times New Roman" w:hAnsi="Times New Roman" w:eastAsia="仿宋" w:cs="Times New Roman"/>
                <w:i w:val="0"/>
                <w:iCs w:val="0"/>
                <w:color w:val="auto"/>
                <w:kern w:val="0"/>
                <w:sz w:val="24"/>
                <w:szCs w:val="24"/>
                <w:highlight w:val="none"/>
                <w:u w:val="none"/>
                <w:lang w:val="en-US" w:eastAsia="zh-CN" w:bidi="ar"/>
              </w:rPr>
            </w:pPr>
            <w:r>
              <w:rPr>
                <w:rFonts w:hint="eastAsia" w:ascii="Times New Roman" w:hAnsi="Times New Roman" w:eastAsia="仿宋" w:cs="Times New Roman"/>
                <w:i w:val="0"/>
                <w:iCs w:val="0"/>
                <w:color w:val="auto"/>
                <w:kern w:val="0"/>
                <w:sz w:val="24"/>
                <w:szCs w:val="24"/>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28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Times New Roman" w:hAnsi="Times New Roman" w:eastAsia="仿宋" w:cs="Times New Roman"/>
                <w:i w:val="0"/>
                <w:iCs w:val="0"/>
                <w:color w:val="auto"/>
                <w:kern w:val="0"/>
                <w:sz w:val="24"/>
                <w:szCs w:val="24"/>
                <w:highlight w:val="none"/>
                <w:u w:val="none"/>
                <w:lang w:val="en-US" w:eastAsia="zh-CN" w:bidi="ar"/>
              </w:rPr>
            </w:pPr>
            <w:r>
              <w:rPr>
                <w:rFonts w:hint="eastAsia" w:ascii="Times New Roman" w:hAnsi="Times New Roman" w:eastAsia="仿宋" w:cs="Times New Roman"/>
                <w:i w:val="0"/>
                <w:iCs w:val="0"/>
                <w:color w:val="auto"/>
                <w:kern w:val="0"/>
                <w:sz w:val="24"/>
                <w:szCs w:val="24"/>
                <w:highlight w:val="none"/>
                <w:u w:val="none"/>
                <w:lang w:val="en-US" w:eastAsia="zh-CN" w:bidi="ar"/>
              </w:rPr>
              <w:t>灾害防治及应急管理支出</w:t>
            </w:r>
          </w:p>
        </w:tc>
        <w:tc>
          <w:tcPr>
            <w:tcW w:w="1725"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center"/>
              <w:rPr>
                <w:rFonts w:hint="eastAsia" w:ascii="Times New Roman" w:hAnsi="Times New Roman" w:eastAsia="仿宋" w:cs="Times New Roman"/>
                <w:i w:val="0"/>
                <w:iCs w:val="0"/>
                <w:color w:val="auto"/>
                <w:kern w:val="0"/>
                <w:sz w:val="24"/>
                <w:szCs w:val="24"/>
                <w:highlight w:val="none"/>
                <w:u w:val="none"/>
                <w:lang w:val="en-US" w:eastAsia="zh-CN" w:bidi="ar"/>
              </w:rPr>
            </w:pPr>
            <w:r>
              <w:rPr>
                <w:rFonts w:hint="eastAsia" w:ascii="Times New Roman" w:hAnsi="Times New Roman" w:eastAsia="仿宋" w:cs="Times New Roman"/>
                <w:i w:val="0"/>
                <w:iCs w:val="0"/>
                <w:color w:val="auto"/>
                <w:kern w:val="0"/>
                <w:sz w:val="24"/>
                <w:szCs w:val="24"/>
                <w:highlight w:val="none"/>
                <w:u w:val="none"/>
                <w:lang w:val="en-US" w:eastAsia="zh-CN" w:bidi="ar"/>
              </w:rPr>
              <w:t xml:space="preserve">30.00 </w:t>
            </w:r>
          </w:p>
        </w:tc>
        <w:tc>
          <w:tcPr>
            <w:tcW w:w="141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center"/>
              <w:rPr>
                <w:rFonts w:hint="eastAsia" w:ascii="Times New Roman" w:hAnsi="Times New Roman" w:eastAsia="仿宋" w:cs="Times New Roman"/>
                <w:i w:val="0"/>
                <w:iCs w:val="0"/>
                <w:color w:val="auto"/>
                <w:kern w:val="0"/>
                <w:sz w:val="24"/>
                <w:szCs w:val="24"/>
                <w:highlight w:val="none"/>
                <w:u w:val="none"/>
                <w:lang w:val="en-US" w:eastAsia="zh-CN" w:bidi="ar"/>
              </w:rPr>
            </w:pPr>
            <w:r>
              <w:rPr>
                <w:rFonts w:hint="eastAsia" w:ascii="Times New Roman" w:hAnsi="Times New Roman" w:eastAsia="仿宋" w:cs="Times New Roman"/>
                <w:i w:val="0"/>
                <w:iCs w:val="0"/>
                <w:color w:val="auto"/>
                <w:kern w:val="0"/>
                <w:sz w:val="24"/>
                <w:szCs w:val="24"/>
                <w:highlight w:val="none"/>
                <w:u w:val="none"/>
                <w:lang w:val="en-US" w:eastAsia="zh-CN" w:bidi="ar"/>
              </w:rPr>
              <w:t xml:space="preserve">0.00 </w:t>
            </w:r>
          </w:p>
        </w:tc>
        <w:tc>
          <w:tcPr>
            <w:tcW w:w="150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center"/>
              <w:rPr>
                <w:rFonts w:hint="eastAsia" w:ascii="Times New Roman" w:hAnsi="Times New Roman" w:eastAsia="仿宋" w:cs="Times New Roman"/>
                <w:i w:val="0"/>
                <w:iCs w:val="0"/>
                <w:color w:val="auto"/>
                <w:kern w:val="0"/>
                <w:sz w:val="24"/>
                <w:szCs w:val="24"/>
                <w:highlight w:val="none"/>
                <w:u w:val="none"/>
                <w:lang w:val="en-US" w:eastAsia="zh-CN" w:bidi="ar"/>
              </w:rPr>
            </w:pPr>
            <w:r>
              <w:rPr>
                <w:rFonts w:hint="eastAsia" w:ascii="Times New Roman" w:hAnsi="Times New Roman" w:eastAsia="仿宋" w:cs="Times New Roman"/>
                <w:i w:val="0"/>
                <w:iCs w:val="0"/>
                <w:color w:val="auto"/>
                <w:kern w:val="0"/>
                <w:sz w:val="24"/>
                <w:szCs w:val="24"/>
                <w:highlight w:val="none"/>
                <w:u w:val="none"/>
                <w:lang w:val="en-US" w:eastAsia="zh-CN" w:bidi="ar"/>
              </w:rPr>
              <w:t xml:space="preserve">30.00 </w:t>
            </w:r>
          </w:p>
        </w:tc>
        <w:tc>
          <w:tcPr>
            <w:tcW w:w="1485"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center"/>
              <w:rPr>
                <w:rFonts w:hint="eastAsia" w:ascii="Times New Roman" w:hAnsi="Times New Roman" w:eastAsia="仿宋" w:cs="Times New Roman"/>
                <w:i w:val="0"/>
                <w:iCs w:val="0"/>
                <w:color w:val="auto"/>
                <w:kern w:val="0"/>
                <w:sz w:val="24"/>
                <w:szCs w:val="24"/>
                <w:highlight w:val="none"/>
                <w:u w:val="none"/>
                <w:lang w:val="en-US" w:eastAsia="zh-CN" w:bidi="ar"/>
              </w:rPr>
            </w:pPr>
            <w:r>
              <w:rPr>
                <w:rFonts w:hint="eastAsia" w:ascii="Times New Roman" w:hAnsi="Times New Roman" w:eastAsia="仿宋" w:cs="Times New Roman"/>
                <w:i w:val="0"/>
                <w:iCs w:val="0"/>
                <w:color w:val="auto"/>
                <w:kern w:val="0"/>
                <w:sz w:val="24"/>
                <w:szCs w:val="24"/>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28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Times New Roman" w:hAnsi="Times New Roman" w:eastAsia="仿宋" w:cs="Times New Roman"/>
                <w:i w:val="0"/>
                <w:iCs w:val="0"/>
                <w:color w:val="auto"/>
                <w:kern w:val="0"/>
                <w:sz w:val="24"/>
                <w:szCs w:val="24"/>
                <w:highlight w:val="none"/>
                <w:u w:val="none"/>
                <w:lang w:val="en-US" w:eastAsia="zh-CN" w:bidi="ar"/>
              </w:rPr>
            </w:pPr>
            <w:r>
              <w:rPr>
                <w:rFonts w:hint="eastAsia" w:ascii="Times New Roman" w:hAnsi="Times New Roman" w:eastAsia="仿宋" w:cs="Times New Roman"/>
                <w:i w:val="0"/>
                <w:iCs w:val="0"/>
                <w:color w:val="auto"/>
                <w:kern w:val="0"/>
                <w:sz w:val="24"/>
                <w:szCs w:val="24"/>
                <w:highlight w:val="none"/>
                <w:u w:val="none"/>
                <w:lang w:val="en-US" w:eastAsia="zh-CN" w:bidi="ar"/>
              </w:rPr>
              <w:t>合计</w:t>
            </w:r>
          </w:p>
        </w:tc>
        <w:tc>
          <w:tcPr>
            <w:tcW w:w="1725"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center"/>
              <w:rPr>
                <w:rFonts w:hint="eastAsia" w:ascii="Times New Roman" w:hAnsi="Times New Roman" w:eastAsia="仿宋" w:cs="Times New Roman"/>
                <w:i w:val="0"/>
                <w:iCs w:val="0"/>
                <w:color w:val="auto"/>
                <w:kern w:val="0"/>
                <w:sz w:val="24"/>
                <w:szCs w:val="24"/>
                <w:highlight w:val="none"/>
                <w:u w:val="none"/>
                <w:lang w:val="en-US" w:eastAsia="zh-CN" w:bidi="ar"/>
              </w:rPr>
            </w:pPr>
            <w:r>
              <w:rPr>
                <w:rFonts w:hint="eastAsia" w:ascii="Times New Roman" w:hAnsi="Times New Roman" w:eastAsia="仿宋" w:cs="Times New Roman"/>
                <w:i w:val="0"/>
                <w:iCs w:val="0"/>
                <w:color w:val="auto"/>
                <w:kern w:val="0"/>
                <w:sz w:val="24"/>
                <w:szCs w:val="24"/>
                <w:highlight w:val="none"/>
                <w:u w:val="none"/>
                <w:lang w:val="en-US" w:eastAsia="zh-CN" w:bidi="ar"/>
              </w:rPr>
              <w:t xml:space="preserve">4053.65 </w:t>
            </w:r>
          </w:p>
        </w:tc>
        <w:tc>
          <w:tcPr>
            <w:tcW w:w="141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center"/>
              <w:rPr>
                <w:rFonts w:hint="eastAsia" w:ascii="Times New Roman" w:hAnsi="Times New Roman" w:eastAsia="仿宋" w:cs="Times New Roman"/>
                <w:i w:val="0"/>
                <w:iCs w:val="0"/>
                <w:color w:val="auto"/>
                <w:kern w:val="0"/>
                <w:sz w:val="24"/>
                <w:szCs w:val="24"/>
                <w:highlight w:val="none"/>
                <w:u w:val="none"/>
                <w:lang w:val="en-US" w:eastAsia="zh-CN" w:bidi="ar"/>
              </w:rPr>
            </w:pPr>
            <w:r>
              <w:rPr>
                <w:rFonts w:hint="eastAsia" w:ascii="Times New Roman" w:hAnsi="Times New Roman" w:eastAsia="仿宋" w:cs="Times New Roman"/>
                <w:i w:val="0"/>
                <w:iCs w:val="0"/>
                <w:color w:val="auto"/>
                <w:kern w:val="0"/>
                <w:sz w:val="24"/>
                <w:szCs w:val="24"/>
                <w:highlight w:val="none"/>
                <w:u w:val="none"/>
                <w:lang w:val="en-US" w:eastAsia="zh-CN" w:bidi="ar"/>
              </w:rPr>
              <w:t xml:space="preserve">1267.63 </w:t>
            </w:r>
          </w:p>
        </w:tc>
        <w:tc>
          <w:tcPr>
            <w:tcW w:w="150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center"/>
              <w:rPr>
                <w:rFonts w:hint="default" w:ascii="Times New Roman" w:hAnsi="Times New Roman" w:eastAsia="仿宋" w:cs="Times New Roman"/>
                <w:i w:val="0"/>
                <w:iCs w:val="0"/>
                <w:color w:val="auto"/>
                <w:kern w:val="0"/>
                <w:sz w:val="24"/>
                <w:szCs w:val="24"/>
                <w:highlight w:val="none"/>
                <w:u w:val="none"/>
                <w:lang w:val="en-US" w:eastAsia="zh-CN" w:bidi="ar"/>
              </w:rPr>
            </w:pPr>
            <w:r>
              <w:rPr>
                <w:rFonts w:hint="eastAsia" w:ascii="Times New Roman" w:hAnsi="Times New Roman" w:eastAsia="仿宋" w:cs="Times New Roman"/>
                <w:i w:val="0"/>
                <w:iCs w:val="0"/>
                <w:color w:val="auto"/>
                <w:kern w:val="0"/>
                <w:sz w:val="24"/>
                <w:szCs w:val="24"/>
                <w:highlight w:val="none"/>
                <w:u w:val="none"/>
                <w:lang w:val="en-US" w:eastAsia="zh-CN" w:bidi="ar"/>
              </w:rPr>
              <w:t>5321.2</w:t>
            </w:r>
            <w:r>
              <w:rPr>
                <w:rFonts w:hint="eastAsia" w:eastAsia="仿宋" w:cs="Times New Roman"/>
                <w:i w:val="0"/>
                <w:iCs w:val="0"/>
                <w:color w:val="auto"/>
                <w:kern w:val="0"/>
                <w:sz w:val="24"/>
                <w:szCs w:val="24"/>
                <w:highlight w:val="none"/>
                <w:u w:val="none"/>
                <w:lang w:val="en-US" w:eastAsia="zh-CN" w:bidi="ar"/>
              </w:rPr>
              <w:t>7</w:t>
            </w:r>
          </w:p>
        </w:tc>
        <w:tc>
          <w:tcPr>
            <w:tcW w:w="1485"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center"/>
              <w:rPr>
                <w:rFonts w:hint="eastAsia" w:ascii="Times New Roman" w:hAnsi="Times New Roman" w:eastAsia="仿宋" w:cs="Times New Roman"/>
                <w:i w:val="0"/>
                <w:iCs w:val="0"/>
                <w:color w:val="auto"/>
                <w:kern w:val="0"/>
                <w:sz w:val="24"/>
                <w:szCs w:val="24"/>
                <w:highlight w:val="none"/>
                <w:u w:val="none"/>
                <w:lang w:val="en-US" w:eastAsia="zh-CN" w:bidi="ar"/>
              </w:rPr>
            </w:pPr>
            <w:r>
              <w:rPr>
                <w:rFonts w:hint="eastAsia" w:ascii="Times New Roman" w:hAnsi="Times New Roman" w:eastAsia="仿宋" w:cs="Times New Roman"/>
                <w:i w:val="0"/>
                <w:iCs w:val="0"/>
                <w:color w:val="auto"/>
                <w:kern w:val="0"/>
                <w:sz w:val="24"/>
                <w:szCs w:val="24"/>
                <w:highlight w:val="none"/>
                <w:u w:val="none"/>
                <w:lang w:val="en-US" w:eastAsia="zh-CN" w:bidi="ar"/>
              </w:rPr>
              <w:t>31.27%</w:t>
            </w:r>
          </w:p>
        </w:tc>
      </w:tr>
    </w:tbl>
    <w:p>
      <w:pPr>
        <w:keepNext w:val="0"/>
        <w:keepLines w:val="0"/>
        <w:pageBreakBefore w:val="0"/>
        <w:kinsoku/>
        <w:wordWrap/>
        <w:overflowPunct/>
        <w:topLinePunct w:val="0"/>
        <w:autoSpaceDE/>
        <w:autoSpaceDN/>
        <w:bidi w:val="0"/>
        <w:spacing w:line="600" w:lineRule="exact"/>
        <w:ind w:left="0" w:leftChars="0" w:firstLine="640" w:firstLineChars="200"/>
        <w:textAlignment w:val="auto"/>
        <w:outlineLvl w:val="9"/>
        <w:rPr>
          <w:rFonts w:hint="eastAsia" w:ascii="Times New Roman" w:hAnsi="Times New Roman" w:eastAsia="仿宋" w:cs="Times New Roman"/>
          <w:color w:val="auto"/>
          <w:szCs w:val="32"/>
          <w:highlight w:val="none"/>
          <w:lang w:val="zh-CN"/>
        </w:rPr>
      </w:pPr>
      <w:r>
        <w:rPr>
          <w:rFonts w:hint="eastAsia" w:ascii="Times New Roman" w:hAnsi="Times New Roman" w:eastAsia="仿宋" w:cs="Times New Roman"/>
          <w:color w:val="auto"/>
          <w:szCs w:val="32"/>
          <w:highlight w:val="none"/>
        </w:rPr>
        <w:t>3.仁和区林业局2022年预算支出中</w:t>
      </w:r>
      <w:r>
        <w:rPr>
          <w:rFonts w:hint="eastAsia" w:ascii="Times New Roman" w:hAnsi="Times New Roman" w:eastAsia="仿宋" w:cs="Times New Roman"/>
          <w:color w:val="auto"/>
          <w:szCs w:val="32"/>
          <w:highlight w:val="none"/>
          <w:lang w:val="zh-CN"/>
        </w:rPr>
        <w:t>基本支出</w:t>
      </w:r>
      <w:r>
        <w:rPr>
          <w:rFonts w:hint="eastAsia" w:ascii="Times New Roman" w:hAnsi="Times New Roman" w:eastAsia="仿宋" w:cs="Times New Roman"/>
          <w:color w:val="auto"/>
          <w:szCs w:val="32"/>
          <w:highlight w:val="none"/>
        </w:rPr>
        <w:t>593.0</w:t>
      </w:r>
      <w:r>
        <w:rPr>
          <w:rFonts w:hint="eastAsia" w:eastAsia="仿宋" w:cs="Times New Roman"/>
          <w:color w:val="auto"/>
          <w:szCs w:val="32"/>
          <w:highlight w:val="none"/>
          <w:lang w:val="en-US" w:eastAsia="zh-CN"/>
        </w:rPr>
        <w:t>4</w:t>
      </w:r>
      <w:r>
        <w:rPr>
          <w:rFonts w:hint="eastAsia" w:ascii="Times New Roman" w:hAnsi="Times New Roman" w:eastAsia="仿宋" w:cs="Times New Roman"/>
          <w:color w:val="auto"/>
          <w:szCs w:val="32"/>
          <w:highlight w:val="none"/>
        </w:rPr>
        <w:t>万</w:t>
      </w:r>
      <w:r>
        <w:rPr>
          <w:rFonts w:hint="eastAsia" w:ascii="Times New Roman" w:hAnsi="Times New Roman" w:eastAsia="仿宋" w:cs="Times New Roman"/>
          <w:color w:val="auto"/>
          <w:szCs w:val="32"/>
          <w:highlight w:val="none"/>
          <w:lang w:val="zh-CN"/>
        </w:rPr>
        <w:t>元，基本支出情</w:t>
      </w:r>
      <w:r>
        <w:rPr>
          <w:rFonts w:hint="eastAsia" w:ascii="Times New Roman" w:hAnsi="Times New Roman" w:eastAsia="仿宋" w:cs="Times New Roman"/>
          <w:color w:val="auto"/>
          <w:szCs w:val="32"/>
          <w:highlight w:val="none"/>
        </w:rPr>
        <w:t>况如下表</w:t>
      </w:r>
      <w:r>
        <w:rPr>
          <w:rFonts w:hint="eastAsia" w:ascii="Times New Roman" w:hAnsi="Times New Roman" w:eastAsia="仿宋" w:cs="Times New Roman"/>
          <w:color w:val="auto"/>
          <w:szCs w:val="32"/>
          <w:highlight w:val="none"/>
          <w:lang w:eastAsia="zh-CN"/>
        </w:rPr>
        <w:t>：</w:t>
      </w:r>
    </w:p>
    <w:p>
      <w:pPr>
        <w:outlineLvl w:val="2"/>
        <w:rPr>
          <w:rFonts w:hint="eastAsia" w:eastAsia="仿宋"/>
          <w:color w:val="auto"/>
          <w:szCs w:val="32"/>
          <w:highlight w:val="none"/>
        </w:rPr>
      </w:pPr>
      <w:r>
        <w:rPr>
          <w:rFonts w:hint="eastAsia" w:eastAsia="仿宋"/>
          <w:color w:val="auto"/>
          <w:szCs w:val="32"/>
          <w:highlight w:val="none"/>
        </w:rPr>
        <w:t xml:space="preserve">                                       单位：万元</w:t>
      </w:r>
    </w:p>
    <w:p>
      <w:pPr>
        <w:outlineLvl w:val="2"/>
        <w:rPr>
          <w:rFonts w:hint="eastAsia" w:eastAsia="仿宋"/>
          <w:color w:val="auto"/>
          <w:szCs w:val="32"/>
          <w:highlight w:val="none"/>
        </w:rPr>
      </w:pPr>
    </w:p>
    <w:tbl>
      <w:tblPr>
        <w:tblStyle w:val="14"/>
        <w:tblW w:w="887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6264"/>
        <w:gridCol w:w="26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6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 w:hAnsi="仿宋" w:eastAsia="仿宋" w:cs="仿宋"/>
                <w:i w:val="0"/>
                <w:color w:val="auto"/>
                <w:sz w:val="24"/>
                <w:szCs w:val="24"/>
                <w:highlight w:val="none"/>
                <w:u w:val="none"/>
              </w:rPr>
            </w:pPr>
            <w:bookmarkStart w:id="128" w:name="_GoBack"/>
            <w:r>
              <w:rPr>
                <w:rFonts w:hint="eastAsia" w:ascii="仿宋" w:hAnsi="仿宋" w:eastAsia="仿宋" w:cs="仿宋"/>
                <w:i w:val="0"/>
                <w:color w:val="auto"/>
                <w:kern w:val="0"/>
                <w:sz w:val="24"/>
                <w:szCs w:val="24"/>
                <w:highlight w:val="none"/>
                <w:u w:val="none"/>
                <w:lang w:val="en-US" w:eastAsia="zh-CN" w:bidi="ar"/>
              </w:rPr>
              <w:t xml:space="preserve"> 基本支出项目 </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 xml:space="preserve"> 金额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 xml:space="preserve"> 一、工资福利支出 </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522.3</w:t>
            </w:r>
            <w:r>
              <w:rPr>
                <w:rFonts w:hint="eastAsia" w:ascii="Times New Roman" w:hAnsi="Times New Roman" w:eastAsia="宋体" w:cs="Times New Roman"/>
                <w:i w:val="0"/>
                <w:color w:val="auto"/>
                <w:kern w:val="0"/>
                <w:sz w:val="24"/>
                <w:szCs w:val="24"/>
                <w:highlight w:val="none"/>
                <w:u w:val="none"/>
                <w:lang w:val="en-US" w:eastAsia="zh-CN" w:bidi="ar"/>
              </w:rPr>
              <w:t>8</w:t>
            </w:r>
            <w:r>
              <w:rPr>
                <w:rFonts w:hint="default" w:ascii="Times New Roman" w:hAnsi="Times New Roman" w:eastAsia="宋体" w:cs="Times New Roman"/>
                <w:i w:val="0"/>
                <w:color w:val="auto"/>
                <w:kern w:val="0"/>
                <w:sz w:val="24"/>
                <w:szCs w:val="24"/>
                <w:highlight w:val="none"/>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 xml:space="preserve"> 基本工资 </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153.66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 xml:space="preserve"> 津贴补贴 </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183.8</w:t>
            </w:r>
            <w:r>
              <w:rPr>
                <w:rFonts w:hint="eastAsia" w:ascii="Times New Roman" w:hAnsi="Times New Roman" w:eastAsia="宋体" w:cs="Times New Roman"/>
                <w:i w:val="0"/>
                <w:color w:val="auto"/>
                <w:kern w:val="0"/>
                <w:sz w:val="24"/>
                <w:szCs w:val="24"/>
                <w:highlight w:val="none"/>
                <w:u w:val="none"/>
                <w:lang w:val="en-US" w:eastAsia="zh-CN" w:bidi="ar"/>
              </w:rPr>
              <w:t>1</w:t>
            </w:r>
            <w:r>
              <w:rPr>
                <w:rFonts w:hint="default" w:ascii="Times New Roman" w:hAnsi="Times New Roman" w:eastAsia="宋体" w:cs="Times New Roman"/>
                <w:i w:val="0"/>
                <w:color w:val="auto"/>
                <w:kern w:val="0"/>
                <w:sz w:val="24"/>
                <w:szCs w:val="24"/>
                <w:highlight w:val="none"/>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 xml:space="preserve"> 奖金 </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5.61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 xml:space="preserve"> 绩效工资 </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45.08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 xml:space="preserve"> 机关事业单位基本养老保险缴费 </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32.85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 xml:space="preserve"> 职工基本医疗保险缴费 </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19.18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 xml:space="preserve"> 公务员医疗补助缴费 </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3.60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 xml:space="preserve"> 其他社会保障缴费 </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10.09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 xml:space="preserve"> 住房公积金 </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39.01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 xml:space="preserve"> 医疗费 </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14.38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 xml:space="preserve"> 其他工资福利支出 </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15.11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 xml:space="preserve"> 二、商品和服务支出 </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51.36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 xml:space="preserve"> 办公费 </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2.55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 xml:space="preserve"> 水费 </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0.18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 xml:space="preserve"> 电费 </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0.58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 xml:space="preserve"> 邮电费 </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1.93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 xml:space="preserve"> 差旅费 </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7.90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 xml:space="preserve"> 培训费 </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0.07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 xml:space="preserve"> 公务接待费 </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2.99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 xml:space="preserve"> 劳务费 </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2.69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 xml:space="preserve"> 工会经费 </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7.44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 xml:space="preserve"> 福利费 </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0.33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 xml:space="preserve"> 公务用车运行维护费 </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11.03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 xml:space="preserve"> 其他交通费用 </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11.45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 xml:space="preserve"> 其他商品和服务支出 </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2.22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 xml:space="preserve"> 三、对个人和家庭的补助 </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19.31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 xml:space="preserve"> 生活补助 </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14.63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 xml:space="preserve"> 医疗费补助 </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4.68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 xml:space="preserve"> 合计 </w:t>
            </w:r>
          </w:p>
        </w:tc>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lang w:val="en-US"/>
              </w:rPr>
            </w:pPr>
            <w:r>
              <w:rPr>
                <w:rFonts w:hint="default" w:ascii="Times New Roman" w:hAnsi="Times New Roman" w:eastAsia="宋体" w:cs="Times New Roman"/>
                <w:i w:val="0"/>
                <w:color w:val="auto"/>
                <w:kern w:val="0"/>
                <w:sz w:val="24"/>
                <w:szCs w:val="24"/>
                <w:highlight w:val="none"/>
                <w:u w:val="none"/>
                <w:lang w:val="en-US" w:eastAsia="zh-CN" w:bidi="ar"/>
              </w:rPr>
              <w:t xml:space="preserve"> 593.0</w:t>
            </w:r>
            <w:r>
              <w:rPr>
                <w:rFonts w:hint="eastAsia" w:eastAsia="宋体" w:cs="Times New Roman"/>
                <w:i w:val="0"/>
                <w:color w:val="auto"/>
                <w:kern w:val="0"/>
                <w:sz w:val="24"/>
                <w:szCs w:val="24"/>
                <w:highlight w:val="none"/>
                <w:u w:val="none"/>
                <w:lang w:val="en-US" w:eastAsia="zh-CN" w:bidi="ar"/>
              </w:rPr>
              <w:t>4</w:t>
            </w:r>
          </w:p>
        </w:tc>
      </w:tr>
      <w:bookmarkEnd w:id="128"/>
    </w:tbl>
    <w:p>
      <w:pPr>
        <w:keepNext w:val="0"/>
        <w:keepLines w:val="0"/>
        <w:pageBreakBefore w:val="0"/>
        <w:kinsoku/>
        <w:wordWrap/>
        <w:overflowPunct/>
        <w:topLinePunct w:val="0"/>
        <w:autoSpaceDE/>
        <w:autoSpaceDN/>
        <w:bidi w:val="0"/>
        <w:spacing w:line="600" w:lineRule="exact"/>
        <w:ind w:left="0" w:leftChars="0" w:firstLine="640" w:firstLineChars="200"/>
        <w:textAlignment w:val="auto"/>
        <w:outlineLvl w:val="9"/>
        <w:rPr>
          <w:rFonts w:hint="eastAsia" w:ascii="Times New Roman" w:hAnsi="Times New Roman" w:eastAsia="仿宋" w:cs="Times New Roman"/>
          <w:color w:val="auto"/>
          <w:szCs w:val="32"/>
          <w:highlight w:val="none"/>
        </w:rPr>
      </w:pPr>
      <w:r>
        <w:rPr>
          <w:rFonts w:hint="eastAsia" w:ascii="Times New Roman" w:hAnsi="Times New Roman" w:eastAsia="仿宋" w:cs="Times New Roman"/>
          <w:color w:val="auto"/>
          <w:szCs w:val="32"/>
          <w:highlight w:val="none"/>
        </w:rPr>
        <w:t>4.仁和区林业局2022年预算支出中项目支出4728.23</w:t>
      </w:r>
      <w:r>
        <w:rPr>
          <w:rFonts w:hint="eastAsia" w:ascii="Times New Roman" w:hAnsi="Times New Roman" w:eastAsia="仿宋" w:cs="Times New Roman"/>
          <w:color w:val="auto"/>
          <w:szCs w:val="32"/>
          <w:highlight w:val="none"/>
          <w:lang w:eastAsia="zh-CN"/>
        </w:rPr>
        <w:t>万元</w:t>
      </w:r>
      <w:r>
        <w:rPr>
          <w:rFonts w:hint="eastAsia" w:ascii="Times New Roman" w:hAnsi="Times New Roman" w:eastAsia="仿宋" w:cs="Times New Roman"/>
          <w:color w:val="auto"/>
          <w:szCs w:val="32"/>
          <w:highlight w:val="none"/>
        </w:rPr>
        <w:t>，</w:t>
      </w:r>
      <w:r>
        <w:rPr>
          <w:rFonts w:hint="eastAsia" w:eastAsia="仿宋" w:cs="Times New Roman"/>
          <w:color w:val="auto"/>
          <w:szCs w:val="32"/>
          <w:highlight w:val="none"/>
          <w:lang w:eastAsia="zh-CN"/>
        </w:rPr>
        <w:t>各项目</w:t>
      </w:r>
      <w:r>
        <w:rPr>
          <w:rFonts w:hint="eastAsia" w:ascii="Times New Roman" w:hAnsi="Times New Roman" w:eastAsia="仿宋" w:cs="Times New Roman"/>
          <w:color w:val="auto"/>
          <w:szCs w:val="32"/>
          <w:highlight w:val="none"/>
        </w:rPr>
        <w:t>支出情况如下表</w:t>
      </w:r>
      <w:r>
        <w:rPr>
          <w:rFonts w:hint="eastAsia" w:ascii="Times New Roman" w:hAnsi="Times New Roman" w:eastAsia="仿宋" w:cs="Times New Roman"/>
          <w:color w:val="auto"/>
          <w:szCs w:val="32"/>
          <w:highlight w:val="none"/>
          <w:lang w:eastAsia="zh-CN"/>
        </w:rPr>
        <w:t>：</w:t>
      </w:r>
    </w:p>
    <w:p>
      <w:pPr>
        <w:keepNext w:val="0"/>
        <w:keepLines w:val="0"/>
        <w:pageBreakBefore w:val="0"/>
        <w:kinsoku/>
        <w:wordWrap/>
        <w:overflowPunct/>
        <w:topLinePunct w:val="0"/>
        <w:autoSpaceDE/>
        <w:autoSpaceDN/>
        <w:bidi w:val="0"/>
        <w:spacing w:line="600" w:lineRule="exact"/>
        <w:ind w:left="0" w:leftChars="0" w:firstLine="640" w:firstLineChars="200"/>
        <w:textAlignment w:val="auto"/>
        <w:outlineLvl w:val="9"/>
        <w:rPr>
          <w:rFonts w:hint="eastAsia" w:eastAsia="仿宋"/>
          <w:color w:val="auto"/>
          <w:szCs w:val="32"/>
          <w:highlight w:val="none"/>
        </w:rPr>
      </w:pPr>
      <w:r>
        <w:rPr>
          <w:rFonts w:hint="eastAsia" w:ascii="Times New Roman" w:hAnsi="Times New Roman" w:eastAsia="仿宋" w:cs="Times New Roman"/>
          <w:color w:val="auto"/>
          <w:szCs w:val="32"/>
          <w:highlight w:val="none"/>
        </w:rPr>
        <w:t xml:space="preserve">                                </w:t>
      </w:r>
      <w:r>
        <w:rPr>
          <w:rFonts w:hint="eastAsia" w:ascii="Times New Roman" w:hAnsi="Times New Roman" w:eastAsia="仿宋" w:cs="Times New Roman"/>
          <w:color w:val="auto"/>
          <w:szCs w:val="32"/>
          <w:highlight w:val="none"/>
          <w:lang w:val="en-US" w:eastAsia="zh-CN"/>
        </w:rPr>
        <w:t xml:space="preserve">     </w:t>
      </w:r>
      <w:r>
        <w:rPr>
          <w:rFonts w:hint="eastAsia" w:eastAsia="仿宋"/>
          <w:color w:val="auto"/>
          <w:szCs w:val="32"/>
          <w:highlight w:val="none"/>
        </w:rPr>
        <w:t>单位：万元</w:t>
      </w:r>
    </w:p>
    <w:tbl>
      <w:tblPr>
        <w:tblStyle w:val="14"/>
        <w:tblW w:w="88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6654"/>
        <w:gridCol w:w="22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6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项目名称</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 xml:space="preserve"> 金额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2021</w:t>
            </w:r>
            <w:r>
              <w:rPr>
                <w:rStyle w:val="46"/>
                <w:color w:val="auto"/>
                <w:highlight w:val="none"/>
                <w:lang w:val="en-US" w:eastAsia="zh-CN" w:bidi="ar"/>
              </w:rPr>
              <w:t>年退化林修复资金</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32.36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争取资金奖补工作经费</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1.84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2022</w:t>
            </w:r>
            <w:r>
              <w:rPr>
                <w:rStyle w:val="46"/>
                <w:color w:val="auto"/>
                <w:highlight w:val="none"/>
                <w:lang w:val="en-US" w:eastAsia="zh-CN" w:bidi="ar"/>
              </w:rPr>
              <w:t>年林业改革发展资金（退耕还生态林抚育补助）</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84.87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2018</w:t>
            </w:r>
            <w:r>
              <w:rPr>
                <w:rStyle w:val="46"/>
                <w:color w:val="auto"/>
                <w:highlight w:val="none"/>
                <w:lang w:val="en-US" w:eastAsia="zh-CN" w:bidi="ar"/>
              </w:rPr>
              <w:t>年、</w:t>
            </w:r>
            <w:r>
              <w:rPr>
                <w:rFonts w:hint="default" w:ascii="Times New Roman" w:hAnsi="Times New Roman" w:eastAsia="宋体" w:cs="Times New Roman"/>
                <w:i w:val="0"/>
                <w:color w:val="auto"/>
                <w:kern w:val="0"/>
                <w:sz w:val="24"/>
                <w:szCs w:val="24"/>
                <w:highlight w:val="none"/>
                <w:u w:val="none"/>
                <w:lang w:val="en-US" w:eastAsia="zh-CN" w:bidi="ar"/>
              </w:rPr>
              <w:t>2019</w:t>
            </w:r>
            <w:r>
              <w:rPr>
                <w:rStyle w:val="46"/>
                <w:color w:val="auto"/>
                <w:highlight w:val="none"/>
                <w:lang w:val="en-US" w:eastAsia="zh-CN" w:bidi="ar"/>
              </w:rPr>
              <w:t>年退耕还生态林抚育补助</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84.86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2021</w:t>
            </w:r>
            <w:r>
              <w:rPr>
                <w:rStyle w:val="46"/>
                <w:color w:val="auto"/>
                <w:highlight w:val="none"/>
                <w:lang w:val="en-US" w:eastAsia="zh-CN" w:bidi="ar"/>
              </w:rPr>
              <w:t>年重点生态功能区转移支付</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688.57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2019</w:t>
            </w:r>
            <w:r>
              <w:rPr>
                <w:rStyle w:val="46"/>
                <w:color w:val="auto"/>
                <w:highlight w:val="none"/>
                <w:lang w:val="en-US" w:eastAsia="zh-CN" w:bidi="ar"/>
              </w:rPr>
              <w:t>年植被恢复费</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19.40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2017</w:t>
            </w:r>
            <w:r>
              <w:rPr>
                <w:rStyle w:val="46"/>
                <w:color w:val="auto"/>
                <w:highlight w:val="none"/>
                <w:lang w:val="en-US" w:eastAsia="zh-CN" w:bidi="ar"/>
              </w:rPr>
              <w:t>年植被恢复费一、二</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22.17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2021</w:t>
            </w:r>
            <w:r>
              <w:rPr>
                <w:rStyle w:val="46"/>
                <w:color w:val="auto"/>
                <w:highlight w:val="none"/>
                <w:lang w:val="en-US" w:eastAsia="zh-CN" w:bidi="ar"/>
              </w:rPr>
              <w:t>年林业改革发展资金（退耕还生态林抚育补助）</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54.17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2020</w:t>
            </w:r>
            <w:r>
              <w:rPr>
                <w:rStyle w:val="46"/>
                <w:color w:val="auto"/>
                <w:highlight w:val="none"/>
                <w:lang w:val="en-US" w:eastAsia="zh-CN" w:bidi="ar"/>
              </w:rPr>
              <w:t>年中央财政林业改革发展资金（造林补助）</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60.00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2022</w:t>
            </w:r>
            <w:r>
              <w:rPr>
                <w:rStyle w:val="46"/>
                <w:color w:val="auto"/>
                <w:highlight w:val="none"/>
                <w:lang w:val="en-US" w:eastAsia="zh-CN" w:bidi="ar"/>
              </w:rPr>
              <w:t>年林业改革发展资金（国有林管护费和停伐补助费）</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794.58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2017</w:t>
            </w:r>
            <w:r>
              <w:rPr>
                <w:rStyle w:val="46"/>
                <w:color w:val="auto"/>
                <w:highlight w:val="none"/>
                <w:lang w:val="en-US" w:eastAsia="zh-CN" w:bidi="ar"/>
              </w:rPr>
              <w:t>年中央财政林业改革发展资金（国有林管护费）</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144.12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2019</w:t>
            </w:r>
            <w:r>
              <w:rPr>
                <w:rStyle w:val="46"/>
                <w:color w:val="auto"/>
                <w:highlight w:val="none"/>
                <w:lang w:val="en-US" w:eastAsia="zh-CN" w:bidi="ar"/>
              </w:rPr>
              <w:t>年集体和个人天然商品林停伐补助</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773.39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2020</w:t>
            </w:r>
            <w:r>
              <w:rPr>
                <w:rStyle w:val="46"/>
                <w:color w:val="auto"/>
                <w:highlight w:val="none"/>
                <w:lang w:val="en-US" w:eastAsia="zh-CN" w:bidi="ar"/>
              </w:rPr>
              <w:t>年生态效益补偿费</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386.70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2022</w:t>
            </w:r>
            <w:r>
              <w:rPr>
                <w:rStyle w:val="46"/>
                <w:color w:val="auto"/>
                <w:highlight w:val="none"/>
                <w:lang w:val="en-US" w:eastAsia="zh-CN" w:bidi="ar"/>
              </w:rPr>
              <w:t>年生态效益补偿资金</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392.84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2020</w:t>
            </w:r>
            <w:r>
              <w:rPr>
                <w:rStyle w:val="46"/>
                <w:color w:val="auto"/>
                <w:highlight w:val="none"/>
                <w:lang w:val="en-US" w:eastAsia="zh-CN" w:bidi="ar"/>
              </w:rPr>
              <w:t>年停伐补助费</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0.53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2020</w:t>
            </w:r>
            <w:r>
              <w:rPr>
                <w:rStyle w:val="46"/>
                <w:color w:val="auto"/>
                <w:highlight w:val="none"/>
                <w:lang w:val="en-US" w:eastAsia="zh-CN" w:bidi="ar"/>
              </w:rPr>
              <w:t>年中央财政林业改革发展资金（国有林抚育）</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7.20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2021</w:t>
            </w:r>
            <w:r>
              <w:rPr>
                <w:rStyle w:val="46"/>
                <w:color w:val="auto"/>
                <w:highlight w:val="none"/>
                <w:lang w:val="en-US" w:eastAsia="zh-CN" w:bidi="ar"/>
              </w:rPr>
              <w:t>年省级林业草原改革发展专项资金（松材线虫病防治）</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2022</w:t>
            </w:r>
            <w:r>
              <w:rPr>
                <w:rStyle w:val="46"/>
                <w:color w:val="auto"/>
                <w:highlight w:val="none"/>
                <w:lang w:val="en-US" w:eastAsia="zh-CN" w:bidi="ar"/>
              </w:rPr>
              <w:t>年防火经费</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146.00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2014</w:t>
            </w:r>
            <w:r>
              <w:rPr>
                <w:rStyle w:val="46"/>
                <w:color w:val="auto"/>
                <w:highlight w:val="none"/>
                <w:lang w:val="en-US" w:eastAsia="zh-CN" w:bidi="ar"/>
              </w:rPr>
              <w:t>年国家森林病虫害预测预报补助经费</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15.37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森林草原防灭火整治补助资金（地方车辆资金装备）</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150.88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2018</w:t>
            </w:r>
            <w:r>
              <w:rPr>
                <w:rStyle w:val="46"/>
                <w:color w:val="auto"/>
                <w:highlight w:val="none"/>
                <w:lang w:val="en-US" w:eastAsia="zh-CN" w:bidi="ar"/>
              </w:rPr>
              <w:t>年植被恢复费省级分成（鸡公营森林质量提升与生态治理）</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100.00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2020</w:t>
            </w:r>
            <w:r>
              <w:rPr>
                <w:rStyle w:val="46"/>
                <w:color w:val="auto"/>
                <w:highlight w:val="none"/>
                <w:lang w:val="en-US" w:eastAsia="zh-CN" w:bidi="ar"/>
              </w:rPr>
              <w:t>年森林植被恢复费返还（第一批）市级资金</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19.86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2019</w:t>
            </w:r>
            <w:r>
              <w:rPr>
                <w:rStyle w:val="46"/>
                <w:color w:val="auto"/>
                <w:highlight w:val="none"/>
                <w:lang w:val="en-US" w:eastAsia="zh-CN" w:bidi="ar"/>
              </w:rPr>
              <w:t>年重点生态功能区转移支付资金</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40.00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Style w:val="46"/>
                <w:color w:val="auto"/>
                <w:highlight w:val="none"/>
                <w:lang w:val="en-US" w:eastAsia="zh-CN" w:bidi="ar"/>
              </w:rPr>
              <w:t>返还</w:t>
            </w:r>
            <w:r>
              <w:rPr>
                <w:rFonts w:hint="default" w:ascii="Times New Roman" w:hAnsi="Times New Roman" w:eastAsia="仿宋" w:cs="Times New Roman"/>
                <w:i w:val="0"/>
                <w:color w:val="auto"/>
                <w:kern w:val="0"/>
                <w:sz w:val="24"/>
                <w:szCs w:val="24"/>
                <w:highlight w:val="none"/>
                <w:u w:val="none"/>
                <w:lang w:val="en-US" w:eastAsia="zh-CN" w:bidi="ar"/>
              </w:rPr>
              <w:t>2019</w:t>
            </w:r>
            <w:r>
              <w:rPr>
                <w:rStyle w:val="46"/>
                <w:color w:val="auto"/>
                <w:highlight w:val="none"/>
                <w:lang w:val="en-US" w:eastAsia="zh-CN" w:bidi="ar"/>
              </w:rPr>
              <w:t>年植被恢复费第二批及下达省级分成项目资金</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14.95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2015</w:t>
            </w:r>
            <w:r>
              <w:rPr>
                <w:rStyle w:val="46"/>
                <w:color w:val="auto"/>
                <w:highlight w:val="none"/>
                <w:lang w:val="en-US" w:eastAsia="zh-CN" w:bidi="ar"/>
              </w:rPr>
              <w:t>年重点生态功能区转移支付资金（生态功能区四期）</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35.03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2019</w:t>
            </w:r>
            <w:r>
              <w:rPr>
                <w:rStyle w:val="46"/>
                <w:color w:val="auto"/>
                <w:highlight w:val="none"/>
                <w:lang w:val="en-US" w:eastAsia="zh-CN" w:bidi="ar"/>
              </w:rPr>
              <w:t>年植被恢复费</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54.32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2017</w:t>
            </w:r>
            <w:r>
              <w:rPr>
                <w:rStyle w:val="46"/>
                <w:color w:val="auto"/>
                <w:highlight w:val="none"/>
                <w:lang w:val="en-US" w:eastAsia="zh-CN" w:bidi="ar"/>
              </w:rPr>
              <w:t>年重点生态功能区转移支付资金</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9.82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2017</w:t>
            </w:r>
            <w:r>
              <w:rPr>
                <w:rStyle w:val="46"/>
                <w:color w:val="auto"/>
                <w:highlight w:val="none"/>
                <w:lang w:val="en-US" w:eastAsia="zh-CN" w:bidi="ar"/>
              </w:rPr>
              <w:t>年植被恢复费一、二期</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25.00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2018</w:t>
            </w:r>
            <w:r>
              <w:rPr>
                <w:rStyle w:val="46"/>
                <w:color w:val="auto"/>
                <w:highlight w:val="none"/>
                <w:lang w:val="en-US" w:eastAsia="zh-CN" w:bidi="ar"/>
              </w:rPr>
              <w:t>年生态功能区转移支付资金</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50.00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2019</w:t>
            </w:r>
            <w:r>
              <w:rPr>
                <w:rStyle w:val="46"/>
                <w:color w:val="auto"/>
                <w:highlight w:val="none"/>
                <w:lang w:val="en-US" w:eastAsia="zh-CN" w:bidi="ar"/>
              </w:rPr>
              <w:t>年第二批植被恢复费</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6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2020</w:t>
            </w:r>
            <w:r>
              <w:rPr>
                <w:rStyle w:val="46"/>
                <w:color w:val="auto"/>
                <w:highlight w:val="none"/>
                <w:lang w:val="en-US" w:eastAsia="zh-CN" w:bidi="ar"/>
              </w:rPr>
              <w:t>年省级林业草原改革发展专项资金（省级自然保护区及动植物保护）</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29.38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2020</w:t>
            </w:r>
            <w:r>
              <w:rPr>
                <w:rStyle w:val="46"/>
                <w:color w:val="auto"/>
                <w:highlight w:val="none"/>
                <w:lang w:val="en-US" w:eastAsia="zh-CN" w:bidi="ar"/>
              </w:rPr>
              <w:t>年中央财政林业改革发展资金（退耕还生态林抚育补助）</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48.77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长江上游干旱河谷地区生态治理</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80.00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2020</w:t>
            </w:r>
            <w:r>
              <w:rPr>
                <w:rStyle w:val="46"/>
                <w:color w:val="auto"/>
                <w:highlight w:val="none"/>
                <w:lang w:val="en-US" w:eastAsia="zh-CN" w:bidi="ar"/>
              </w:rPr>
              <w:t>第二批中央财政林业改革发展资金（建防火隔离带）</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36.21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2020</w:t>
            </w:r>
            <w:r>
              <w:rPr>
                <w:rStyle w:val="46"/>
                <w:color w:val="auto"/>
                <w:highlight w:val="none"/>
                <w:lang w:val="en-US" w:eastAsia="zh-CN" w:bidi="ar"/>
              </w:rPr>
              <w:t>年森林植被恢复费第一批及下达省级分成项目支出资金</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82.20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仁和区森林草原防灭火基础设施建设专项整治</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128.72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2022</w:t>
            </w:r>
            <w:r>
              <w:rPr>
                <w:rStyle w:val="46"/>
                <w:color w:val="auto"/>
                <w:highlight w:val="none"/>
                <w:lang w:val="en-US" w:eastAsia="zh-CN" w:bidi="ar"/>
              </w:rPr>
              <w:t>年市本级生态功能区转移支付资金</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76.13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其他灾害防治及应急管理支出</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30.00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6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Style w:val="46"/>
                <w:color w:val="auto"/>
                <w:highlight w:val="none"/>
                <w:lang w:val="en-US" w:eastAsia="zh-CN" w:bidi="ar"/>
              </w:rPr>
              <w:t xml:space="preserve">合 </w:t>
            </w:r>
            <w:r>
              <w:rPr>
                <w:rFonts w:hint="default" w:ascii="Times New Roman" w:hAnsi="Times New Roman" w:eastAsia="仿宋" w:cs="Times New Roman"/>
                <w:i w:val="0"/>
                <w:color w:val="auto"/>
                <w:kern w:val="0"/>
                <w:sz w:val="24"/>
                <w:szCs w:val="24"/>
                <w:highlight w:val="none"/>
                <w:u w:val="none"/>
                <w:lang w:val="en-US" w:eastAsia="zh-CN" w:bidi="ar"/>
              </w:rPr>
              <w:t xml:space="preserve">  </w:t>
            </w:r>
            <w:r>
              <w:rPr>
                <w:rStyle w:val="46"/>
                <w:color w:val="auto"/>
                <w:highlight w:val="none"/>
                <w:lang w:val="en-US" w:eastAsia="zh-CN" w:bidi="ar"/>
              </w:rPr>
              <w:t>计</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 xml:space="preserve"> 4,728.2</w:t>
            </w:r>
            <w:r>
              <w:rPr>
                <w:rFonts w:hint="eastAsia" w:ascii="Times New Roman" w:hAnsi="Times New Roman" w:eastAsia="宋体" w:cs="Times New Roman"/>
                <w:i w:val="0"/>
                <w:color w:val="auto"/>
                <w:kern w:val="0"/>
                <w:sz w:val="24"/>
                <w:szCs w:val="24"/>
                <w:highlight w:val="none"/>
                <w:u w:val="none"/>
                <w:lang w:val="en-US" w:eastAsia="zh-CN" w:bidi="ar"/>
              </w:rPr>
              <w:t>3</w:t>
            </w:r>
            <w:r>
              <w:rPr>
                <w:rFonts w:hint="default" w:ascii="Times New Roman" w:hAnsi="Times New Roman" w:eastAsia="宋体" w:cs="Times New Roman"/>
                <w:i w:val="0"/>
                <w:color w:val="auto"/>
                <w:kern w:val="0"/>
                <w:sz w:val="24"/>
                <w:szCs w:val="24"/>
                <w:highlight w:val="none"/>
                <w:u w:val="none"/>
                <w:lang w:val="en-US" w:eastAsia="zh-CN" w:bidi="ar"/>
              </w:rPr>
              <w:t xml:space="preserve"> </w:t>
            </w:r>
          </w:p>
        </w:tc>
      </w:tr>
    </w:tbl>
    <w:p>
      <w:pPr>
        <w:adjustRightInd w:val="0"/>
        <w:snapToGrid w:val="0"/>
        <w:spacing w:line="600" w:lineRule="exact"/>
        <w:ind w:right="22" w:rightChars="7" w:firstLine="630" w:firstLineChars="196"/>
        <w:outlineLvl w:val="1"/>
        <w:rPr>
          <w:rFonts w:hint="eastAsia" w:ascii="楷体" w:hAnsi="楷体" w:eastAsia="楷体" w:cs="楷体"/>
          <w:b/>
          <w:color w:val="auto"/>
          <w:szCs w:val="32"/>
          <w:highlight w:val="none"/>
          <w:lang w:val="zh-CN"/>
        </w:rPr>
      </w:pPr>
      <w:bookmarkStart w:id="76" w:name="_Toc670"/>
      <w:bookmarkStart w:id="77" w:name="_Toc14640"/>
      <w:bookmarkStart w:id="78" w:name="_Toc14271"/>
      <w:r>
        <w:rPr>
          <w:rFonts w:hint="eastAsia" w:ascii="楷体" w:hAnsi="楷体" w:eastAsia="楷体" w:cs="楷体"/>
          <w:b/>
          <w:color w:val="auto"/>
          <w:szCs w:val="32"/>
          <w:highlight w:val="none"/>
          <w:lang w:val="zh-CN"/>
        </w:rPr>
        <w:t>（三）</w:t>
      </w:r>
      <w:r>
        <w:rPr>
          <w:rFonts w:hint="eastAsia" w:ascii="楷体" w:hAnsi="楷体" w:eastAsia="楷体" w:cs="楷体"/>
          <w:b/>
          <w:color w:val="auto"/>
          <w:kern w:val="0"/>
          <w:szCs w:val="32"/>
          <w:highlight w:val="none"/>
          <w:lang w:bidi="ar"/>
        </w:rPr>
        <w:t>2022年度财政资金结转结余情况</w:t>
      </w:r>
      <w:bookmarkEnd w:id="76"/>
      <w:bookmarkEnd w:id="77"/>
      <w:bookmarkEnd w:id="78"/>
    </w:p>
    <w:p>
      <w:pPr>
        <w:spacing w:line="600" w:lineRule="exact"/>
        <w:ind w:firstLine="640" w:firstLineChars="200"/>
        <w:rPr>
          <w:rFonts w:hint="eastAsia" w:eastAsia="仿宋"/>
          <w:color w:val="auto"/>
          <w:kern w:val="0"/>
          <w:szCs w:val="32"/>
          <w:highlight w:val="none"/>
        </w:rPr>
      </w:pPr>
      <w:r>
        <w:rPr>
          <w:rFonts w:hint="eastAsia" w:eastAsia="仿宋"/>
          <w:color w:val="auto"/>
          <w:szCs w:val="32"/>
          <w:highlight w:val="none"/>
          <w:lang w:eastAsia="zh-CN"/>
        </w:rPr>
        <w:t>2022年末，仁和</w:t>
      </w:r>
      <w:r>
        <w:rPr>
          <w:rFonts w:eastAsia="仿宋"/>
          <w:color w:val="auto"/>
          <w:szCs w:val="32"/>
          <w:highlight w:val="none"/>
        </w:rPr>
        <w:t>区林业局财政资金结转和结余0.43万元，</w:t>
      </w:r>
      <w:r>
        <w:rPr>
          <w:rFonts w:hint="eastAsia" w:eastAsia="仿宋"/>
          <w:color w:val="auto"/>
          <w:szCs w:val="32"/>
          <w:highlight w:val="none"/>
          <w:lang w:eastAsia="zh-CN"/>
        </w:rPr>
        <w:t>结余率</w:t>
      </w:r>
      <w:r>
        <w:rPr>
          <w:rFonts w:eastAsia="仿宋"/>
          <w:color w:val="auto"/>
          <w:szCs w:val="32"/>
          <w:highlight w:val="none"/>
        </w:rPr>
        <w:t>0.01%</w:t>
      </w:r>
      <w:r>
        <w:rPr>
          <w:rFonts w:hint="eastAsia" w:eastAsia="仿宋"/>
          <w:color w:val="auto"/>
          <w:szCs w:val="32"/>
          <w:highlight w:val="none"/>
          <w:lang w:eastAsia="zh-CN"/>
        </w:rPr>
        <w:t>，部门年度收支实际执行与调整后预算基本一致</w:t>
      </w:r>
      <w:r>
        <w:rPr>
          <w:rFonts w:eastAsia="仿宋"/>
          <w:color w:val="auto"/>
          <w:szCs w:val="32"/>
          <w:highlight w:val="none"/>
        </w:rPr>
        <w:t>。</w:t>
      </w:r>
    </w:p>
    <w:p>
      <w:pPr>
        <w:widowControl/>
        <w:spacing w:line="600" w:lineRule="exact"/>
        <w:ind w:firstLine="640" w:firstLineChars="200"/>
        <w:jc w:val="left"/>
        <w:outlineLvl w:val="0"/>
        <w:rPr>
          <w:rFonts w:hint="eastAsia" w:ascii="黑体" w:hAnsi="黑体" w:eastAsia="黑体" w:cs="黑体"/>
          <w:color w:val="auto"/>
          <w:kern w:val="0"/>
          <w:szCs w:val="32"/>
          <w:highlight w:val="none"/>
          <w:lang w:bidi="ar"/>
        </w:rPr>
      </w:pPr>
      <w:bookmarkStart w:id="79" w:name="_Toc16866"/>
      <w:bookmarkStart w:id="80" w:name="_Toc9211"/>
      <w:bookmarkStart w:id="81" w:name="_Toc2567"/>
      <w:bookmarkStart w:id="82" w:name="_Toc20281"/>
      <w:bookmarkStart w:id="83" w:name="_Toc23550"/>
      <w:r>
        <w:rPr>
          <w:rFonts w:hint="eastAsia" w:ascii="黑体" w:hAnsi="黑体" w:eastAsia="黑体" w:cs="黑体"/>
          <w:bCs/>
          <w:color w:val="auto"/>
          <w:szCs w:val="32"/>
          <w:highlight w:val="none"/>
          <w:lang w:eastAsia="zh-CN"/>
        </w:rPr>
        <w:t>四</w:t>
      </w:r>
      <w:r>
        <w:rPr>
          <w:rFonts w:hint="eastAsia" w:ascii="黑体" w:hAnsi="黑体" w:eastAsia="黑体" w:cs="黑体"/>
          <w:bCs/>
          <w:color w:val="auto"/>
          <w:szCs w:val="32"/>
          <w:highlight w:val="none"/>
        </w:rPr>
        <w:t>、</w:t>
      </w:r>
      <w:bookmarkEnd w:id="79"/>
      <w:bookmarkEnd w:id="80"/>
      <w:r>
        <w:rPr>
          <w:rFonts w:hint="eastAsia" w:ascii="黑体" w:hAnsi="黑体" w:eastAsia="黑体" w:cs="黑体"/>
          <w:bCs/>
          <w:color w:val="auto"/>
          <w:szCs w:val="32"/>
          <w:highlight w:val="none"/>
        </w:rPr>
        <w:t>部门绩效情况</w:t>
      </w:r>
      <w:bookmarkEnd w:id="81"/>
      <w:bookmarkEnd w:id="82"/>
      <w:bookmarkEnd w:id="83"/>
    </w:p>
    <w:p>
      <w:pPr>
        <w:adjustRightInd w:val="0"/>
        <w:snapToGrid w:val="0"/>
        <w:spacing w:line="600" w:lineRule="exact"/>
        <w:ind w:right="22" w:rightChars="7" w:firstLine="630" w:firstLineChars="196"/>
        <w:outlineLvl w:val="1"/>
        <w:rPr>
          <w:rFonts w:hint="eastAsia" w:ascii="楷体" w:hAnsi="楷体" w:eastAsia="楷体" w:cs="楷体"/>
          <w:b/>
          <w:color w:val="auto"/>
          <w:szCs w:val="32"/>
          <w:highlight w:val="none"/>
          <w:lang w:val="zh-CN"/>
        </w:rPr>
      </w:pPr>
      <w:bookmarkStart w:id="84" w:name="_Toc12508"/>
      <w:bookmarkStart w:id="85" w:name="_Toc24639"/>
      <w:bookmarkStart w:id="86" w:name="_Toc13157"/>
      <w:bookmarkStart w:id="87" w:name="_Toc20778"/>
      <w:bookmarkStart w:id="88" w:name="_Toc32238"/>
      <w:r>
        <w:rPr>
          <w:rFonts w:hint="eastAsia" w:ascii="楷体" w:hAnsi="楷体" w:eastAsia="楷体" w:cs="楷体"/>
          <w:b/>
          <w:color w:val="auto"/>
          <w:szCs w:val="32"/>
          <w:highlight w:val="none"/>
          <w:lang w:val="zh-CN"/>
        </w:rPr>
        <w:t>（一）部门整体</w:t>
      </w:r>
      <w:r>
        <w:rPr>
          <w:rFonts w:hint="eastAsia" w:ascii="楷体" w:hAnsi="楷体" w:eastAsia="楷体" w:cs="楷体"/>
          <w:b/>
          <w:color w:val="auto"/>
          <w:szCs w:val="32"/>
          <w:highlight w:val="none"/>
        </w:rPr>
        <w:t>绩效运行</w:t>
      </w:r>
      <w:r>
        <w:rPr>
          <w:rFonts w:hint="eastAsia" w:ascii="楷体" w:hAnsi="楷体" w:eastAsia="楷体" w:cs="楷体"/>
          <w:b/>
          <w:color w:val="auto"/>
          <w:szCs w:val="32"/>
          <w:highlight w:val="none"/>
          <w:lang w:val="zh-CN"/>
        </w:rPr>
        <w:t>情况</w:t>
      </w:r>
      <w:bookmarkEnd w:id="84"/>
      <w:bookmarkEnd w:id="85"/>
      <w:bookmarkEnd w:id="86"/>
      <w:bookmarkEnd w:id="87"/>
      <w:bookmarkEnd w:id="88"/>
    </w:p>
    <w:p>
      <w:pPr>
        <w:spacing w:line="600" w:lineRule="exact"/>
        <w:ind w:firstLine="640" w:firstLineChars="200"/>
        <w:rPr>
          <w:rFonts w:hint="eastAsia" w:eastAsia="仿宋"/>
          <w:color w:val="auto"/>
          <w:szCs w:val="32"/>
          <w:highlight w:val="none"/>
        </w:rPr>
      </w:pPr>
      <w:r>
        <w:rPr>
          <w:rFonts w:hint="eastAsia" w:eastAsia="仿宋"/>
          <w:color w:val="auto"/>
          <w:szCs w:val="32"/>
          <w:highlight w:val="none"/>
        </w:rPr>
        <w:t>1.绩效目标制定</w:t>
      </w:r>
    </w:p>
    <w:p>
      <w:pPr>
        <w:spacing w:line="600" w:lineRule="exact"/>
        <w:ind w:firstLine="640" w:firstLineChars="200"/>
        <w:rPr>
          <w:rFonts w:hint="eastAsia" w:eastAsia="仿宋"/>
          <w:color w:val="auto"/>
          <w:szCs w:val="32"/>
          <w:highlight w:val="none"/>
        </w:rPr>
      </w:pPr>
      <w:r>
        <w:rPr>
          <w:rFonts w:hint="eastAsia" w:eastAsia="仿宋"/>
          <w:color w:val="auto"/>
          <w:szCs w:val="32"/>
          <w:highlight w:val="none"/>
          <w:lang w:eastAsia="zh-CN"/>
        </w:rPr>
        <w:t>仁和区</w:t>
      </w:r>
      <w:r>
        <w:rPr>
          <w:rFonts w:hint="eastAsia" w:eastAsia="仿宋"/>
          <w:color w:val="auto"/>
          <w:szCs w:val="32"/>
          <w:highlight w:val="none"/>
        </w:rPr>
        <w:t>林业局部门全年整体工作任务为保障机关保障</w:t>
      </w:r>
      <w:r>
        <w:rPr>
          <w:rFonts w:hint="eastAsia" w:eastAsia="仿宋"/>
          <w:color w:val="auto"/>
          <w:szCs w:val="32"/>
          <w:highlight w:val="none"/>
          <w:lang w:val="en-US" w:eastAsia="zh-CN"/>
        </w:rPr>
        <w:t>部门职能实施和</w:t>
      </w:r>
      <w:r>
        <w:rPr>
          <w:rFonts w:hint="eastAsia" w:eastAsia="仿宋"/>
          <w:color w:val="auto"/>
          <w:szCs w:val="32"/>
          <w:highlight w:val="none"/>
        </w:rPr>
        <w:t>运转</w:t>
      </w:r>
      <w:r>
        <w:rPr>
          <w:rFonts w:hint="eastAsia" w:eastAsia="仿宋"/>
          <w:color w:val="auto"/>
          <w:szCs w:val="32"/>
          <w:highlight w:val="none"/>
          <w:lang w:eastAsia="zh-CN"/>
        </w:rPr>
        <w:t>，</w:t>
      </w:r>
      <w:r>
        <w:rPr>
          <w:rFonts w:hint="eastAsia" w:eastAsia="仿宋"/>
          <w:color w:val="auto"/>
          <w:szCs w:val="32"/>
          <w:highlight w:val="none"/>
        </w:rPr>
        <w:t>保障项目按照项目申报目标有序实施</w:t>
      </w:r>
      <w:r>
        <w:rPr>
          <w:rFonts w:hint="eastAsia" w:eastAsia="仿宋"/>
          <w:color w:val="auto"/>
          <w:szCs w:val="32"/>
          <w:highlight w:val="none"/>
          <w:lang w:eastAsia="zh-CN"/>
        </w:rPr>
        <w:t>。</w:t>
      </w:r>
      <w:r>
        <w:rPr>
          <w:rFonts w:hint="eastAsia" w:eastAsia="仿宋"/>
          <w:color w:val="auto"/>
          <w:szCs w:val="32"/>
          <w:highlight w:val="none"/>
        </w:rPr>
        <w:t>专项防火项目</w:t>
      </w:r>
      <w:r>
        <w:rPr>
          <w:rFonts w:hint="eastAsia" w:eastAsia="仿宋"/>
          <w:color w:val="auto"/>
          <w:szCs w:val="32"/>
          <w:highlight w:val="none"/>
          <w:lang w:eastAsia="zh-CN"/>
        </w:rPr>
        <w:t>主要任务为</w:t>
      </w:r>
      <w:r>
        <w:rPr>
          <w:rFonts w:hint="eastAsia" w:eastAsia="仿宋"/>
          <w:color w:val="auto"/>
          <w:szCs w:val="32"/>
          <w:highlight w:val="none"/>
        </w:rPr>
        <w:t>加强地方专业扑火队伍装备能力建设，力争2022全区不发生人为森林草原火灾，不发生扑火人员死亡事故，确保林区人民群众生命财产和重要设施不遭受重大损失。将全区森林草原火灾受害率控制在0.9‰以下。</w:t>
      </w:r>
    </w:p>
    <w:p>
      <w:pPr>
        <w:spacing w:line="600" w:lineRule="exact"/>
        <w:ind w:firstLine="640" w:firstLineChars="200"/>
        <w:rPr>
          <w:rFonts w:hint="eastAsia" w:eastAsia="仿宋"/>
          <w:color w:val="auto"/>
          <w:szCs w:val="32"/>
          <w:highlight w:val="none"/>
        </w:rPr>
      </w:pPr>
      <w:r>
        <w:rPr>
          <w:rFonts w:hint="eastAsia" w:eastAsia="仿宋"/>
          <w:color w:val="auto"/>
          <w:szCs w:val="32"/>
          <w:highlight w:val="none"/>
        </w:rPr>
        <w:t>2.绩效目标执行</w:t>
      </w:r>
    </w:p>
    <w:p>
      <w:pPr>
        <w:spacing w:line="600" w:lineRule="exact"/>
        <w:ind w:firstLine="640" w:firstLineChars="200"/>
        <w:rPr>
          <w:rFonts w:hint="eastAsia" w:eastAsia="仿宋"/>
          <w:color w:val="auto"/>
          <w:szCs w:val="32"/>
          <w:highlight w:val="none"/>
          <w:lang w:eastAsia="zh-CN"/>
        </w:rPr>
      </w:pPr>
      <w:r>
        <w:rPr>
          <w:rFonts w:hint="eastAsia" w:eastAsia="仿宋"/>
          <w:color w:val="auto"/>
          <w:kern w:val="0"/>
          <w:szCs w:val="32"/>
          <w:highlight w:val="none"/>
          <w:lang w:eastAsia="zh-CN" w:bidi="ar"/>
        </w:rPr>
        <w:t>仁和区林业局保障</w:t>
      </w:r>
      <w:r>
        <w:rPr>
          <w:rFonts w:hint="eastAsia" w:eastAsia="仿宋"/>
          <w:color w:val="auto"/>
          <w:kern w:val="0"/>
          <w:szCs w:val="32"/>
          <w:highlight w:val="none"/>
          <w:lang w:bidi="ar"/>
        </w:rPr>
        <w:t>职工工资等人员经费按月发放，</w:t>
      </w:r>
      <w:r>
        <w:rPr>
          <w:rFonts w:hint="eastAsia" w:eastAsia="仿宋"/>
          <w:color w:val="auto"/>
          <w:kern w:val="0"/>
          <w:szCs w:val="32"/>
          <w:highlight w:val="none"/>
          <w:lang w:eastAsia="zh-CN" w:bidi="ar"/>
        </w:rPr>
        <w:t>机关经费保障工作职能开展，保障</w:t>
      </w:r>
      <w:r>
        <w:rPr>
          <w:rFonts w:hint="eastAsia" w:eastAsia="仿宋"/>
          <w:color w:val="auto"/>
          <w:kern w:val="0"/>
          <w:szCs w:val="32"/>
          <w:highlight w:val="none"/>
          <w:lang w:bidi="ar"/>
        </w:rPr>
        <w:t>项目有序推进</w:t>
      </w:r>
      <w:r>
        <w:rPr>
          <w:rFonts w:hint="eastAsia" w:eastAsia="仿宋"/>
          <w:color w:val="auto"/>
          <w:kern w:val="0"/>
          <w:szCs w:val="32"/>
          <w:highlight w:val="none"/>
          <w:lang w:eastAsia="zh-CN" w:bidi="ar"/>
        </w:rPr>
        <w:t>。</w:t>
      </w:r>
      <w:r>
        <w:rPr>
          <w:rFonts w:hint="eastAsia" w:eastAsia="仿宋"/>
          <w:color w:val="auto"/>
          <w:szCs w:val="32"/>
          <w:highlight w:val="none"/>
        </w:rPr>
        <w:t>在实施过程中进行了科学决策，加强了项目过程的管理，严把质量关</w:t>
      </w:r>
      <w:r>
        <w:rPr>
          <w:rFonts w:hint="eastAsia" w:eastAsia="仿宋"/>
          <w:color w:val="auto"/>
          <w:szCs w:val="32"/>
          <w:highlight w:val="none"/>
          <w:lang w:val="en-US" w:eastAsia="zh-CN"/>
        </w:rPr>
        <w:t>。</w:t>
      </w:r>
    </w:p>
    <w:p>
      <w:pPr>
        <w:spacing w:line="600" w:lineRule="exact"/>
        <w:ind w:firstLine="640" w:firstLineChars="200"/>
        <w:rPr>
          <w:rFonts w:hint="eastAsia" w:eastAsia="仿宋"/>
          <w:color w:val="auto"/>
          <w:szCs w:val="32"/>
          <w:highlight w:val="none"/>
        </w:rPr>
      </w:pPr>
      <w:r>
        <w:rPr>
          <w:rFonts w:hint="eastAsia" w:eastAsia="仿宋"/>
          <w:color w:val="auto"/>
          <w:szCs w:val="32"/>
          <w:highlight w:val="none"/>
        </w:rPr>
        <w:t>3.绩效目标管理</w:t>
      </w:r>
    </w:p>
    <w:p>
      <w:pPr>
        <w:spacing w:line="600" w:lineRule="exact"/>
        <w:ind w:firstLine="640" w:firstLineChars="200"/>
        <w:rPr>
          <w:rFonts w:hint="eastAsia" w:eastAsia="仿宋"/>
          <w:color w:val="auto"/>
          <w:szCs w:val="32"/>
          <w:highlight w:val="none"/>
        </w:rPr>
      </w:pPr>
      <w:r>
        <w:rPr>
          <w:rFonts w:hint="eastAsia" w:eastAsia="仿宋"/>
          <w:color w:val="auto"/>
          <w:szCs w:val="32"/>
          <w:highlight w:val="none"/>
          <w:lang w:eastAsia="zh-CN"/>
        </w:rPr>
        <w:t>仁和</w:t>
      </w:r>
      <w:r>
        <w:rPr>
          <w:rFonts w:hint="eastAsia" w:eastAsia="仿宋"/>
          <w:color w:val="auto"/>
          <w:szCs w:val="32"/>
          <w:highlight w:val="none"/>
        </w:rPr>
        <w:t>区林业局</w:t>
      </w:r>
      <w:r>
        <w:rPr>
          <w:rFonts w:hint="eastAsia" w:eastAsia="仿宋"/>
          <w:color w:val="auto"/>
          <w:szCs w:val="32"/>
          <w:highlight w:val="none"/>
          <w:lang w:eastAsia="zh-CN"/>
        </w:rPr>
        <w:t>项目</w:t>
      </w:r>
      <w:r>
        <w:rPr>
          <w:rFonts w:hint="eastAsia" w:eastAsia="仿宋"/>
          <w:color w:val="auto"/>
          <w:szCs w:val="32"/>
          <w:highlight w:val="none"/>
        </w:rPr>
        <w:t>采购过程</w:t>
      </w:r>
      <w:r>
        <w:rPr>
          <w:rFonts w:hint="eastAsia" w:eastAsia="仿宋"/>
          <w:color w:val="auto"/>
          <w:szCs w:val="32"/>
          <w:highlight w:val="none"/>
          <w:lang w:eastAsia="zh-CN"/>
        </w:rPr>
        <w:t>较好地</w:t>
      </w:r>
      <w:r>
        <w:rPr>
          <w:rFonts w:hint="eastAsia" w:eastAsia="仿宋"/>
          <w:color w:val="auto"/>
          <w:szCs w:val="32"/>
          <w:highlight w:val="none"/>
        </w:rPr>
        <w:t>执行</w:t>
      </w:r>
      <w:r>
        <w:rPr>
          <w:rFonts w:hint="eastAsia" w:eastAsia="仿宋"/>
          <w:color w:val="auto"/>
          <w:szCs w:val="32"/>
          <w:highlight w:val="none"/>
          <w:lang w:eastAsia="zh-CN"/>
        </w:rPr>
        <w:t>了</w:t>
      </w:r>
      <w:r>
        <w:rPr>
          <w:rFonts w:hint="eastAsia" w:eastAsia="仿宋"/>
          <w:color w:val="auto"/>
          <w:szCs w:val="32"/>
          <w:highlight w:val="none"/>
        </w:rPr>
        <w:t>《四川省政府集中采购目录及标准（2020年版）》</w:t>
      </w:r>
      <w:r>
        <w:rPr>
          <w:rFonts w:hint="eastAsia" w:eastAsia="仿宋"/>
          <w:color w:val="auto"/>
          <w:szCs w:val="32"/>
          <w:highlight w:val="none"/>
          <w:lang w:eastAsia="zh-CN"/>
        </w:rPr>
        <w:t>（</w:t>
      </w:r>
      <w:r>
        <w:rPr>
          <w:rFonts w:hint="eastAsia" w:eastAsia="仿宋"/>
          <w:color w:val="auto"/>
          <w:szCs w:val="32"/>
          <w:highlight w:val="none"/>
        </w:rPr>
        <w:t>川财规</w:t>
      </w:r>
      <w:r>
        <w:rPr>
          <w:rFonts w:eastAsia="仿宋"/>
          <w:color w:val="auto"/>
          <w:szCs w:val="32"/>
          <w:highlight w:val="none"/>
        </w:rPr>
        <w:t>〔</w:t>
      </w:r>
      <w:r>
        <w:rPr>
          <w:rFonts w:hint="eastAsia" w:eastAsia="仿宋"/>
          <w:color w:val="auto"/>
          <w:szCs w:val="32"/>
          <w:highlight w:val="none"/>
        </w:rPr>
        <w:t>2020</w:t>
      </w:r>
      <w:r>
        <w:rPr>
          <w:rFonts w:eastAsia="仿宋"/>
          <w:color w:val="auto"/>
          <w:szCs w:val="32"/>
          <w:highlight w:val="none"/>
        </w:rPr>
        <w:t>〕</w:t>
      </w:r>
      <w:r>
        <w:rPr>
          <w:rFonts w:hint="eastAsia" w:eastAsia="仿宋"/>
          <w:color w:val="auto"/>
          <w:szCs w:val="32"/>
          <w:highlight w:val="none"/>
        </w:rPr>
        <w:t>11号</w:t>
      </w:r>
      <w:r>
        <w:rPr>
          <w:rFonts w:hint="eastAsia" w:eastAsia="仿宋"/>
          <w:color w:val="auto"/>
          <w:szCs w:val="32"/>
          <w:highlight w:val="none"/>
          <w:lang w:eastAsia="zh-CN"/>
        </w:rPr>
        <w:t>）</w:t>
      </w:r>
      <w:r>
        <w:rPr>
          <w:rFonts w:hint="eastAsia" w:eastAsia="仿宋"/>
          <w:color w:val="auto"/>
          <w:szCs w:val="32"/>
          <w:highlight w:val="none"/>
        </w:rPr>
        <w:t>，</w:t>
      </w:r>
      <w:r>
        <w:rPr>
          <w:rFonts w:hint="eastAsia" w:eastAsia="仿宋"/>
          <w:color w:val="auto"/>
          <w:kern w:val="0"/>
          <w:szCs w:val="32"/>
          <w:highlight w:val="none"/>
          <w:lang w:bidi="ar"/>
        </w:rPr>
        <w:t>投标资料齐全，</w:t>
      </w:r>
      <w:r>
        <w:rPr>
          <w:rFonts w:hint="eastAsia" w:eastAsia="仿宋"/>
          <w:color w:val="auto"/>
          <w:kern w:val="0"/>
          <w:szCs w:val="32"/>
          <w:highlight w:val="none"/>
          <w:lang w:eastAsia="zh-CN" w:bidi="ar"/>
        </w:rPr>
        <w:t>招标</w:t>
      </w:r>
      <w:r>
        <w:rPr>
          <w:rFonts w:hint="eastAsia" w:eastAsia="仿宋"/>
          <w:color w:val="auto"/>
          <w:kern w:val="0"/>
          <w:szCs w:val="32"/>
          <w:highlight w:val="none"/>
          <w:lang w:bidi="ar"/>
        </w:rPr>
        <w:t>公开、公平、公正，</w:t>
      </w:r>
      <w:r>
        <w:rPr>
          <w:rFonts w:hint="eastAsia" w:eastAsia="仿宋"/>
          <w:color w:val="auto"/>
          <w:kern w:val="0"/>
          <w:szCs w:val="32"/>
          <w:highlight w:val="none"/>
          <w:lang w:eastAsia="zh-CN" w:bidi="ar"/>
        </w:rPr>
        <w:t>单位</w:t>
      </w:r>
      <w:r>
        <w:rPr>
          <w:rFonts w:hint="eastAsia" w:eastAsia="仿宋"/>
          <w:color w:val="auto"/>
          <w:kern w:val="0"/>
          <w:szCs w:val="32"/>
          <w:highlight w:val="none"/>
          <w:lang w:bidi="ar"/>
        </w:rPr>
        <w:t>财务管理制度</w:t>
      </w:r>
      <w:r>
        <w:rPr>
          <w:rFonts w:hint="eastAsia" w:eastAsia="仿宋"/>
          <w:color w:val="auto"/>
          <w:kern w:val="0"/>
          <w:szCs w:val="32"/>
          <w:highlight w:val="none"/>
          <w:lang w:eastAsia="zh-CN" w:bidi="ar"/>
        </w:rPr>
        <w:t>等内控制度</w:t>
      </w:r>
      <w:r>
        <w:rPr>
          <w:rFonts w:hint="eastAsia" w:eastAsia="仿宋"/>
          <w:color w:val="auto"/>
          <w:kern w:val="0"/>
          <w:szCs w:val="32"/>
          <w:highlight w:val="none"/>
          <w:lang w:bidi="ar"/>
        </w:rPr>
        <w:t>健全</w:t>
      </w:r>
      <w:r>
        <w:rPr>
          <w:rFonts w:hint="eastAsia" w:eastAsia="仿宋"/>
          <w:color w:val="auto"/>
          <w:kern w:val="0"/>
          <w:szCs w:val="32"/>
          <w:highlight w:val="none"/>
          <w:lang w:eastAsia="zh-CN" w:bidi="ar"/>
        </w:rPr>
        <w:t>，执行较好</w:t>
      </w:r>
      <w:r>
        <w:rPr>
          <w:rFonts w:hint="eastAsia" w:eastAsia="仿宋"/>
          <w:color w:val="auto"/>
          <w:szCs w:val="32"/>
          <w:highlight w:val="none"/>
        </w:rPr>
        <w:t xml:space="preserve">。 </w:t>
      </w:r>
    </w:p>
    <w:p>
      <w:pPr>
        <w:spacing w:line="600" w:lineRule="exact"/>
        <w:ind w:firstLine="640" w:firstLineChars="200"/>
        <w:rPr>
          <w:rFonts w:hint="eastAsia" w:eastAsia="仿宋"/>
          <w:color w:val="auto"/>
          <w:szCs w:val="32"/>
          <w:highlight w:val="none"/>
        </w:rPr>
      </w:pPr>
      <w:r>
        <w:rPr>
          <w:rFonts w:hint="eastAsia" w:eastAsia="仿宋"/>
          <w:color w:val="auto"/>
          <w:szCs w:val="32"/>
          <w:highlight w:val="none"/>
        </w:rPr>
        <w:t>4.绩效完成情况</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仿宋" w:cs="Times New Roman"/>
          <w:color w:val="auto"/>
          <w:szCs w:val="32"/>
          <w:highlight w:val="none"/>
        </w:rPr>
      </w:pPr>
      <w:r>
        <w:rPr>
          <w:rFonts w:hint="eastAsia" w:eastAsia="仿宋"/>
          <w:color w:val="auto"/>
          <w:szCs w:val="32"/>
          <w:highlight w:val="none"/>
          <w:lang w:eastAsia="zh-CN"/>
        </w:rPr>
        <w:t>仁和</w:t>
      </w:r>
      <w:r>
        <w:rPr>
          <w:rFonts w:hint="eastAsia" w:eastAsia="仿宋"/>
          <w:color w:val="auto"/>
          <w:szCs w:val="32"/>
          <w:highlight w:val="none"/>
        </w:rPr>
        <w:t>区林业局</w:t>
      </w:r>
      <w:r>
        <w:rPr>
          <w:rFonts w:hint="eastAsia" w:ascii="仿宋" w:hAnsi="仿宋" w:eastAsia="仿宋"/>
          <w:color w:val="auto"/>
          <w:szCs w:val="32"/>
          <w:highlight w:val="none"/>
        </w:rPr>
        <w:t>部门</w:t>
      </w:r>
      <w:r>
        <w:rPr>
          <w:rFonts w:hint="eastAsia" w:ascii="仿宋" w:hAnsi="仿宋" w:eastAsia="仿宋"/>
          <w:color w:val="auto"/>
          <w:szCs w:val="32"/>
          <w:highlight w:val="none"/>
          <w:lang w:eastAsia="zh-CN"/>
        </w:rPr>
        <w:t>预算</w:t>
      </w:r>
      <w:r>
        <w:rPr>
          <w:rFonts w:hint="default" w:ascii="Times New Roman" w:hAnsi="Times New Roman" w:eastAsia="仿宋" w:cs="Times New Roman"/>
          <w:color w:val="auto"/>
          <w:szCs w:val="32"/>
          <w:highlight w:val="none"/>
        </w:rPr>
        <w:t>保障了</w:t>
      </w:r>
      <w:r>
        <w:rPr>
          <w:rFonts w:hint="eastAsia" w:eastAsia="仿宋" w:cs="Times New Roman"/>
          <w:color w:val="auto"/>
          <w:szCs w:val="32"/>
          <w:highlight w:val="none"/>
          <w:lang w:eastAsia="zh-CN"/>
        </w:rPr>
        <w:t>区林业局</w:t>
      </w:r>
      <w:r>
        <w:rPr>
          <w:rFonts w:hint="default" w:ascii="Times New Roman" w:hAnsi="Times New Roman" w:eastAsia="仿宋" w:cs="Times New Roman"/>
          <w:color w:val="auto"/>
          <w:szCs w:val="32"/>
          <w:highlight w:val="none"/>
        </w:rPr>
        <w:t>日常工作</w:t>
      </w:r>
      <w:r>
        <w:rPr>
          <w:rFonts w:hint="eastAsia" w:eastAsia="仿宋" w:cs="Times New Roman"/>
          <w:color w:val="auto"/>
          <w:szCs w:val="32"/>
          <w:highlight w:val="none"/>
          <w:lang w:eastAsia="zh-CN"/>
        </w:rPr>
        <w:t>开展和机关</w:t>
      </w:r>
      <w:r>
        <w:rPr>
          <w:rFonts w:hint="default" w:ascii="Times New Roman" w:hAnsi="Times New Roman" w:eastAsia="仿宋" w:cs="Times New Roman"/>
          <w:color w:val="auto"/>
          <w:szCs w:val="32"/>
          <w:highlight w:val="none"/>
        </w:rPr>
        <w:t>的正常运行，</w:t>
      </w:r>
      <w:r>
        <w:rPr>
          <w:rFonts w:hint="eastAsia" w:eastAsia="仿宋"/>
          <w:color w:val="auto"/>
          <w:szCs w:val="32"/>
          <w:highlight w:val="none"/>
          <w:lang w:eastAsia="zh-CN"/>
        </w:rPr>
        <w:t>较好</w:t>
      </w:r>
      <w:r>
        <w:rPr>
          <w:rFonts w:hint="default" w:ascii="Times New Roman" w:hAnsi="Times New Roman" w:eastAsia="仿宋" w:cs="Times New Roman"/>
          <w:color w:val="auto"/>
          <w:szCs w:val="32"/>
          <w:highlight w:val="none"/>
        </w:rPr>
        <w:t>贯彻了厉行节约的政策，全年“三公”经费支出较上年减少4.28%，有效的控制不必要的支出。</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eastAsia="仿宋" w:cs="Times New Roman"/>
          <w:color w:val="auto"/>
          <w:szCs w:val="32"/>
          <w:highlight w:val="none"/>
          <w:lang w:eastAsia="zh-CN"/>
        </w:rPr>
      </w:pPr>
      <w:r>
        <w:rPr>
          <w:rFonts w:hint="eastAsia" w:eastAsia="仿宋"/>
          <w:color w:val="auto"/>
          <w:szCs w:val="32"/>
          <w:highlight w:val="none"/>
          <w:lang w:eastAsia="zh-CN"/>
        </w:rPr>
        <w:t>仁和</w:t>
      </w:r>
      <w:r>
        <w:rPr>
          <w:rFonts w:hint="eastAsia" w:eastAsia="仿宋"/>
          <w:color w:val="auto"/>
          <w:szCs w:val="32"/>
          <w:highlight w:val="none"/>
        </w:rPr>
        <w:t>区林业局</w:t>
      </w:r>
      <w:r>
        <w:rPr>
          <w:rFonts w:hint="default" w:ascii="Times New Roman" w:hAnsi="Times New Roman" w:eastAsia="仿宋" w:cs="Times New Roman"/>
          <w:color w:val="auto"/>
          <w:szCs w:val="32"/>
          <w:highlight w:val="none"/>
        </w:rPr>
        <w:t>对已达到报废条件的固定资产及时进行处置，有效的提高了资产的使用效益</w:t>
      </w:r>
      <w:r>
        <w:rPr>
          <w:rFonts w:hint="eastAsia" w:eastAsia="仿宋" w:cs="Times New Roman"/>
          <w:color w:val="auto"/>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olor w:val="auto"/>
          <w:szCs w:val="32"/>
          <w:highlight w:val="none"/>
        </w:rPr>
      </w:pPr>
      <w:r>
        <w:rPr>
          <w:rFonts w:hint="eastAsia" w:eastAsia="仿宋"/>
          <w:color w:val="auto"/>
          <w:szCs w:val="32"/>
          <w:highlight w:val="none"/>
          <w:lang w:eastAsia="zh-CN"/>
        </w:rPr>
        <w:t>仁和</w:t>
      </w:r>
      <w:r>
        <w:rPr>
          <w:rFonts w:hint="eastAsia" w:eastAsia="仿宋"/>
          <w:color w:val="auto"/>
          <w:szCs w:val="32"/>
          <w:highlight w:val="none"/>
        </w:rPr>
        <w:t>区林业局</w:t>
      </w:r>
      <w:r>
        <w:rPr>
          <w:rFonts w:hint="eastAsia" w:eastAsia="仿宋"/>
          <w:color w:val="auto"/>
          <w:szCs w:val="32"/>
          <w:highlight w:val="none"/>
          <w:lang w:val="en-US" w:eastAsia="zh-CN"/>
        </w:rPr>
        <w:t>2022年</w:t>
      </w:r>
      <w:r>
        <w:rPr>
          <w:rFonts w:hint="default" w:ascii="Times New Roman" w:hAnsi="Times New Roman" w:eastAsia="仿宋" w:cs="Times New Roman"/>
          <w:color w:val="auto"/>
          <w:szCs w:val="32"/>
          <w:highlight w:val="none"/>
        </w:rPr>
        <w:t>完成</w:t>
      </w:r>
      <w:r>
        <w:rPr>
          <w:rFonts w:hint="eastAsia" w:eastAsia="仿宋" w:cs="Times New Roman"/>
          <w:color w:val="auto"/>
          <w:szCs w:val="32"/>
          <w:highlight w:val="none"/>
          <w:lang w:eastAsia="zh-CN"/>
        </w:rPr>
        <w:t>了</w:t>
      </w:r>
      <w:r>
        <w:rPr>
          <w:rFonts w:hint="default" w:ascii="Times New Roman" w:hAnsi="Times New Roman" w:eastAsia="仿宋" w:cs="Times New Roman"/>
          <w:color w:val="auto"/>
          <w:szCs w:val="32"/>
          <w:highlight w:val="none"/>
        </w:rPr>
        <w:t>预算</w:t>
      </w:r>
      <w:r>
        <w:rPr>
          <w:rFonts w:hint="eastAsia" w:eastAsia="仿宋" w:cs="Times New Roman"/>
          <w:color w:val="auto"/>
          <w:szCs w:val="32"/>
          <w:highlight w:val="none"/>
          <w:lang w:eastAsia="zh-CN"/>
        </w:rPr>
        <w:t>的</w:t>
      </w:r>
      <w:r>
        <w:rPr>
          <w:rFonts w:hint="default" w:ascii="Times New Roman" w:hAnsi="Times New Roman" w:eastAsia="仿宋" w:cs="Times New Roman"/>
          <w:color w:val="auto"/>
          <w:szCs w:val="32"/>
          <w:highlight w:val="none"/>
        </w:rPr>
        <w:t>100%。</w:t>
      </w:r>
      <w:r>
        <w:rPr>
          <w:rFonts w:hint="eastAsia" w:eastAsia="仿宋" w:cs="Times New Roman"/>
          <w:color w:val="auto"/>
          <w:szCs w:val="32"/>
          <w:highlight w:val="none"/>
          <w:lang w:eastAsia="zh-CN"/>
        </w:rPr>
        <w:t>我们</w:t>
      </w:r>
      <w:r>
        <w:rPr>
          <w:rFonts w:hint="default" w:ascii="Times New Roman" w:hAnsi="Times New Roman" w:eastAsia="仿宋" w:cs="Times New Roman"/>
          <w:color w:val="auto"/>
          <w:szCs w:val="32"/>
          <w:highlight w:val="none"/>
        </w:rPr>
        <w:t>未</w:t>
      </w:r>
      <w:r>
        <w:rPr>
          <w:rFonts w:hint="eastAsia" w:eastAsia="仿宋" w:cs="Times New Roman"/>
          <w:color w:val="auto"/>
          <w:szCs w:val="32"/>
          <w:highlight w:val="none"/>
          <w:lang w:eastAsia="zh-CN"/>
        </w:rPr>
        <w:t>发</w:t>
      </w:r>
      <w:r>
        <w:rPr>
          <w:rFonts w:hint="default" w:ascii="Times New Roman" w:hAnsi="Times New Roman" w:eastAsia="仿宋" w:cs="Times New Roman"/>
          <w:color w:val="auto"/>
          <w:szCs w:val="32"/>
          <w:highlight w:val="none"/>
        </w:rPr>
        <w:t>现违规记录</w:t>
      </w:r>
      <w:r>
        <w:rPr>
          <w:rFonts w:hint="eastAsia" w:ascii="Times New Roman" w:hAnsi="Times New Roman" w:eastAsia="仿宋" w:cs="Times New Roman"/>
          <w:color w:val="auto"/>
          <w:szCs w:val="32"/>
          <w:highlight w:val="none"/>
        </w:rPr>
        <w:t>及违反财经纪律的情况。</w:t>
      </w:r>
    </w:p>
    <w:p>
      <w:pPr>
        <w:numPr>
          <w:ilvl w:val="0"/>
          <w:numId w:val="1"/>
        </w:numPr>
        <w:adjustRightInd w:val="0"/>
        <w:snapToGrid w:val="0"/>
        <w:spacing w:line="600" w:lineRule="exact"/>
        <w:ind w:right="22" w:rightChars="7" w:firstLine="630" w:firstLineChars="196"/>
        <w:outlineLvl w:val="1"/>
        <w:rPr>
          <w:rFonts w:hint="eastAsia" w:ascii="楷体" w:hAnsi="楷体" w:eastAsia="楷体" w:cs="楷体"/>
          <w:b/>
          <w:color w:val="auto"/>
          <w:szCs w:val="32"/>
          <w:highlight w:val="none"/>
          <w:lang w:val="zh-CN"/>
        </w:rPr>
      </w:pPr>
      <w:bookmarkStart w:id="89" w:name="_Toc26789"/>
      <w:bookmarkStart w:id="90" w:name="_Toc19219"/>
      <w:bookmarkStart w:id="91" w:name="_Toc11339"/>
      <w:bookmarkStart w:id="92" w:name="_Toc622"/>
      <w:bookmarkStart w:id="93" w:name="_Toc9221"/>
      <w:r>
        <w:rPr>
          <w:rFonts w:hint="eastAsia" w:ascii="楷体" w:hAnsi="楷体" w:eastAsia="楷体" w:cs="楷体"/>
          <w:b/>
          <w:color w:val="auto"/>
          <w:szCs w:val="32"/>
          <w:highlight w:val="none"/>
          <w:lang w:val="zh-CN"/>
        </w:rPr>
        <w:t>专项项目绩效及执行情况</w:t>
      </w:r>
      <w:bookmarkEnd w:id="89"/>
      <w:bookmarkEnd w:id="90"/>
      <w:bookmarkEnd w:id="91"/>
      <w:bookmarkEnd w:id="92"/>
      <w:bookmarkEnd w:id="93"/>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Times New Roman" w:hAnsi="Times New Roman" w:eastAsia="仿宋" w:cs="Times New Roman"/>
          <w:color w:val="auto"/>
          <w:szCs w:val="32"/>
          <w:highlight w:val="none"/>
        </w:rPr>
      </w:pPr>
      <w:r>
        <w:rPr>
          <w:rFonts w:hint="eastAsia" w:eastAsia="仿宋"/>
          <w:color w:val="auto"/>
          <w:szCs w:val="32"/>
          <w:highlight w:val="none"/>
          <w:lang w:eastAsia="zh-CN"/>
        </w:rPr>
        <w:t>仁和</w:t>
      </w:r>
      <w:r>
        <w:rPr>
          <w:rFonts w:hint="eastAsia" w:eastAsia="仿宋"/>
          <w:color w:val="auto"/>
          <w:szCs w:val="32"/>
          <w:highlight w:val="none"/>
        </w:rPr>
        <w:t>区林业局</w:t>
      </w:r>
      <w:r>
        <w:rPr>
          <w:rFonts w:hint="eastAsia" w:eastAsia="仿宋"/>
          <w:color w:val="auto"/>
          <w:szCs w:val="32"/>
          <w:highlight w:val="none"/>
          <w:lang w:val="en-US" w:eastAsia="zh-CN"/>
        </w:rPr>
        <w:t>2022年</w:t>
      </w:r>
      <w:r>
        <w:rPr>
          <w:rFonts w:hint="eastAsia" w:ascii="Times New Roman" w:hAnsi="Times New Roman" w:eastAsia="仿宋" w:cs="Times New Roman"/>
          <w:color w:val="auto"/>
          <w:szCs w:val="32"/>
          <w:highlight w:val="none"/>
        </w:rPr>
        <w:t>通过加强地方专业扑火队伍装备能力建设，2022年仁和区实现了无人为森林草原火灾，无扑火人员伤亡的目标，森林草原防灭火工作取得了“两连胜”的优良成绩。</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Times New Roman" w:hAnsi="Times New Roman" w:eastAsia="仿宋" w:cs="Times New Roman"/>
          <w:color w:val="auto"/>
          <w:szCs w:val="32"/>
          <w:highlight w:val="none"/>
          <w:lang w:val="zh-CN"/>
        </w:rPr>
      </w:pPr>
      <w:r>
        <w:rPr>
          <w:rFonts w:hint="eastAsia" w:ascii="Times New Roman" w:hAnsi="Times New Roman" w:eastAsia="仿宋" w:cs="Times New Roman"/>
          <w:color w:val="auto"/>
          <w:szCs w:val="32"/>
          <w:highlight w:val="none"/>
          <w:lang w:eastAsia="zh-CN"/>
        </w:rPr>
        <w:t>我们</w:t>
      </w:r>
      <w:r>
        <w:rPr>
          <w:rFonts w:hint="eastAsia" w:ascii="Times New Roman" w:hAnsi="Times New Roman" w:eastAsia="仿宋" w:cs="Times New Roman"/>
          <w:color w:val="auto"/>
          <w:szCs w:val="32"/>
          <w:highlight w:val="none"/>
          <w:lang w:val="zh-CN"/>
        </w:rPr>
        <w:t>抽</w:t>
      </w:r>
      <w:r>
        <w:rPr>
          <w:rFonts w:hint="eastAsia" w:eastAsia="仿宋" w:cs="Times New Roman"/>
          <w:color w:val="auto"/>
          <w:szCs w:val="32"/>
          <w:highlight w:val="none"/>
          <w:lang w:val="zh-CN"/>
        </w:rPr>
        <w:t>查了</w:t>
      </w:r>
      <w:r>
        <w:rPr>
          <w:rFonts w:hint="eastAsia" w:ascii="Times New Roman" w:hAnsi="Times New Roman" w:eastAsia="仿宋" w:cs="Times New Roman"/>
          <w:color w:val="auto"/>
          <w:szCs w:val="32"/>
          <w:highlight w:val="none"/>
          <w:lang w:val="zh-CN"/>
        </w:rPr>
        <w:t>3个专项项目</w:t>
      </w:r>
      <w:r>
        <w:rPr>
          <w:rFonts w:hint="eastAsia" w:eastAsia="仿宋" w:cs="Times New Roman"/>
          <w:color w:val="auto"/>
          <w:szCs w:val="32"/>
          <w:highlight w:val="none"/>
          <w:lang w:val="zh-CN"/>
        </w:rPr>
        <w:t>作为项目绩效评价样本。</w:t>
      </w:r>
    </w:p>
    <w:p>
      <w:pPr>
        <w:numPr>
          <w:ilvl w:val="0"/>
          <w:numId w:val="2"/>
        </w:numPr>
        <w:spacing w:line="600" w:lineRule="exact"/>
        <w:ind w:firstLine="640" w:firstLineChars="200"/>
        <w:outlineLvl w:val="2"/>
        <w:rPr>
          <w:rFonts w:hint="eastAsia" w:ascii="Times New Roman" w:hAnsi="Times New Roman" w:eastAsia="仿宋" w:cs="Times New Roman"/>
          <w:color w:val="auto"/>
          <w:szCs w:val="32"/>
          <w:highlight w:val="none"/>
        </w:rPr>
      </w:pPr>
      <w:r>
        <w:rPr>
          <w:rFonts w:hint="eastAsia" w:ascii="Times New Roman" w:hAnsi="Times New Roman" w:eastAsia="仿宋" w:cs="Times New Roman"/>
          <w:color w:val="auto"/>
          <w:szCs w:val="32"/>
          <w:highlight w:val="none"/>
        </w:rPr>
        <w:t>新建林区车辆和行人监控设备（智能卡口）项目</w:t>
      </w:r>
    </w:p>
    <w:p>
      <w:pPr>
        <w:spacing w:line="600" w:lineRule="exact"/>
        <w:ind w:firstLine="640" w:firstLineChars="200"/>
        <w:rPr>
          <w:rFonts w:hint="eastAsia" w:ascii="Times New Roman" w:hAnsi="Times New Roman" w:eastAsia="仿宋" w:cs="Times New Roman"/>
          <w:color w:val="auto"/>
          <w:szCs w:val="32"/>
          <w:highlight w:val="none"/>
        </w:rPr>
      </w:pPr>
      <w:r>
        <w:rPr>
          <w:rFonts w:hint="eastAsia" w:ascii="Times New Roman" w:hAnsi="Times New Roman" w:eastAsia="仿宋" w:cs="Times New Roman"/>
          <w:color w:val="auto"/>
          <w:szCs w:val="32"/>
          <w:highlight w:val="none"/>
          <w:lang w:eastAsia="zh-CN"/>
        </w:rPr>
        <w:t>（</w:t>
      </w:r>
      <w:r>
        <w:rPr>
          <w:rFonts w:hint="eastAsia" w:ascii="Times New Roman" w:hAnsi="Times New Roman" w:eastAsia="仿宋" w:cs="Times New Roman"/>
          <w:color w:val="auto"/>
          <w:szCs w:val="32"/>
          <w:highlight w:val="none"/>
          <w:lang w:val="en-US" w:eastAsia="zh-CN"/>
        </w:rPr>
        <w:t>1）</w:t>
      </w:r>
      <w:r>
        <w:rPr>
          <w:rFonts w:hint="eastAsia" w:ascii="Times New Roman" w:hAnsi="Times New Roman" w:eastAsia="仿宋" w:cs="Times New Roman"/>
          <w:color w:val="auto"/>
          <w:szCs w:val="32"/>
          <w:highlight w:val="none"/>
        </w:rPr>
        <w:t>项目决策</w:t>
      </w:r>
    </w:p>
    <w:p>
      <w:pPr>
        <w:spacing w:line="600" w:lineRule="exact"/>
        <w:ind w:firstLine="640" w:firstLineChars="200"/>
        <w:rPr>
          <w:rFonts w:hint="eastAsia" w:eastAsia="仿宋" w:cs="Times New Roman"/>
          <w:color w:val="auto"/>
          <w:szCs w:val="32"/>
          <w:highlight w:val="none"/>
          <w:lang w:eastAsia="zh-CN"/>
        </w:rPr>
      </w:pPr>
      <w:r>
        <w:rPr>
          <w:rFonts w:hint="eastAsia" w:ascii="Times New Roman" w:hAnsi="Times New Roman" w:eastAsia="仿宋" w:cs="Times New Roman"/>
          <w:color w:val="auto"/>
          <w:szCs w:val="32"/>
          <w:highlight w:val="none"/>
        </w:rPr>
        <w:t>攀枝花市财政局2022年8月以攀财资环资</w:t>
      </w:r>
      <w:r>
        <w:rPr>
          <w:rFonts w:hint="default" w:ascii="Times New Roman" w:hAnsi="Times New Roman" w:eastAsia="仿宋" w:cs="Times New Roman"/>
          <w:color w:val="auto"/>
          <w:szCs w:val="32"/>
          <w:highlight w:val="none"/>
        </w:rPr>
        <w:t>〔2022〕3</w:t>
      </w:r>
      <w:r>
        <w:rPr>
          <w:rFonts w:hint="eastAsia" w:ascii="Times New Roman" w:hAnsi="Times New Roman" w:eastAsia="仿宋" w:cs="Times New Roman"/>
          <w:color w:val="auto"/>
          <w:szCs w:val="32"/>
          <w:highlight w:val="none"/>
        </w:rPr>
        <w:t>号文件下达仁和区2022年省级林业草原改革和发展专项资金（第二批）115</w:t>
      </w:r>
      <w:r>
        <w:rPr>
          <w:rFonts w:hint="eastAsia" w:ascii="Times New Roman" w:hAnsi="Times New Roman" w:eastAsia="仿宋" w:cs="Times New Roman"/>
          <w:color w:val="auto"/>
          <w:szCs w:val="32"/>
          <w:highlight w:val="none"/>
          <w:lang w:val="en-US" w:eastAsia="zh-CN"/>
        </w:rPr>
        <w:t>.00</w:t>
      </w:r>
      <w:r>
        <w:rPr>
          <w:rFonts w:hint="eastAsia" w:ascii="Times New Roman" w:hAnsi="Times New Roman" w:eastAsia="仿宋" w:cs="Times New Roman"/>
          <w:color w:val="auto"/>
          <w:szCs w:val="32"/>
          <w:highlight w:val="none"/>
        </w:rPr>
        <w:t>万元</w:t>
      </w:r>
      <w:r>
        <w:rPr>
          <w:rFonts w:hint="eastAsia" w:eastAsia="仿宋" w:cs="Times New Roman"/>
          <w:color w:val="auto"/>
          <w:szCs w:val="32"/>
          <w:highlight w:val="none"/>
          <w:lang w:eastAsia="zh-CN"/>
        </w:rPr>
        <w:t>。</w:t>
      </w:r>
    </w:p>
    <w:p>
      <w:pPr>
        <w:spacing w:line="600" w:lineRule="exact"/>
        <w:ind w:firstLine="640" w:firstLineChars="200"/>
        <w:rPr>
          <w:rFonts w:hint="eastAsia" w:ascii="Times New Roman" w:hAnsi="Times New Roman" w:eastAsia="仿宋" w:cs="Times New Roman"/>
          <w:color w:val="auto"/>
          <w:szCs w:val="32"/>
          <w:highlight w:val="none"/>
        </w:rPr>
      </w:pPr>
      <w:r>
        <w:rPr>
          <w:rFonts w:hint="eastAsia" w:eastAsia="仿宋"/>
          <w:color w:val="auto"/>
          <w:szCs w:val="32"/>
          <w:highlight w:val="none"/>
          <w:lang w:eastAsia="zh-CN"/>
        </w:rPr>
        <w:t>仁和</w:t>
      </w:r>
      <w:r>
        <w:rPr>
          <w:rFonts w:hint="eastAsia" w:eastAsia="仿宋"/>
          <w:color w:val="auto"/>
          <w:szCs w:val="32"/>
          <w:highlight w:val="none"/>
        </w:rPr>
        <w:t>区林业局</w:t>
      </w:r>
      <w:r>
        <w:rPr>
          <w:rFonts w:hint="eastAsia" w:ascii="Times New Roman" w:hAnsi="Times New Roman" w:eastAsia="仿宋" w:cs="Times New Roman"/>
          <w:color w:val="auto"/>
          <w:szCs w:val="32"/>
          <w:highlight w:val="none"/>
        </w:rPr>
        <w:t>根据</w:t>
      </w:r>
      <w:r>
        <w:rPr>
          <w:rFonts w:hint="eastAsia" w:eastAsia="仿宋" w:cs="Times New Roman"/>
          <w:color w:val="auto"/>
          <w:szCs w:val="32"/>
          <w:highlight w:val="none"/>
          <w:lang w:eastAsia="zh-CN"/>
        </w:rPr>
        <w:t>攀枝花</w:t>
      </w:r>
      <w:r>
        <w:rPr>
          <w:rFonts w:hint="eastAsia" w:ascii="Times New Roman" w:hAnsi="Times New Roman" w:eastAsia="仿宋" w:cs="Times New Roman"/>
          <w:color w:val="auto"/>
          <w:szCs w:val="32"/>
          <w:highlight w:val="none"/>
        </w:rPr>
        <w:t>市财政局下达</w:t>
      </w:r>
      <w:r>
        <w:rPr>
          <w:rFonts w:hint="eastAsia" w:eastAsia="仿宋" w:cs="Times New Roman"/>
          <w:color w:val="auto"/>
          <w:szCs w:val="32"/>
          <w:highlight w:val="none"/>
          <w:lang w:eastAsia="zh-CN"/>
        </w:rPr>
        <w:t>的</w:t>
      </w:r>
      <w:r>
        <w:rPr>
          <w:rFonts w:hint="eastAsia" w:ascii="Times New Roman" w:hAnsi="Times New Roman" w:eastAsia="仿宋" w:cs="Times New Roman"/>
          <w:color w:val="auto"/>
          <w:szCs w:val="32"/>
          <w:highlight w:val="none"/>
        </w:rPr>
        <w:t>资金</w:t>
      </w:r>
      <w:r>
        <w:rPr>
          <w:rFonts w:hint="eastAsia" w:eastAsia="仿宋" w:cs="Times New Roman"/>
          <w:color w:val="auto"/>
          <w:szCs w:val="32"/>
          <w:highlight w:val="none"/>
          <w:lang w:eastAsia="zh-CN"/>
        </w:rPr>
        <w:t>，</w:t>
      </w:r>
      <w:r>
        <w:rPr>
          <w:rFonts w:hint="eastAsia" w:ascii="Times New Roman" w:hAnsi="Times New Roman" w:eastAsia="仿宋" w:cs="Times New Roman"/>
          <w:color w:val="auto"/>
          <w:szCs w:val="32"/>
          <w:highlight w:val="none"/>
        </w:rPr>
        <w:t>专用于仁和区新建林区车辆和行人监控设备（智能卡口）。</w:t>
      </w:r>
      <w:r>
        <w:rPr>
          <w:rFonts w:hint="eastAsia" w:eastAsia="仿宋"/>
          <w:color w:val="auto"/>
          <w:szCs w:val="32"/>
          <w:highlight w:val="none"/>
          <w:lang w:eastAsia="zh-CN"/>
        </w:rPr>
        <w:t>仁和</w:t>
      </w:r>
      <w:r>
        <w:rPr>
          <w:rFonts w:hint="eastAsia" w:eastAsia="仿宋" w:cs="Times New Roman"/>
          <w:color w:val="auto"/>
          <w:szCs w:val="32"/>
          <w:highlight w:val="none"/>
          <w:lang w:eastAsia="zh-CN"/>
        </w:rPr>
        <w:t>区</w:t>
      </w:r>
      <w:r>
        <w:rPr>
          <w:rFonts w:hint="eastAsia" w:ascii="Times New Roman" w:hAnsi="Times New Roman" w:eastAsia="仿宋" w:cs="Times New Roman"/>
          <w:color w:val="auto"/>
          <w:szCs w:val="32"/>
          <w:highlight w:val="none"/>
        </w:rPr>
        <w:t>林业局根据资金使用要求，结合仁和区各乡镇林区火源管控需求，确定在仁和区11个乡镇</w:t>
      </w:r>
      <w:r>
        <w:rPr>
          <w:rFonts w:hint="eastAsia" w:eastAsia="仿宋" w:cs="Times New Roman"/>
          <w:color w:val="auto"/>
          <w:szCs w:val="32"/>
          <w:highlight w:val="none"/>
          <w:lang w:eastAsia="zh-CN"/>
        </w:rPr>
        <w:t>和</w:t>
      </w:r>
      <w:r>
        <w:rPr>
          <w:rFonts w:hint="eastAsia" w:ascii="Times New Roman" w:hAnsi="Times New Roman" w:eastAsia="仿宋" w:cs="Times New Roman"/>
          <w:color w:val="auto"/>
          <w:szCs w:val="32"/>
          <w:highlight w:val="none"/>
        </w:rPr>
        <w:t>主要林区入口建设27座林区</w:t>
      </w:r>
      <w:r>
        <w:rPr>
          <w:rFonts w:hint="eastAsia" w:eastAsia="仿宋" w:cs="Times New Roman"/>
          <w:color w:val="auto"/>
          <w:szCs w:val="32"/>
          <w:highlight w:val="none"/>
          <w:lang w:eastAsia="zh-CN"/>
        </w:rPr>
        <w:t>安装</w:t>
      </w:r>
      <w:r>
        <w:rPr>
          <w:rFonts w:hint="eastAsia" w:ascii="Times New Roman" w:hAnsi="Times New Roman" w:eastAsia="仿宋" w:cs="Times New Roman"/>
          <w:color w:val="auto"/>
          <w:szCs w:val="32"/>
          <w:highlight w:val="none"/>
        </w:rPr>
        <w:t>车辆和行人监控设备（智能卡口）</w:t>
      </w:r>
      <w:r>
        <w:rPr>
          <w:rFonts w:hint="eastAsia" w:eastAsia="仿宋" w:cs="Times New Roman"/>
          <w:color w:val="auto"/>
          <w:szCs w:val="32"/>
          <w:highlight w:val="none"/>
          <w:lang w:eastAsia="zh-CN"/>
        </w:rPr>
        <w:t>。</w:t>
      </w:r>
      <w:r>
        <w:rPr>
          <w:rFonts w:hint="eastAsia" w:ascii="Times New Roman" w:hAnsi="Times New Roman" w:eastAsia="仿宋" w:cs="Times New Roman"/>
          <w:color w:val="auto"/>
          <w:szCs w:val="32"/>
          <w:highlight w:val="none"/>
        </w:rPr>
        <w:t>据此编制了《仁和区林业局2022年省级林业改革发展专项资金（第二批）项目实施方案》，并报经区政府分管领导审核批准</w:t>
      </w:r>
      <w:r>
        <w:rPr>
          <w:rFonts w:hint="eastAsia" w:eastAsia="仿宋" w:cs="Times New Roman"/>
          <w:color w:val="auto"/>
          <w:szCs w:val="32"/>
          <w:highlight w:val="none"/>
          <w:lang w:eastAsia="zh-CN"/>
        </w:rPr>
        <w:t>后实施</w:t>
      </w:r>
      <w:r>
        <w:rPr>
          <w:rFonts w:hint="eastAsia" w:ascii="Times New Roman" w:hAnsi="Times New Roman" w:eastAsia="仿宋" w:cs="Times New Roman"/>
          <w:color w:val="auto"/>
          <w:szCs w:val="32"/>
          <w:highlight w:val="none"/>
        </w:rPr>
        <w:t>。</w:t>
      </w:r>
    </w:p>
    <w:p>
      <w:pPr>
        <w:spacing w:line="600" w:lineRule="exact"/>
        <w:ind w:firstLine="640" w:firstLineChars="200"/>
        <w:rPr>
          <w:rFonts w:hint="eastAsia" w:ascii="Times New Roman" w:hAnsi="Times New Roman" w:eastAsia="仿宋" w:cs="Times New Roman"/>
          <w:color w:val="auto"/>
          <w:szCs w:val="32"/>
          <w:highlight w:val="none"/>
        </w:rPr>
      </w:pPr>
      <w:r>
        <w:rPr>
          <w:rFonts w:hint="eastAsia" w:ascii="Times New Roman" w:hAnsi="Times New Roman" w:eastAsia="仿宋" w:cs="Times New Roman"/>
          <w:color w:val="auto"/>
          <w:szCs w:val="32"/>
          <w:highlight w:val="none"/>
          <w:lang w:eastAsia="zh-CN"/>
        </w:rPr>
        <w:t>（</w:t>
      </w:r>
      <w:r>
        <w:rPr>
          <w:rFonts w:hint="eastAsia" w:ascii="Times New Roman" w:hAnsi="Times New Roman" w:eastAsia="仿宋" w:cs="Times New Roman"/>
          <w:color w:val="auto"/>
          <w:szCs w:val="32"/>
          <w:highlight w:val="none"/>
          <w:lang w:val="en-US" w:eastAsia="zh-CN"/>
        </w:rPr>
        <w:t>2）</w:t>
      </w:r>
      <w:r>
        <w:rPr>
          <w:rFonts w:hint="eastAsia" w:ascii="Times New Roman" w:hAnsi="Times New Roman" w:eastAsia="仿宋" w:cs="Times New Roman"/>
          <w:color w:val="auto"/>
          <w:szCs w:val="32"/>
          <w:highlight w:val="none"/>
        </w:rPr>
        <w:t>项目实施</w:t>
      </w:r>
    </w:p>
    <w:p>
      <w:pPr>
        <w:spacing w:line="600" w:lineRule="exact"/>
        <w:ind w:firstLine="640" w:firstLineChars="200"/>
        <w:rPr>
          <w:rFonts w:hint="eastAsia" w:ascii="Times New Roman" w:hAnsi="Times New Roman" w:eastAsia="仿宋" w:cs="Times New Roman"/>
          <w:color w:val="auto"/>
          <w:szCs w:val="32"/>
          <w:highlight w:val="none"/>
        </w:rPr>
      </w:pPr>
      <w:r>
        <w:rPr>
          <w:rFonts w:hint="eastAsia" w:ascii="Times New Roman" w:hAnsi="Times New Roman" w:eastAsia="仿宋" w:cs="Times New Roman"/>
          <w:color w:val="auto"/>
          <w:szCs w:val="32"/>
          <w:highlight w:val="none"/>
        </w:rPr>
        <w:t>结合仁和区各乡镇街道现有防火智能卡口实际</w:t>
      </w:r>
      <w:r>
        <w:rPr>
          <w:rFonts w:hint="eastAsia" w:ascii="Times New Roman" w:hAnsi="Times New Roman" w:eastAsia="仿宋" w:cs="Times New Roman"/>
          <w:color w:val="auto"/>
          <w:szCs w:val="32"/>
          <w:highlight w:val="none"/>
          <w:lang w:eastAsia="zh-CN"/>
        </w:rPr>
        <w:t>情况</w:t>
      </w:r>
      <w:r>
        <w:rPr>
          <w:rFonts w:hint="eastAsia" w:ascii="Times New Roman" w:hAnsi="Times New Roman" w:eastAsia="仿宋" w:cs="Times New Roman"/>
          <w:color w:val="auto"/>
          <w:szCs w:val="32"/>
          <w:highlight w:val="none"/>
        </w:rPr>
        <w:t>，新建27 套防火智能卡口，</w:t>
      </w:r>
      <w:r>
        <w:rPr>
          <w:rFonts w:hint="eastAsia" w:eastAsia="仿宋" w:cs="Times New Roman"/>
          <w:color w:val="auto"/>
          <w:szCs w:val="32"/>
          <w:highlight w:val="none"/>
          <w:lang w:eastAsia="zh-CN"/>
        </w:rPr>
        <w:t>分别为</w:t>
      </w:r>
      <w:r>
        <w:rPr>
          <w:rFonts w:hint="eastAsia" w:ascii="Times New Roman" w:hAnsi="Times New Roman" w:eastAsia="仿宋" w:cs="Times New Roman"/>
          <w:color w:val="auto"/>
          <w:szCs w:val="32"/>
          <w:highlight w:val="none"/>
        </w:rPr>
        <w:t>：在江北片区的布德镇建设 3 套智能卡口，同德镇、福田镇各建设 2 套防火智能卡口，务本乡建设 1 套防火智能卡口；江南片区平地镇建 4 套智能卡口，大龙潭乡、太平乡、仁和镇各建 3 套智能卡口，大田镇、啊喇乡、前进镇建 2 套智能卡口。</w:t>
      </w:r>
    </w:p>
    <w:p>
      <w:pPr>
        <w:spacing w:line="600" w:lineRule="exact"/>
        <w:ind w:firstLine="640" w:firstLineChars="200"/>
        <w:rPr>
          <w:rFonts w:hint="eastAsia" w:eastAsia="仿宋" w:cs="Times New Roman"/>
          <w:color w:val="auto"/>
          <w:szCs w:val="32"/>
          <w:highlight w:val="none"/>
          <w:lang w:eastAsia="zh-CN"/>
        </w:rPr>
      </w:pPr>
      <w:r>
        <w:rPr>
          <w:rFonts w:hint="eastAsia" w:ascii="Times New Roman" w:hAnsi="Times New Roman" w:eastAsia="仿宋" w:cs="Times New Roman"/>
          <w:color w:val="auto"/>
          <w:szCs w:val="32"/>
          <w:highlight w:val="none"/>
        </w:rPr>
        <w:t>新建林区车辆和行人监控设备（智能卡口）选点位置均位于林区道路两旁，进入林区车辆和人员较多，可以实时监控和存储车辆和行人入山数据，宣传防火知识，实现智能化监控。根据项目实施方案，</w:t>
      </w:r>
      <w:r>
        <w:rPr>
          <w:rFonts w:hint="eastAsia" w:eastAsia="仿宋"/>
          <w:color w:val="auto"/>
          <w:szCs w:val="32"/>
          <w:highlight w:val="none"/>
          <w:lang w:eastAsia="zh-CN"/>
        </w:rPr>
        <w:t>仁和</w:t>
      </w:r>
      <w:r>
        <w:rPr>
          <w:rFonts w:hint="eastAsia" w:ascii="Times New Roman" w:hAnsi="Times New Roman" w:eastAsia="仿宋" w:cs="Times New Roman"/>
          <w:color w:val="auto"/>
          <w:szCs w:val="32"/>
          <w:highlight w:val="none"/>
        </w:rPr>
        <w:t>区林业局积极组织项目实施，于2022年11月经公开、公平、公正招标比选流程，最终以93.42万元确定中标供应商为四川易莱优博供应链管理有限公司。项目于2023年3月完工，6月完成验收，</w:t>
      </w:r>
      <w:r>
        <w:rPr>
          <w:rFonts w:hint="eastAsia" w:eastAsia="仿宋"/>
          <w:color w:val="auto"/>
          <w:szCs w:val="32"/>
          <w:highlight w:val="none"/>
          <w:lang w:eastAsia="zh-CN"/>
        </w:rPr>
        <w:t>仁和</w:t>
      </w:r>
      <w:r>
        <w:rPr>
          <w:rFonts w:hint="eastAsia" w:ascii="Times New Roman" w:hAnsi="Times New Roman" w:eastAsia="仿宋" w:cs="Times New Roman"/>
          <w:color w:val="auto"/>
          <w:szCs w:val="32"/>
          <w:highlight w:val="none"/>
        </w:rPr>
        <w:t>区林业局经过党组会研究同意按采购合同支付项目建设款，</w:t>
      </w:r>
      <w:r>
        <w:rPr>
          <w:rFonts w:hint="eastAsia" w:eastAsia="仿宋" w:cs="Times New Roman"/>
          <w:color w:val="auto"/>
          <w:szCs w:val="32"/>
          <w:highlight w:val="none"/>
          <w:lang w:eastAsia="zh-CN"/>
        </w:rPr>
        <w:t>项目资金</w:t>
      </w:r>
      <w:r>
        <w:rPr>
          <w:rFonts w:hint="eastAsia" w:ascii="Times New Roman" w:hAnsi="Times New Roman" w:eastAsia="仿宋" w:cs="Times New Roman"/>
          <w:color w:val="auto"/>
          <w:szCs w:val="32"/>
          <w:highlight w:val="none"/>
        </w:rPr>
        <w:t>支付</w:t>
      </w:r>
      <w:r>
        <w:rPr>
          <w:rFonts w:hint="eastAsia" w:eastAsia="仿宋" w:cs="Times New Roman"/>
          <w:color w:val="auto"/>
          <w:szCs w:val="32"/>
          <w:highlight w:val="none"/>
          <w:lang w:eastAsia="zh-CN"/>
        </w:rPr>
        <w:t>的</w:t>
      </w:r>
      <w:r>
        <w:rPr>
          <w:rFonts w:hint="eastAsia" w:ascii="Times New Roman" w:hAnsi="Times New Roman" w:eastAsia="仿宋" w:cs="Times New Roman"/>
          <w:color w:val="auto"/>
          <w:szCs w:val="32"/>
          <w:highlight w:val="none"/>
        </w:rPr>
        <w:t>依据、范围、标准</w:t>
      </w:r>
      <w:r>
        <w:rPr>
          <w:rFonts w:hint="eastAsia" w:eastAsia="仿宋" w:cs="Times New Roman"/>
          <w:color w:val="auto"/>
          <w:szCs w:val="32"/>
          <w:highlight w:val="none"/>
          <w:lang w:eastAsia="zh-CN"/>
        </w:rPr>
        <w:t>、费用单据较为完善。</w:t>
      </w:r>
    </w:p>
    <w:p>
      <w:pPr>
        <w:spacing w:line="600" w:lineRule="exact"/>
        <w:ind w:firstLine="640" w:firstLineChars="200"/>
        <w:rPr>
          <w:rFonts w:hint="eastAsia" w:ascii="Times New Roman" w:hAnsi="Times New Roman" w:eastAsia="仿宋" w:cs="Times New Roman"/>
          <w:color w:val="auto"/>
          <w:szCs w:val="32"/>
          <w:highlight w:val="none"/>
          <w:lang w:eastAsia="zh-CN"/>
        </w:rPr>
      </w:pPr>
      <w:r>
        <w:rPr>
          <w:rFonts w:hint="eastAsia" w:eastAsia="仿宋" w:cs="Times New Roman"/>
          <w:color w:val="auto"/>
          <w:szCs w:val="32"/>
          <w:highlight w:val="none"/>
          <w:lang w:eastAsia="zh-CN"/>
        </w:rPr>
        <w:t>本项目应付金额</w:t>
      </w:r>
      <w:r>
        <w:rPr>
          <w:rFonts w:hint="eastAsia" w:eastAsia="仿宋" w:cs="Times New Roman"/>
          <w:color w:val="auto"/>
          <w:szCs w:val="32"/>
          <w:highlight w:val="none"/>
          <w:lang w:val="en-US" w:eastAsia="zh-CN"/>
        </w:rPr>
        <w:t>115..00万元</w:t>
      </w:r>
      <w:r>
        <w:rPr>
          <w:rFonts w:hint="eastAsia" w:ascii="Times New Roman" w:hAnsi="Times New Roman" w:eastAsia="仿宋" w:cs="Times New Roman"/>
          <w:color w:val="auto"/>
          <w:szCs w:val="32"/>
          <w:highlight w:val="none"/>
        </w:rPr>
        <w:t>与攀财资环资</w:t>
      </w:r>
      <w:r>
        <w:rPr>
          <w:rFonts w:hint="default" w:ascii="Times New Roman" w:hAnsi="Times New Roman" w:eastAsia="仿宋" w:cs="Times New Roman"/>
          <w:color w:val="auto"/>
          <w:szCs w:val="32"/>
          <w:highlight w:val="none"/>
        </w:rPr>
        <w:t>〔2022〕3</w:t>
      </w:r>
      <w:r>
        <w:rPr>
          <w:rFonts w:hint="eastAsia" w:ascii="Times New Roman" w:hAnsi="Times New Roman" w:eastAsia="仿宋" w:cs="Times New Roman"/>
          <w:color w:val="auto"/>
          <w:szCs w:val="32"/>
          <w:highlight w:val="none"/>
        </w:rPr>
        <w:t>号文件</w:t>
      </w:r>
      <w:r>
        <w:rPr>
          <w:rFonts w:hint="eastAsia" w:eastAsia="仿宋" w:cs="Times New Roman"/>
          <w:color w:val="auto"/>
          <w:szCs w:val="32"/>
          <w:highlight w:val="none"/>
          <w:lang w:eastAsia="zh-CN"/>
        </w:rPr>
        <w:t>下达的</w:t>
      </w:r>
      <w:r>
        <w:rPr>
          <w:rFonts w:hint="eastAsia" w:eastAsia="仿宋" w:cs="Times New Roman"/>
          <w:color w:val="auto"/>
          <w:szCs w:val="32"/>
          <w:highlight w:val="none"/>
          <w:lang w:val="en-US" w:eastAsia="zh-CN"/>
        </w:rPr>
        <w:t>资金115.00万元一致。</w:t>
      </w:r>
    </w:p>
    <w:p>
      <w:pPr>
        <w:spacing w:line="600" w:lineRule="exact"/>
        <w:ind w:firstLine="640" w:firstLineChars="200"/>
        <w:rPr>
          <w:rFonts w:hint="eastAsia" w:ascii="Times New Roman" w:hAnsi="Times New Roman" w:eastAsia="仿宋" w:cs="Times New Roman"/>
          <w:color w:val="auto"/>
          <w:szCs w:val="32"/>
          <w:highlight w:val="none"/>
        </w:rPr>
      </w:pPr>
      <w:r>
        <w:rPr>
          <w:rFonts w:hint="eastAsia" w:eastAsia="仿宋" w:cs="Times New Roman"/>
          <w:color w:val="auto"/>
          <w:szCs w:val="32"/>
          <w:highlight w:val="none"/>
          <w:lang w:eastAsia="zh-CN"/>
        </w:rPr>
        <w:t>但</w:t>
      </w:r>
      <w:r>
        <w:rPr>
          <w:rFonts w:hint="eastAsia" w:ascii="Times New Roman" w:hAnsi="Times New Roman" w:eastAsia="仿宋" w:cs="Times New Roman"/>
          <w:color w:val="auto"/>
          <w:szCs w:val="32"/>
          <w:highlight w:val="none"/>
        </w:rPr>
        <w:t>截至评价</w:t>
      </w:r>
      <w:r>
        <w:rPr>
          <w:rFonts w:hint="eastAsia" w:ascii="Times New Roman" w:hAnsi="Times New Roman" w:eastAsia="仿宋" w:cs="Times New Roman"/>
          <w:color w:val="auto"/>
          <w:szCs w:val="32"/>
          <w:highlight w:val="none"/>
          <w:lang w:eastAsia="zh-CN"/>
        </w:rPr>
        <w:t>日，</w:t>
      </w:r>
      <w:r>
        <w:rPr>
          <w:rFonts w:hint="eastAsia" w:eastAsia="仿宋"/>
          <w:color w:val="auto"/>
          <w:szCs w:val="32"/>
          <w:highlight w:val="none"/>
          <w:lang w:eastAsia="zh-CN"/>
        </w:rPr>
        <w:t>仁和</w:t>
      </w:r>
      <w:r>
        <w:rPr>
          <w:rFonts w:hint="eastAsia" w:eastAsia="仿宋"/>
          <w:color w:val="auto"/>
          <w:szCs w:val="32"/>
          <w:highlight w:val="none"/>
        </w:rPr>
        <w:t>区林业局</w:t>
      </w:r>
      <w:r>
        <w:rPr>
          <w:rFonts w:hint="eastAsia" w:ascii="Times New Roman" w:hAnsi="Times New Roman" w:eastAsia="仿宋" w:cs="Times New Roman"/>
          <w:color w:val="auto"/>
          <w:szCs w:val="32"/>
          <w:highlight w:val="none"/>
        </w:rPr>
        <w:t>还未支付合同约定项目建设款。</w:t>
      </w:r>
    </w:p>
    <w:p>
      <w:pPr>
        <w:spacing w:line="600" w:lineRule="exact"/>
        <w:ind w:firstLine="640" w:firstLineChars="200"/>
        <w:rPr>
          <w:rFonts w:hint="eastAsia" w:ascii="Times New Roman" w:hAnsi="Times New Roman" w:eastAsia="仿宋" w:cs="Times New Roman"/>
          <w:color w:val="auto"/>
          <w:szCs w:val="32"/>
          <w:highlight w:val="none"/>
        </w:rPr>
      </w:pPr>
      <w:r>
        <w:rPr>
          <w:rFonts w:hint="eastAsia" w:ascii="Times New Roman" w:hAnsi="Times New Roman" w:eastAsia="仿宋" w:cs="Times New Roman"/>
          <w:color w:val="auto"/>
          <w:szCs w:val="32"/>
          <w:highlight w:val="none"/>
        </w:rPr>
        <w:t>（3）完成结果</w:t>
      </w:r>
    </w:p>
    <w:p>
      <w:pPr>
        <w:spacing w:line="600" w:lineRule="exact"/>
        <w:ind w:firstLine="640" w:firstLineChars="200"/>
        <w:rPr>
          <w:rFonts w:hint="eastAsia" w:ascii="Times New Roman" w:hAnsi="Times New Roman" w:eastAsia="仿宋" w:cs="Times New Roman"/>
          <w:color w:val="auto"/>
          <w:szCs w:val="32"/>
          <w:highlight w:val="none"/>
        </w:rPr>
      </w:pPr>
      <w:r>
        <w:rPr>
          <w:rFonts w:hint="eastAsia" w:eastAsia="仿宋"/>
          <w:color w:val="auto"/>
          <w:szCs w:val="32"/>
          <w:highlight w:val="none"/>
          <w:lang w:eastAsia="zh-CN"/>
        </w:rPr>
        <w:t>仁和</w:t>
      </w:r>
      <w:r>
        <w:rPr>
          <w:rFonts w:hint="eastAsia" w:eastAsia="仿宋"/>
          <w:color w:val="auto"/>
          <w:szCs w:val="32"/>
          <w:highlight w:val="none"/>
        </w:rPr>
        <w:t>区林业局</w:t>
      </w:r>
      <w:r>
        <w:rPr>
          <w:rFonts w:hint="eastAsia" w:eastAsia="仿宋"/>
          <w:color w:val="auto"/>
          <w:szCs w:val="32"/>
          <w:highlight w:val="none"/>
          <w:lang w:eastAsia="zh-CN"/>
        </w:rPr>
        <w:t>本</w:t>
      </w:r>
      <w:r>
        <w:rPr>
          <w:rFonts w:hint="eastAsia" w:ascii="Times New Roman" w:hAnsi="Times New Roman" w:eastAsia="仿宋" w:cs="Times New Roman"/>
          <w:color w:val="auto"/>
          <w:szCs w:val="32"/>
          <w:highlight w:val="none"/>
        </w:rPr>
        <w:t>项目按计划完成了27座林区车辆及行人（智能卡口）建设，建设质量符合国家标准，项目建设按期完成。项目实现了在保质保量的前提下，节约了财政资金，发挥了良好的资金效益。</w:t>
      </w:r>
    </w:p>
    <w:p>
      <w:pPr>
        <w:spacing w:line="600" w:lineRule="exact"/>
        <w:ind w:firstLine="640" w:firstLineChars="200"/>
        <w:rPr>
          <w:rFonts w:hint="eastAsia" w:ascii="Times New Roman" w:hAnsi="Times New Roman" w:eastAsia="仿宋" w:cs="Times New Roman"/>
          <w:color w:val="auto"/>
          <w:szCs w:val="32"/>
          <w:highlight w:val="none"/>
        </w:rPr>
      </w:pPr>
      <w:r>
        <w:rPr>
          <w:rFonts w:hint="eastAsia" w:ascii="Times New Roman" w:hAnsi="Times New Roman" w:eastAsia="仿宋" w:cs="Times New Roman"/>
          <w:color w:val="auto"/>
          <w:szCs w:val="32"/>
          <w:highlight w:val="none"/>
        </w:rPr>
        <w:t>通过加强对进入林区车辆及行人监控，在林区火源管理、入山宣传教育、监控信息传输等方面发挥了良好的社会效益和生态效益。</w:t>
      </w:r>
      <w:r>
        <w:rPr>
          <w:rFonts w:hint="eastAsia" w:eastAsia="仿宋" w:cs="Times New Roman"/>
          <w:color w:val="auto"/>
          <w:szCs w:val="32"/>
          <w:highlight w:val="none"/>
          <w:lang w:eastAsia="zh-CN"/>
        </w:rPr>
        <w:t>为仁和区</w:t>
      </w:r>
      <w:r>
        <w:rPr>
          <w:rFonts w:hint="eastAsia" w:ascii="Times New Roman" w:hAnsi="Times New Roman" w:eastAsia="仿宋" w:cs="Times New Roman"/>
          <w:color w:val="auto"/>
          <w:szCs w:val="32"/>
          <w:highlight w:val="none"/>
        </w:rPr>
        <w:t>以后森林草原防灭火工作中将持续发挥作用。</w:t>
      </w:r>
    </w:p>
    <w:p>
      <w:pPr>
        <w:spacing w:line="600" w:lineRule="exact"/>
        <w:ind w:firstLine="640" w:firstLineChars="200"/>
        <w:rPr>
          <w:rFonts w:hint="eastAsia" w:ascii="Times New Roman" w:hAnsi="Times New Roman" w:eastAsia="仿宋" w:cs="Times New Roman"/>
          <w:color w:val="auto"/>
          <w:szCs w:val="32"/>
          <w:highlight w:val="none"/>
        </w:rPr>
      </w:pPr>
      <w:r>
        <w:rPr>
          <w:rFonts w:hint="eastAsia" w:ascii="Times New Roman" w:hAnsi="Times New Roman" w:eastAsia="仿宋" w:cs="Times New Roman"/>
          <w:color w:val="auto"/>
          <w:szCs w:val="32"/>
          <w:highlight w:val="none"/>
        </w:rPr>
        <w:t>仁和区202</w:t>
      </w:r>
      <w:r>
        <w:rPr>
          <w:rFonts w:hint="eastAsia" w:eastAsia="仿宋" w:cs="Times New Roman"/>
          <w:color w:val="auto"/>
          <w:szCs w:val="32"/>
          <w:highlight w:val="none"/>
          <w:lang w:val="en-US" w:eastAsia="zh-CN"/>
        </w:rPr>
        <w:t>2</w:t>
      </w:r>
      <w:r>
        <w:rPr>
          <w:rFonts w:hint="eastAsia" w:ascii="Times New Roman" w:hAnsi="Times New Roman" w:eastAsia="仿宋" w:cs="Times New Roman"/>
          <w:color w:val="auto"/>
          <w:szCs w:val="32"/>
          <w:highlight w:val="none"/>
        </w:rPr>
        <w:t>年未发生森林草原火灾。</w:t>
      </w:r>
    </w:p>
    <w:p>
      <w:pPr>
        <w:numPr>
          <w:ilvl w:val="0"/>
          <w:numId w:val="3"/>
        </w:numPr>
        <w:spacing w:line="600" w:lineRule="exact"/>
        <w:ind w:firstLine="640" w:firstLineChars="200"/>
        <w:outlineLvl w:val="2"/>
        <w:rPr>
          <w:rFonts w:hint="eastAsia" w:ascii="Times New Roman" w:hAnsi="Times New Roman" w:eastAsia="仿宋" w:cs="Times New Roman"/>
          <w:b w:val="0"/>
          <w:bCs w:val="0"/>
          <w:color w:val="auto"/>
          <w:szCs w:val="32"/>
          <w:highlight w:val="none"/>
        </w:rPr>
      </w:pPr>
      <w:r>
        <w:rPr>
          <w:rFonts w:hint="eastAsia" w:ascii="Times New Roman" w:hAnsi="Times New Roman" w:eastAsia="仿宋" w:cs="Times New Roman"/>
          <w:b w:val="0"/>
          <w:bCs w:val="0"/>
          <w:color w:val="auto"/>
          <w:szCs w:val="32"/>
          <w:highlight w:val="none"/>
        </w:rPr>
        <w:t>非国有公益林森林生态效益补偿项目</w:t>
      </w:r>
    </w:p>
    <w:p>
      <w:pPr>
        <w:spacing w:line="600" w:lineRule="exact"/>
        <w:ind w:firstLine="640" w:firstLineChars="200"/>
        <w:rPr>
          <w:rFonts w:hint="eastAsia" w:ascii="Times New Roman" w:hAnsi="Times New Roman" w:eastAsia="仿宋" w:cs="Times New Roman"/>
          <w:color w:val="auto"/>
          <w:szCs w:val="32"/>
          <w:highlight w:val="none"/>
        </w:rPr>
      </w:pPr>
      <w:r>
        <w:rPr>
          <w:rFonts w:hint="eastAsia" w:ascii="Times New Roman" w:hAnsi="Times New Roman" w:eastAsia="仿宋" w:cs="Times New Roman"/>
          <w:color w:val="auto"/>
          <w:szCs w:val="32"/>
          <w:highlight w:val="none"/>
        </w:rPr>
        <w:t>（1）项目决策</w:t>
      </w:r>
    </w:p>
    <w:p>
      <w:pPr>
        <w:spacing w:line="600" w:lineRule="exact"/>
        <w:ind w:firstLine="640" w:firstLineChars="200"/>
        <w:rPr>
          <w:rFonts w:hint="eastAsia" w:ascii="Times New Roman" w:hAnsi="Times New Roman" w:eastAsia="仿宋" w:cs="Times New Roman"/>
          <w:color w:val="auto"/>
          <w:szCs w:val="32"/>
          <w:highlight w:val="none"/>
          <w:lang w:val="zh-CN"/>
        </w:rPr>
      </w:pPr>
      <w:r>
        <w:rPr>
          <w:rFonts w:hint="eastAsia" w:ascii="Times New Roman" w:hAnsi="Times New Roman" w:eastAsia="仿宋" w:cs="Times New Roman"/>
          <w:color w:val="auto"/>
          <w:szCs w:val="32"/>
          <w:highlight w:val="none"/>
          <w:lang w:val="zh-CN"/>
        </w:rPr>
        <w:t>本项目立项、资金申报的依据是攀枝花市仁和区集体公益林规划。</w:t>
      </w:r>
      <w:r>
        <w:rPr>
          <w:rFonts w:hint="eastAsia" w:eastAsia="仿宋"/>
          <w:color w:val="auto"/>
          <w:szCs w:val="32"/>
          <w:highlight w:val="none"/>
          <w:lang w:eastAsia="zh-CN"/>
        </w:rPr>
        <w:t>仁和</w:t>
      </w:r>
      <w:r>
        <w:rPr>
          <w:rFonts w:hint="eastAsia" w:ascii="Times New Roman" w:hAnsi="Times New Roman" w:eastAsia="仿宋" w:cs="Times New Roman"/>
          <w:color w:val="auto"/>
          <w:szCs w:val="32"/>
          <w:highlight w:val="none"/>
          <w:lang w:val="zh-CN"/>
        </w:rPr>
        <w:t>区林业局负责</w:t>
      </w:r>
      <w:r>
        <w:rPr>
          <w:rFonts w:hint="eastAsia" w:ascii="Times New Roman" w:hAnsi="Times New Roman" w:eastAsia="仿宋" w:cs="Times New Roman"/>
          <w:color w:val="auto"/>
          <w:szCs w:val="32"/>
          <w:highlight w:val="none"/>
        </w:rPr>
        <w:t>非国有公益林</w:t>
      </w:r>
      <w:r>
        <w:rPr>
          <w:rFonts w:hint="eastAsia" w:ascii="Times New Roman" w:hAnsi="Times New Roman" w:eastAsia="仿宋" w:cs="Times New Roman"/>
          <w:color w:val="auto"/>
          <w:szCs w:val="32"/>
          <w:highlight w:val="none"/>
          <w:lang w:val="zh-CN"/>
        </w:rPr>
        <w:t>森林生态效益补偿资金计划下达，管护督查，发放审核审批。</w:t>
      </w:r>
    </w:p>
    <w:p>
      <w:pPr>
        <w:spacing w:line="600" w:lineRule="exact"/>
        <w:ind w:firstLine="640" w:firstLineChars="200"/>
        <w:rPr>
          <w:rFonts w:hint="eastAsia" w:ascii="Times New Roman" w:hAnsi="Times New Roman" w:eastAsia="仿宋" w:cs="Times New Roman"/>
          <w:color w:val="auto"/>
          <w:szCs w:val="32"/>
          <w:highlight w:val="none"/>
          <w:lang w:val="zh-CN"/>
        </w:rPr>
      </w:pPr>
      <w:r>
        <w:rPr>
          <w:rFonts w:hint="eastAsia" w:eastAsia="仿宋" w:cs="Times New Roman"/>
          <w:color w:val="auto"/>
          <w:szCs w:val="32"/>
          <w:highlight w:val="none"/>
          <w:lang w:val="zh-CN"/>
        </w:rPr>
        <w:t>本项目</w:t>
      </w:r>
      <w:r>
        <w:rPr>
          <w:rFonts w:hint="eastAsia" w:ascii="Times New Roman" w:hAnsi="Times New Roman" w:eastAsia="仿宋" w:cs="Times New Roman"/>
          <w:color w:val="auto"/>
          <w:szCs w:val="32"/>
          <w:highlight w:val="none"/>
          <w:lang w:val="zh-CN"/>
        </w:rPr>
        <w:t>资金管理按财政部</w:t>
      </w:r>
      <w:r>
        <w:rPr>
          <w:rFonts w:hint="eastAsia" w:ascii="Times New Roman" w:hAnsi="Times New Roman" w:eastAsia="仿宋" w:cs="Times New Roman"/>
          <w:color w:val="auto"/>
          <w:szCs w:val="32"/>
          <w:highlight w:val="none"/>
          <w:lang w:val="zh-CN" w:eastAsia="zh-CN"/>
        </w:rPr>
        <w:t>、</w:t>
      </w:r>
      <w:r>
        <w:rPr>
          <w:rFonts w:hint="eastAsia" w:ascii="Times New Roman" w:hAnsi="Times New Roman" w:eastAsia="仿宋" w:cs="Times New Roman"/>
          <w:color w:val="auto"/>
          <w:szCs w:val="32"/>
          <w:highlight w:val="none"/>
          <w:lang w:val="zh-CN"/>
        </w:rPr>
        <w:t>国家林业和草原局《关于修订〈林业改革发展资金管理办法〉的通知》（财资环</w:t>
      </w:r>
      <w:r>
        <w:rPr>
          <w:rFonts w:hint="default" w:ascii="Times New Roman" w:hAnsi="Times New Roman" w:eastAsia="仿宋" w:cs="Times New Roman"/>
          <w:color w:val="auto"/>
          <w:szCs w:val="32"/>
          <w:highlight w:val="none"/>
          <w:lang w:val="zh-CN"/>
        </w:rPr>
        <w:t>〔20</w:t>
      </w:r>
      <w:r>
        <w:rPr>
          <w:rFonts w:hint="default" w:ascii="Times New Roman" w:hAnsi="Times New Roman" w:eastAsia="仿宋" w:cs="Times New Roman"/>
          <w:color w:val="auto"/>
          <w:szCs w:val="32"/>
          <w:highlight w:val="none"/>
        </w:rPr>
        <w:t>21</w:t>
      </w:r>
      <w:r>
        <w:rPr>
          <w:rFonts w:hint="default" w:ascii="Times New Roman" w:hAnsi="Times New Roman" w:eastAsia="仿宋" w:cs="Times New Roman"/>
          <w:color w:val="auto"/>
          <w:szCs w:val="32"/>
          <w:highlight w:val="none"/>
          <w:lang w:val="zh-CN"/>
        </w:rPr>
        <w:t>〕</w:t>
      </w:r>
      <w:r>
        <w:rPr>
          <w:rFonts w:hint="default" w:ascii="Times New Roman" w:hAnsi="Times New Roman" w:eastAsia="仿宋" w:cs="Times New Roman"/>
          <w:color w:val="auto"/>
          <w:szCs w:val="32"/>
          <w:highlight w:val="none"/>
        </w:rPr>
        <w:t>39</w:t>
      </w:r>
      <w:r>
        <w:rPr>
          <w:rFonts w:hint="default" w:ascii="Times New Roman" w:hAnsi="Times New Roman" w:eastAsia="仿宋" w:cs="Times New Roman"/>
          <w:color w:val="auto"/>
          <w:szCs w:val="32"/>
          <w:highlight w:val="none"/>
          <w:lang w:val="zh-CN"/>
        </w:rPr>
        <w:t>号）</w:t>
      </w:r>
      <w:r>
        <w:rPr>
          <w:rFonts w:hint="eastAsia" w:ascii="Times New Roman" w:hAnsi="Times New Roman" w:eastAsia="仿宋" w:cs="Times New Roman"/>
          <w:color w:val="auto"/>
          <w:szCs w:val="32"/>
          <w:highlight w:val="none"/>
          <w:lang w:val="zh-CN"/>
        </w:rPr>
        <w:t>文件执行。通过“一卡通”系统兑现给</w:t>
      </w:r>
      <w:r>
        <w:rPr>
          <w:rFonts w:hint="eastAsia" w:ascii="Times New Roman" w:hAnsi="Times New Roman" w:eastAsia="仿宋" w:cs="Times New Roman"/>
          <w:color w:val="auto"/>
          <w:szCs w:val="32"/>
          <w:highlight w:val="none"/>
        </w:rPr>
        <w:t>非国有</w:t>
      </w:r>
      <w:r>
        <w:rPr>
          <w:rFonts w:hint="eastAsia" w:ascii="Times New Roman" w:hAnsi="Times New Roman" w:eastAsia="仿宋" w:cs="Times New Roman"/>
          <w:color w:val="auto"/>
          <w:szCs w:val="32"/>
          <w:highlight w:val="none"/>
          <w:lang w:val="zh-CN"/>
        </w:rPr>
        <w:t>公益林林权权利人。资金分配的原则</w:t>
      </w:r>
      <w:r>
        <w:rPr>
          <w:rFonts w:hint="eastAsia" w:eastAsia="仿宋" w:cs="Times New Roman"/>
          <w:color w:val="auto"/>
          <w:szCs w:val="32"/>
          <w:highlight w:val="none"/>
          <w:lang w:val="zh-CN"/>
        </w:rPr>
        <w:t>为：</w:t>
      </w:r>
      <w:r>
        <w:rPr>
          <w:rFonts w:hint="eastAsia" w:ascii="Times New Roman" w:hAnsi="Times New Roman" w:eastAsia="仿宋" w:cs="Times New Roman"/>
          <w:color w:val="auto"/>
          <w:szCs w:val="32"/>
          <w:highlight w:val="none"/>
          <w:lang w:val="zh-CN"/>
        </w:rPr>
        <w:t>按不低于补偿资金的80%直接发放给林权所有者，管护费用提取原则不超过</w:t>
      </w:r>
      <w:r>
        <w:rPr>
          <w:rFonts w:hint="eastAsia" w:eastAsia="仿宋" w:cs="Times New Roman"/>
          <w:color w:val="auto"/>
          <w:szCs w:val="32"/>
          <w:highlight w:val="none"/>
          <w:lang w:val="zh-CN"/>
        </w:rPr>
        <w:t>项目资金的</w:t>
      </w:r>
      <w:r>
        <w:rPr>
          <w:rFonts w:hint="default" w:ascii="Times New Roman" w:hAnsi="Times New Roman" w:eastAsia="仿宋" w:cs="Times New Roman"/>
          <w:color w:val="auto"/>
          <w:szCs w:val="32"/>
          <w:highlight w:val="none"/>
          <w:lang w:val="zh-CN"/>
        </w:rPr>
        <w:t>20%</w:t>
      </w:r>
      <w:r>
        <w:rPr>
          <w:rFonts w:hint="eastAsia" w:ascii="Times New Roman" w:hAnsi="Times New Roman" w:eastAsia="仿宋" w:cs="Times New Roman"/>
          <w:color w:val="auto"/>
          <w:szCs w:val="32"/>
          <w:highlight w:val="none"/>
          <w:lang w:val="zh-CN"/>
        </w:rPr>
        <w:t>。</w:t>
      </w:r>
    </w:p>
    <w:p>
      <w:pPr>
        <w:spacing w:line="600" w:lineRule="exact"/>
        <w:ind w:firstLine="640" w:firstLineChars="200"/>
        <w:rPr>
          <w:rFonts w:hint="eastAsia" w:ascii="Times New Roman" w:hAnsi="Times New Roman" w:eastAsia="仿宋" w:cs="Times New Roman"/>
          <w:color w:val="auto"/>
          <w:szCs w:val="32"/>
          <w:highlight w:val="none"/>
        </w:rPr>
      </w:pPr>
      <w:r>
        <w:rPr>
          <w:rFonts w:hint="eastAsia" w:ascii="Times New Roman" w:hAnsi="Times New Roman" w:eastAsia="仿宋" w:cs="Times New Roman"/>
          <w:color w:val="auto"/>
          <w:szCs w:val="32"/>
          <w:highlight w:val="none"/>
        </w:rPr>
        <w:t>（2）项目实施</w:t>
      </w:r>
    </w:p>
    <w:p>
      <w:pPr>
        <w:spacing w:line="600" w:lineRule="exact"/>
        <w:ind w:firstLine="640" w:firstLineChars="200"/>
        <w:rPr>
          <w:rFonts w:hint="eastAsia" w:ascii="Times New Roman" w:hAnsi="Times New Roman" w:eastAsia="仿宋" w:cs="Times New Roman"/>
          <w:color w:val="auto"/>
          <w:szCs w:val="32"/>
          <w:highlight w:val="none"/>
          <w:lang w:val="zh-CN"/>
        </w:rPr>
      </w:pPr>
      <w:r>
        <w:rPr>
          <w:rFonts w:hint="eastAsia" w:eastAsia="仿宋"/>
          <w:color w:val="auto"/>
          <w:szCs w:val="32"/>
          <w:highlight w:val="none"/>
          <w:lang w:eastAsia="zh-CN"/>
        </w:rPr>
        <w:t>仁和</w:t>
      </w:r>
      <w:r>
        <w:rPr>
          <w:rFonts w:hint="eastAsia" w:eastAsia="仿宋" w:cs="Times New Roman"/>
          <w:color w:val="auto"/>
          <w:szCs w:val="32"/>
          <w:highlight w:val="none"/>
          <w:lang w:val="zh-CN"/>
        </w:rPr>
        <w:t>区</w:t>
      </w:r>
      <w:r>
        <w:rPr>
          <w:rFonts w:hint="eastAsia" w:ascii="Times New Roman" w:hAnsi="Times New Roman" w:eastAsia="仿宋" w:cs="Times New Roman"/>
          <w:color w:val="auto"/>
          <w:szCs w:val="32"/>
          <w:highlight w:val="none"/>
          <w:lang w:val="zh-CN"/>
        </w:rPr>
        <w:t>林业局</w:t>
      </w:r>
      <w:r>
        <w:rPr>
          <w:rFonts w:hint="eastAsia" w:eastAsia="仿宋" w:cs="Times New Roman"/>
          <w:color w:val="auto"/>
          <w:szCs w:val="32"/>
          <w:highlight w:val="none"/>
          <w:lang w:val="zh-CN"/>
        </w:rPr>
        <w:t>为</w:t>
      </w:r>
      <w:r>
        <w:rPr>
          <w:rFonts w:hint="eastAsia" w:ascii="Times New Roman" w:hAnsi="Times New Roman" w:eastAsia="仿宋" w:cs="Times New Roman"/>
          <w:color w:val="auto"/>
          <w:szCs w:val="32"/>
          <w:highlight w:val="none"/>
          <w:lang w:val="zh-CN"/>
        </w:rPr>
        <w:t>仁和区</w:t>
      </w:r>
      <w:r>
        <w:rPr>
          <w:rFonts w:hint="eastAsia" w:ascii="Times New Roman" w:hAnsi="Times New Roman" w:eastAsia="仿宋" w:cs="Times New Roman"/>
          <w:color w:val="auto"/>
          <w:szCs w:val="32"/>
          <w:highlight w:val="none"/>
        </w:rPr>
        <w:t>非国有</w:t>
      </w:r>
      <w:r>
        <w:rPr>
          <w:rFonts w:hint="eastAsia" w:ascii="Times New Roman" w:hAnsi="Times New Roman" w:eastAsia="仿宋" w:cs="Times New Roman"/>
          <w:color w:val="auto"/>
          <w:szCs w:val="32"/>
          <w:highlight w:val="none"/>
          <w:lang w:val="zh-CN"/>
        </w:rPr>
        <w:t>公益林生态效益补偿</w:t>
      </w:r>
      <w:r>
        <w:rPr>
          <w:rFonts w:hint="eastAsia" w:eastAsia="仿宋" w:cs="Times New Roman"/>
          <w:color w:val="auto"/>
          <w:szCs w:val="32"/>
          <w:highlight w:val="none"/>
          <w:lang w:val="zh-CN"/>
        </w:rPr>
        <w:t>的实施主体</w:t>
      </w:r>
      <w:r>
        <w:rPr>
          <w:rFonts w:hint="eastAsia" w:ascii="Times New Roman" w:hAnsi="Times New Roman" w:eastAsia="仿宋" w:cs="Times New Roman"/>
          <w:color w:val="auto"/>
          <w:szCs w:val="32"/>
          <w:highlight w:val="none"/>
          <w:lang w:val="zh-CN"/>
        </w:rPr>
        <w:t>，</w:t>
      </w:r>
      <w:r>
        <w:rPr>
          <w:rFonts w:hint="eastAsia" w:eastAsia="仿宋" w:cs="Times New Roman"/>
          <w:color w:val="auto"/>
          <w:szCs w:val="32"/>
          <w:highlight w:val="none"/>
          <w:lang w:val="zh-CN"/>
        </w:rPr>
        <w:t>担负</w:t>
      </w:r>
      <w:r>
        <w:rPr>
          <w:rFonts w:hint="eastAsia" w:ascii="Times New Roman" w:hAnsi="Times New Roman" w:eastAsia="仿宋" w:cs="Times New Roman"/>
          <w:color w:val="auto"/>
          <w:szCs w:val="32"/>
          <w:highlight w:val="none"/>
          <w:lang w:val="zh-CN"/>
        </w:rPr>
        <w:t>对</w:t>
      </w:r>
      <w:r>
        <w:rPr>
          <w:rFonts w:hint="eastAsia" w:ascii="Times New Roman" w:hAnsi="Times New Roman" w:eastAsia="仿宋" w:cs="Times New Roman"/>
          <w:color w:val="auto"/>
          <w:szCs w:val="32"/>
          <w:highlight w:val="none"/>
        </w:rPr>
        <w:t>非国有</w:t>
      </w:r>
      <w:r>
        <w:rPr>
          <w:rFonts w:hint="eastAsia" w:ascii="Times New Roman" w:hAnsi="Times New Roman" w:eastAsia="仿宋" w:cs="Times New Roman"/>
          <w:color w:val="auto"/>
          <w:szCs w:val="32"/>
          <w:highlight w:val="none"/>
          <w:lang w:val="zh-CN"/>
        </w:rPr>
        <w:t>公益林实行常年有效地管护。</w:t>
      </w:r>
      <w:r>
        <w:rPr>
          <w:rFonts w:hint="eastAsia" w:ascii="Times New Roman" w:hAnsi="Times New Roman" w:eastAsia="仿宋" w:cs="Times New Roman"/>
          <w:color w:val="auto"/>
          <w:szCs w:val="32"/>
          <w:highlight w:val="none"/>
        </w:rPr>
        <w:t>2022年</w:t>
      </w:r>
      <w:r>
        <w:rPr>
          <w:rFonts w:hint="eastAsia" w:eastAsia="仿宋" w:cs="Times New Roman"/>
          <w:color w:val="auto"/>
          <w:szCs w:val="32"/>
          <w:highlight w:val="none"/>
          <w:lang w:eastAsia="zh-CN"/>
        </w:rPr>
        <w:t>仁和区</w:t>
      </w:r>
      <w:r>
        <w:rPr>
          <w:rFonts w:hint="eastAsia" w:ascii="Times New Roman" w:hAnsi="Times New Roman" w:eastAsia="仿宋" w:cs="Times New Roman"/>
          <w:color w:val="auto"/>
          <w:szCs w:val="32"/>
          <w:highlight w:val="none"/>
        </w:rPr>
        <w:t>非国有</w:t>
      </w:r>
      <w:r>
        <w:rPr>
          <w:rFonts w:hint="eastAsia" w:ascii="Times New Roman" w:hAnsi="Times New Roman" w:eastAsia="仿宋" w:cs="Times New Roman"/>
          <w:color w:val="auto"/>
          <w:szCs w:val="32"/>
          <w:highlight w:val="none"/>
          <w:lang w:val="zh-CN"/>
        </w:rPr>
        <w:t>公益林</w:t>
      </w:r>
      <w:r>
        <w:rPr>
          <w:rFonts w:hint="eastAsia" w:ascii="Times New Roman" w:hAnsi="Times New Roman" w:eastAsia="仿宋" w:cs="Times New Roman"/>
          <w:color w:val="auto"/>
          <w:szCs w:val="32"/>
          <w:highlight w:val="none"/>
        </w:rPr>
        <w:t>245</w:t>
      </w:r>
      <w:r>
        <w:rPr>
          <w:rFonts w:hint="eastAsia" w:ascii="Times New Roman" w:hAnsi="Times New Roman" w:eastAsia="仿宋" w:cs="Times New Roman"/>
          <w:color w:val="auto"/>
          <w:szCs w:val="32"/>
          <w:highlight w:val="none"/>
          <w:lang w:val="en-US" w:eastAsia="zh-CN"/>
        </w:rPr>
        <w:t>,</w:t>
      </w:r>
      <w:r>
        <w:rPr>
          <w:rFonts w:hint="eastAsia" w:ascii="Times New Roman" w:hAnsi="Times New Roman" w:eastAsia="仿宋" w:cs="Times New Roman"/>
          <w:color w:val="auto"/>
          <w:szCs w:val="32"/>
          <w:highlight w:val="none"/>
        </w:rPr>
        <w:t>524</w:t>
      </w:r>
      <w:r>
        <w:rPr>
          <w:rFonts w:hint="eastAsia" w:ascii="Times New Roman" w:hAnsi="Times New Roman" w:eastAsia="仿宋" w:cs="Times New Roman"/>
          <w:color w:val="auto"/>
          <w:szCs w:val="32"/>
          <w:highlight w:val="none"/>
          <w:lang w:val="en-US" w:eastAsia="zh-CN"/>
        </w:rPr>
        <w:t>.00</w:t>
      </w:r>
      <w:r>
        <w:rPr>
          <w:rFonts w:hint="eastAsia" w:ascii="Times New Roman" w:hAnsi="Times New Roman" w:eastAsia="仿宋" w:cs="Times New Roman"/>
          <w:color w:val="auto"/>
          <w:szCs w:val="32"/>
          <w:highlight w:val="none"/>
          <w:lang w:val="zh-CN"/>
        </w:rPr>
        <w:t>亩，</w:t>
      </w:r>
      <w:r>
        <w:rPr>
          <w:rFonts w:hint="eastAsia" w:ascii="Times New Roman" w:hAnsi="Times New Roman" w:eastAsia="仿宋" w:cs="Times New Roman"/>
          <w:color w:val="auto"/>
          <w:szCs w:val="32"/>
          <w:highlight w:val="none"/>
        </w:rPr>
        <w:t>涉及13个乡镇，农户11353户</w:t>
      </w:r>
      <w:r>
        <w:rPr>
          <w:rFonts w:hint="eastAsia" w:ascii="Times New Roman" w:hAnsi="Times New Roman" w:eastAsia="仿宋" w:cs="Times New Roman"/>
          <w:color w:val="auto"/>
          <w:szCs w:val="32"/>
          <w:highlight w:val="none"/>
          <w:lang w:val="zh-CN"/>
        </w:rPr>
        <w:t>。落实集体公益林管护人员</w:t>
      </w:r>
      <w:r>
        <w:rPr>
          <w:rFonts w:hint="eastAsia" w:ascii="Times New Roman" w:hAnsi="Times New Roman" w:eastAsia="仿宋" w:cs="Times New Roman"/>
          <w:color w:val="auto"/>
          <w:szCs w:val="32"/>
          <w:highlight w:val="none"/>
        </w:rPr>
        <w:t>130</w:t>
      </w:r>
      <w:r>
        <w:rPr>
          <w:rFonts w:hint="eastAsia" w:ascii="Times New Roman" w:hAnsi="Times New Roman" w:eastAsia="仿宋" w:cs="Times New Roman"/>
          <w:color w:val="auto"/>
          <w:szCs w:val="32"/>
          <w:highlight w:val="none"/>
          <w:lang w:val="zh-CN"/>
        </w:rPr>
        <w:t>人</w:t>
      </w:r>
      <w:r>
        <w:rPr>
          <w:rFonts w:hint="eastAsia" w:ascii="Times New Roman" w:hAnsi="Times New Roman" w:eastAsia="仿宋" w:cs="Times New Roman"/>
          <w:color w:val="auto"/>
          <w:szCs w:val="32"/>
          <w:highlight w:val="none"/>
        </w:rPr>
        <w:t>（</w:t>
      </w:r>
      <w:r>
        <w:rPr>
          <w:rFonts w:hint="eastAsia" w:ascii="Times New Roman" w:hAnsi="Times New Roman" w:eastAsia="仿宋" w:cs="Times New Roman"/>
          <w:color w:val="auto"/>
          <w:szCs w:val="32"/>
          <w:highlight w:val="none"/>
          <w:lang w:val="zh-CN"/>
        </w:rPr>
        <w:t>公益林管护人员</w:t>
      </w:r>
      <w:r>
        <w:rPr>
          <w:rFonts w:hint="eastAsia" w:ascii="Times New Roman" w:hAnsi="Times New Roman" w:eastAsia="仿宋" w:cs="Times New Roman"/>
          <w:color w:val="auto"/>
          <w:szCs w:val="32"/>
          <w:highlight w:val="none"/>
        </w:rPr>
        <w:t>61</w:t>
      </w:r>
      <w:r>
        <w:rPr>
          <w:rFonts w:hint="eastAsia" w:ascii="Times New Roman" w:hAnsi="Times New Roman" w:eastAsia="仿宋" w:cs="Times New Roman"/>
          <w:color w:val="auto"/>
          <w:szCs w:val="32"/>
          <w:highlight w:val="none"/>
          <w:lang w:val="zh-CN"/>
        </w:rPr>
        <w:t>人，</w:t>
      </w:r>
      <w:r>
        <w:rPr>
          <w:rFonts w:hint="eastAsia" w:ascii="Times New Roman" w:hAnsi="Times New Roman" w:eastAsia="仿宋" w:cs="Times New Roman"/>
          <w:color w:val="auto"/>
          <w:szCs w:val="32"/>
          <w:highlight w:val="none"/>
        </w:rPr>
        <w:t>公益林和商品林兼管69人）</w:t>
      </w:r>
      <w:r>
        <w:rPr>
          <w:rFonts w:hint="eastAsia" w:ascii="Times New Roman" w:hAnsi="Times New Roman" w:eastAsia="仿宋" w:cs="Times New Roman"/>
          <w:color w:val="auto"/>
          <w:szCs w:val="32"/>
          <w:highlight w:val="none"/>
          <w:lang w:val="zh-CN"/>
        </w:rPr>
        <w:t>，</w:t>
      </w:r>
      <w:r>
        <w:rPr>
          <w:rFonts w:hint="eastAsia" w:eastAsia="仿宋" w:cs="Times New Roman"/>
          <w:color w:val="auto"/>
          <w:szCs w:val="32"/>
          <w:highlight w:val="none"/>
          <w:lang w:val="zh-CN"/>
        </w:rPr>
        <w:t>与管护人</w:t>
      </w:r>
      <w:r>
        <w:rPr>
          <w:rFonts w:hint="eastAsia" w:ascii="Times New Roman" w:hAnsi="Times New Roman" w:eastAsia="仿宋" w:cs="Times New Roman"/>
          <w:color w:val="auto"/>
          <w:szCs w:val="32"/>
          <w:highlight w:val="none"/>
          <w:lang w:val="zh-CN"/>
        </w:rPr>
        <w:t>签订了管护合同，明确了管护责任、范围、质量要求等，并进行了检查和考核。</w:t>
      </w:r>
    </w:p>
    <w:p>
      <w:pPr>
        <w:spacing w:line="600" w:lineRule="exact"/>
        <w:ind w:firstLine="640" w:firstLineChars="200"/>
        <w:rPr>
          <w:rFonts w:hint="eastAsia" w:ascii="Times New Roman" w:hAnsi="Times New Roman" w:eastAsia="仿宋" w:cs="Times New Roman"/>
          <w:color w:val="auto"/>
          <w:szCs w:val="32"/>
          <w:highlight w:val="none"/>
          <w:lang w:val="zh-CN"/>
        </w:rPr>
      </w:pPr>
      <w:r>
        <w:rPr>
          <w:rFonts w:hint="eastAsia" w:ascii="Times New Roman" w:hAnsi="Times New Roman" w:eastAsia="仿宋" w:cs="Times New Roman"/>
          <w:color w:val="auto"/>
          <w:szCs w:val="32"/>
          <w:highlight w:val="none"/>
          <w:lang w:val="zh-CN"/>
        </w:rPr>
        <w:t>此项目为民生项目，</w:t>
      </w:r>
      <w:r>
        <w:rPr>
          <w:rFonts w:hint="eastAsia" w:eastAsia="仿宋" w:cs="Times New Roman"/>
          <w:color w:val="auto"/>
          <w:szCs w:val="32"/>
          <w:highlight w:val="none"/>
          <w:lang w:val="zh-CN"/>
        </w:rPr>
        <w:t>不需</w:t>
      </w:r>
      <w:r>
        <w:rPr>
          <w:rFonts w:hint="eastAsia" w:ascii="Times New Roman" w:hAnsi="Times New Roman" w:eastAsia="仿宋" w:cs="Times New Roman"/>
          <w:color w:val="auto"/>
          <w:szCs w:val="32"/>
          <w:highlight w:val="none"/>
          <w:lang w:val="zh-CN"/>
        </w:rPr>
        <w:t>招投标</w:t>
      </w:r>
      <w:r>
        <w:rPr>
          <w:rFonts w:hint="eastAsia" w:eastAsia="仿宋" w:cs="Times New Roman"/>
          <w:color w:val="auto"/>
          <w:szCs w:val="32"/>
          <w:highlight w:val="none"/>
          <w:lang w:val="zh-CN"/>
        </w:rPr>
        <w:t>等</w:t>
      </w:r>
      <w:r>
        <w:rPr>
          <w:rFonts w:hint="eastAsia" w:ascii="Times New Roman" w:hAnsi="Times New Roman" w:eastAsia="仿宋" w:cs="Times New Roman"/>
          <w:color w:val="auto"/>
          <w:szCs w:val="32"/>
          <w:highlight w:val="none"/>
          <w:lang w:val="zh-CN"/>
        </w:rPr>
        <w:t>政府采购等相关规定，但</w:t>
      </w:r>
      <w:r>
        <w:rPr>
          <w:rFonts w:hint="eastAsia" w:eastAsia="仿宋" w:cs="Times New Roman"/>
          <w:color w:val="auto"/>
          <w:szCs w:val="32"/>
          <w:highlight w:val="none"/>
          <w:lang w:val="zh-CN"/>
        </w:rPr>
        <w:t>发放</w:t>
      </w:r>
      <w:r>
        <w:rPr>
          <w:rFonts w:hint="eastAsia" w:ascii="Times New Roman" w:hAnsi="Times New Roman" w:eastAsia="仿宋" w:cs="Times New Roman"/>
          <w:color w:val="auto"/>
          <w:szCs w:val="32"/>
          <w:highlight w:val="none"/>
          <w:lang w:val="zh-CN"/>
        </w:rPr>
        <w:t>需公示7天，</w:t>
      </w:r>
      <w:r>
        <w:rPr>
          <w:rFonts w:hint="eastAsia" w:eastAsia="仿宋"/>
          <w:color w:val="auto"/>
          <w:szCs w:val="32"/>
          <w:highlight w:val="none"/>
          <w:lang w:eastAsia="zh-CN"/>
        </w:rPr>
        <w:t>仁和</w:t>
      </w:r>
      <w:r>
        <w:rPr>
          <w:rFonts w:hint="eastAsia" w:ascii="Times New Roman" w:hAnsi="Times New Roman" w:eastAsia="仿宋" w:cs="Times New Roman"/>
          <w:color w:val="auto"/>
          <w:szCs w:val="32"/>
          <w:highlight w:val="none"/>
          <w:lang w:val="zh-CN"/>
        </w:rPr>
        <w:t>区林业局严格按管护质量要求和资金管理办法执行。</w:t>
      </w:r>
    </w:p>
    <w:p>
      <w:pPr>
        <w:spacing w:line="600" w:lineRule="exact"/>
        <w:ind w:firstLine="640" w:firstLineChars="200"/>
        <w:rPr>
          <w:rFonts w:hint="eastAsia" w:ascii="Times New Roman" w:hAnsi="Times New Roman" w:eastAsia="仿宋" w:cs="Times New Roman"/>
          <w:color w:val="auto"/>
          <w:szCs w:val="32"/>
          <w:highlight w:val="none"/>
        </w:rPr>
      </w:pPr>
      <w:r>
        <w:rPr>
          <w:rFonts w:hint="eastAsia" w:ascii="Times New Roman" w:hAnsi="Times New Roman" w:eastAsia="仿宋" w:cs="Times New Roman"/>
          <w:color w:val="auto"/>
          <w:szCs w:val="32"/>
          <w:highlight w:val="none"/>
        </w:rPr>
        <w:t>根据</w:t>
      </w:r>
      <w:r>
        <w:rPr>
          <w:rFonts w:hint="eastAsia" w:eastAsia="仿宋" w:cs="Times New Roman"/>
          <w:color w:val="auto"/>
          <w:szCs w:val="32"/>
          <w:highlight w:val="none"/>
          <w:lang w:eastAsia="zh-CN"/>
        </w:rPr>
        <w:t>攀枝花市财政局</w:t>
      </w:r>
      <w:r>
        <w:rPr>
          <w:rFonts w:hint="eastAsia" w:ascii="Times New Roman" w:hAnsi="Times New Roman" w:eastAsia="仿宋" w:cs="Times New Roman"/>
          <w:color w:val="auto"/>
          <w:szCs w:val="32"/>
          <w:highlight w:val="none"/>
        </w:rPr>
        <w:t>《关于下达2022年中央财政林业改革发展资金预算的通知》（攀财资环资〔2022〕26号）和《关于下达2022年省级林业草原改革发展专项资金（第二批）预算的通知》（攀财资环资〔2022〕3号）文件</w:t>
      </w:r>
      <w:r>
        <w:rPr>
          <w:rFonts w:hint="eastAsia" w:eastAsia="仿宋" w:cs="Times New Roman"/>
          <w:color w:val="auto"/>
          <w:szCs w:val="32"/>
          <w:highlight w:val="none"/>
          <w:lang w:eastAsia="zh-CN"/>
        </w:rPr>
        <w:t>精神，</w:t>
      </w:r>
      <w:r>
        <w:rPr>
          <w:rFonts w:hint="eastAsia" w:ascii="Times New Roman" w:hAnsi="Times New Roman" w:eastAsia="仿宋" w:cs="Times New Roman"/>
          <w:color w:val="auto"/>
          <w:szCs w:val="32"/>
          <w:highlight w:val="none"/>
        </w:rPr>
        <w:t>下达并到位</w:t>
      </w:r>
      <w:r>
        <w:rPr>
          <w:rFonts w:hint="eastAsia" w:eastAsia="仿宋" w:cs="Times New Roman"/>
          <w:color w:val="auto"/>
          <w:szCs w:val="32"/>
          <w:highlight w:val="none"/>
          <w:lang w:eastAsia="zh-CN"/>
        </w:rPr>
        <w:t>仁和区</w:t>
      </w:r>
      <w:r>
        <w:rPr>
          <w:rFonts w:hint="eastAsia" w:ascii="Times New Roman" w:hAnsi="Times New Roman" w:eastAsia="仿宋" w:cs="Times New Roman"/>
          <w:color w:val="auto"/>
          <w:szCs w:val="32"/>
          <w:highlight w:val="none"/>
        </w:rPr>
        <w:t>非国有公益林森林生态效益补偿资金398.6</w:t>
      </w:r>
      <w:r>
        <w:rPr>
          <w:rFonts w:hint="eastAsia" w:ascii="Times New Roman" w:hAnsi="Times New Roman" w:eastAsia="仿宋" w:cs="Times New Roman"/>
          <w:color w:val="auto"/>
          <w:szCs w:val="32"/>
          <w:highlight w:val="none"/>
          <w:lang w:val="en-US" w:eastAsia="zh-CN"/>
        </w:rPr>
        <w:t>0</w:t>
      </w:r>
      <w:r>
        <w:rPr>
          <w:rFonts w:hint="eastAsia" w:ascii="Times New Roman" w:hAnsi="Times New Roman" w:eastAsia="仿宋" w:cs="Times New Roman"/>
          <w:color w:val="auto"/>
          <w:szCs w:val="32"/>
          <w:highlight w:val="none"/>
        </w:rPr>
        <w:t>万元。非国有</w:t>
      </w:r>
      <w:r>
        <w:rPr>
          <w:rFonts w:hint="eastAsia" w:ascii="Times New Roman" w:hAnsi="Times New Roman" w:eastAsia="仿宋" w:cs="Times New Roman"/>
          <w:color w:val="auto"/>
          <w:szCs w:val="32"/>
          <w:highlight w:val="none"/>
          <w:lang w:val="zh-CN"/>
        </w:rPr>
        <w:t>公益林财政补偿资金的补偿范围为</w:t>
      </w:r>
      <w:r>
        <w:rPr>
          <w:rFonts w:hint="eastAsia" w:ascii="Times New Roman" w:hAnsi="Times New Roman" w:eastAsia="仿宋" w:cs="Times New Roman"/>
          <w:color w:val="auto"/>
          <w:szCs w:val="32"/>
          <w:highlight w:val="none"/>
        </w:rPr>
        <w:t>非国有</w:t>
      </w:r>
      <w:r>
        <w:rPr>
          <w:rFonts w:hint="eastAsia" w:ascii="Times New Roman" w:hAnsi="Times New Roman" w:eastAsia="仿宋" w:cs="Times New Roman"/>
          <w:color w:val="auto"/>
          <w:szCs w:val="32"/>
          <w:highlight w:val="none"/>
          <w:lang w:val="zh-CN"/>
        </w:rPr>
        <w:t>公益林地，公益林补偿标准每亩16</w:t>
      </w:r>
      <w:r>
        <w:rPr>
          <w:rFonts w:hint="eastAsia" w:ascii="Times New Roman" w:hAnsi="Times New Roman" w:eastAsia="仿宋" w:cs="Times New Roman"/>
          <w:color w:val="auto"/>
          <w:szCs w:val="32"/>
          <w:highlight w:val="none"/>
          <w:lang w:val="en-US" w:eastAsia="zh-CN"/>
        </w:rPr>
        <w:t>.00</w:t>
      </w:r>
      <w:r>
        <w:rPr>
          <w:rFonts w:hint="eastAsia" w:ascii="Times New Roman" w:hAnsi="Times New Roman" w:eastAsia="仿宋" w:cs="Times New Roman"/>
          <w:color w:val="auto"/>
          <w:szCs w:val="32"/>
          <w:highlight w:val="none"/>
          <w:lang w:val="zh-CN"/>
        </w:rPr>
        <w:t>元（省财政每亩13</w:t>
      </w:r>
      <w:r>
        <w:rPr>
          <w:rFonts w:hint="eastAsia" w:ascii="Times New Roman" w:hAnsi="Times New Roman" w:eastAsia="仿宋" w:cs="Times New Roman"/>
          <w:color w:val="auto"/>
          <w:szCs w:val="32"/>
          <w:highlight w:val="none"/>
          <w:lang w:val="en-US" w:eastAsia="zh-CN"/>
        </w:rPr>
        <w:t>.00</w:t>
      </w:r>
      <w:r>
        <w:rPr>
          <w:rFonts w:hint="eastAsia" w:ascii="Times New Roman" w:hAnsi="Times New Roman" w:eastAsia="仿宋" w:cs="Times New Roman"/>
          <w:color w:val="auto"/>
          <w:szCs w:val="32"/>
          <w:highlight w:val="none"/>
          <w:lang w:val="zh-CN"/>
        </w:rPr>
        <w:t>元、国家管护补助3</w:t>
      </w:r>
      <w:r>
        <w:rPr>
          <w:rFonts w:hint="eastAsia" w:ascii="Times New Roman" w:hAnsi="Times New Roman" w:eastAsia="仿宋" w:cs="Times New Roman"/>
          <w:color w:val="auto"/>
          <w:szCs w:val="32"/>
          <w:highlight w:val="none"/>
          <w:lang w:val="en-US" w:eastAsia="zh-CN"/>
        </w:rPr>
        <w:t>.00</w:t>
      </w:r>
      <w:r>
        <w:rPr>
          <w:rFonts w:hint="eastAsia" w:ascii="Times New Roman" w:hAnsi="Times New Roman" w:eastAsia="仿宋" w:cs="Times New Roman"/>
          <w:color w:val="auto"/>
          <w:szCs w:val="32"/>
          <w:highlight w:val="none"/>
          <w:lang w:val="zh-CN"/>
        </w:rPr>
        <w:t>元）。仁和区</w:t>
      </w:r>
      <w:r>
        <w:rPr>
          <w:rFonts w:hint="eastAsia" w:ascii="Times New Roman" w:hAnsi="Times New Roman" w:eastAsia="仿宋" w:cs="Times New Roman"/>
          <w:color w:val="auto"/>
          <w:szCs w:val="32"/>
          <w:highlight w:val="none"/>
        </w:rPr>
        <w:t>2022年实际兑现非国有公益林生态效益补偿面积245</w:t>
      </w:r>
      <w:r>
        <w:rPr>
          <w:rFonts w:hint="eastAsia" w:ascii="Times New Roman" w:hAnsi="Times New Roman" w:eastAsia="仿宋" w:cs="Times New Roman"/>
          <w:color w:val="auto"/>
          <w:szCs w:val="32"/>
          <w:highlight w:val="none"/>
          <w:lang w:val="en-US" w:eastAsia="zh-CN"/>
        </w:rPr>
        <w:t>,</w:t>
      </w:r>
      <w:r>
        <w:rPr>
          <w:rFonts w:hint="eastAsia" w:ascii="Times New Roman" w:hAnsi="Times New Roman" w:eastAsia="仿宋" w:cs="Times New Roman"/>
          <w:color w:val="auto"/>
          <w:szCs w:val="32"/>
          <w:highlight w:val="none"/>
        </w:rPr>
        <w:t>524</w:t>
      </w:r>
      <w:r>
        <w:rPr>
          <w:rFonts w:hint="eastAsia" w:ascii="Times New Roman" w:hAnsi="Times New Roman" w:eastAsia="仿宋" w:cs="Times New Roman"/>
          <w:color w:val="auto"/>
          <w:szCs w:val="32"/>
          <w:highlight w:val="none"/>
          <w:lang w:val="en-US" w:eastAsia="zh-CN"/>
        </w:rPr>
        <w:t>.00</w:t>
      </w:r>
      <w:r>
        <w:rPr>
          <w:rFonts w:hint="eastAsia" w:ascii="Times New Roman" w:hAnsi="Times New Roman" w:eastAsia="仿宋" w:cs="Times New Roman"/>
          <w:color w:val="auto"/>
          <w:szCs w:val="32"/>
          <w:highlight w:val="none"/>
          <w:lang w:val="zh-CN"/>
        </w:rPr>
        <w:t>亩</w:t>
      </w:r>
      <w:r>
        <w:rPr>
          <w:rFonts w:hint="eastAsia" w:ascii="Times New Roman" w:hAnsi="Times New Roman" w:eastAsia="仿宋" w:cs="Times New Roman"/>
          <w:color w:val="auto"/>
          <w:szCs w:val="32"/>
          <w:highlight w:val="none"/>
        </w:rPr>
        <w:t>（无新增规划，暂执行2021年计划面积），涉及13个乡镇，农户11353户</w:t>
      </w:r>
      <w:r>
        <w:rPr>
          <w:rFonts w:hint="eastAsia" w:eastAsia="仿宋" w:cs="Times New Roman"/>
          <w:color w:val="auto"/>
          <w:szCs w:val="32"/>
          <w:highlight w:val="none"/>
          <w:lang w:eastAsia="zh-CN"/>
        </w:rPr>
        <w:t>。</w:t>
      </w:r>
      <w:r>
        <w:rPr>
          <w:rFonts w:hint="eastAsia" w:ascii="Times New Roman" w:hAnsi="Times New Roman" w:eastAsia="仿宋" w:cs="Times New Roman"/>
          <w:color w:val="auto"/>
          <w:szCs w:val="32"/>
          <w:highlight w:val="none"/>
        </w:rPr>
        <w:t>补助资金392.8</w:t>
      </w:r>
      <w:r>
        <w:rPr>
          <w:rFonts w:hint="eastAsia" w:ascii="Times New Roman" w:hAnsi="Times New Roman" w:eastAsia="仿宋" w:cs="Times New Roman"/>
          <w:color w:val="auto"/>
          <w:szCs w:val="32"/>
          <w:highlight w:val="none"/>
          <w:lang w:val="en-US" w:eastAsia="zh-CN"/>
        </w:rPr>
        <w:t>4</w:t>
      </w:r>
      <w:r>
        <w:rPr>
          <w:rFonts w:hint="eastAsia" w:ascii="Times New Roman" w:hAnsi="Times New Roman" w:eastAsia="仿宋" w:cs="Times New Roman"/>
          <w:color w:val="auto"/>
          <w:szCs w:val="32"/>
          <w:highlight w:val="none"/>
        </w:rPr>
        <w:t>万元，</w:t>
      </w:r>
      <w:r>
        <w:rPr>
          <w:rFonts w:hint="eastAsia" w:ascii="Times New Roman" w:hAnsi="Times New Roman" w:eastAsia="仿宋" w:cs="Times New Roman"/>
          <w:color w:val="auto"/>
          <w:szCs w:val="32"/>
          <w:highlight w:val="none"/>
          <w:lang w:val="zh-CN"/>
        </w:rPr>
        <w:t>已通过“一卡通”系统全额兑现给公益林林权权利人</w:t>
      </w:r>
      <w:r>
        <w:rPr>
          <w:rFonts w:hint="eastAsia" w:eastAsia="仿宋" w:cs="Times New Roman"/>
          <w:color w:val="auto"/>
          <w:szCs w:val="32"/>
          <w:highlight w:val="none"/>
          <w:lang w:val="zh-CN"/>
        </w:rPr>
        <w:t>，资金</w:t>
      </w:r>
      <w:r>
        <w:rPr>
          <w:rFonts w:hint="eastAsia" w:ascii="Times New Roman" w:hAnsi="Times New Roman" w:eastAsia="仿宋" w:cs="Times New Roman"/>
          <w:color w:val="auto"/>
          <w:szCs w:val="32"/>
          <w:highlight w:val="none"/>
        </w:rPr>
        <w:t>兑现率100%。</w:t>
      </w:r>
    </w:p>
    <w:p>
      <w:pPr>
        <w:spacing w:line="600" w:lineRule="exact"/>
        <w:ind w:firstLine="640" w:firstLineChars="200"/>
        <w:rPr>
          <w:rFonts w:hint="eastAsia" w:ascii="Times New Roman" w:hAnsi="Times New Roman" w:eastAsia="仿宋" w:cs="Times New Roman"/>
          <w:color w:val="auto"/>
          <w:szCs w:val="32"/>
          <w:highlight w:val="none"/>
        </w:rPr>
      </w:pPr>
      <w:r>
        <w:rPr>
          <w:rFonts w:hint="eastAsia" w:ascii="Times New Roman" w:hAnsi="Times New Roman" w:eastAsia="仿宋" w:cs="Times New Roman"/>
          <w:color w:val="auto"/>
          <w:szCs w:val="32"/>
          <w:highlight w:val="none"/>
        </w:rPr>
        <w:t>（3）完成结果</w:t>
      </w:r>
    </w:p>
    <w:p>
      <w:pPr>
        <w:spacing w:line="600" w:lineRule="exact"/>
        <w:ind w:firstLine="640" w:firstLineChars="200"/>
        <w:rPr>
          <w:rFonts w:hint="eastAsia" w:eastAsia="仿宋" w:cs="Times New Roman"/>
          <w:color w:val="auto"/>
          <w:szCs w:val="32"/>
          <w:highlight w:val="none"/>
          <w:lang w:val="zh-CN"/>
        </w:rPr>
      </w:pPr>
      <w:r>
        <w:rPr>
          <w:rFonts w:hint="eastAsia" w:eastAsia="仿宋" w:cs="Times New Roman"/>
          <w:color w:val="auto"/>
          <w:szCs w:val="32"/>
          <w:highlight w:val="none"/>
          <w:lang w:val="zh-CN"/>
        </w:rPr>
        <w:t>通过本项目实施，</w:t>
      </w:r>
      <w:r>
        <w:rPr>
          <w:rFonts w:hint="eastAsia" w:ascii="Times New Roman" w:hAnsi="Times New Roman" w:eastAsia="仿宋" w:cs="Times New Roman"/>
          <w:color w:val="auto"/>
          <w:szCs w:val="32"/>
          <w:highlight w:val="none"/>
          <w:lang w:val="zh-CN"/>
        </w:rPr>
        <w:t>对仁和区省级公益林</w:t>
      </w:r>
      <w:r>
        <w:rPr>
          <w:rFonts w:hint="eastAsia" w:ascii="Times New Roman" w:hAnsi="Times New Roman" w:eastAsia="仿宋" w:cs="Times New Roman"/>
          <w:color w:val="auto"/>
          <w:szCs w:val="32"/>
          <w:highlight w:val="none"/>
        </w:rPr>
        <w:t>245524</w:t>
      </w:r>
      <w:r>
        <w:rPr>
          <w:rFonts w:hint="eastAsia" w:eastAsia="仿宋" w:cs="Times New Roman"/>
          <w:color w:val="auto"/>
          <w:szCs w:val="32"/>
          <w:highlight w:val="none"/>
          <w:lang w:val="en-US" w:eastAsia="zh-CN"/>
        </w:rPr>
        <w:t>.00</w:t>
      </w:r>
      <w:r>
        <w:rPr>
          <w:rFonts w:hint="eastAsia" w:ascii="Times New Roman" w:hAnsi="Times New Roman" w:eastAsia="仿宋" w:cs="Times New Roman"/>
          <w:color w:val="auto"/>
          <w:szCs w:val="32"/>
          <w:highlight w:val="none"/>
          <w:lang w:val="zh-CN"/>
        </w:rPr>
        <w:t>亩进行</w:t>
      </w:r>
      <w:r>
        <w:rPr>
          <w:rFonts w:hint="eastAsia" w:eastAsia="仿宋" w:cs="Times New Roman"/>
          <w:color w:val="auto"/>
          <w:szCs w:val="32"/>
          <w:highlight w:val="none"/>
          <w:lang w:val="zh-CN"/>
        </w:rPr>
        <w:t>了有效</w:t>
      </w:r>
      <w:r>
        <w:rPr>
          <w:rFonts w:hint="eastAsia" w:ascii="Times New Roman" w:hAnsi="Times New Roman" w:eastAsia="仿宋" w:cs="Times New Roman"/>
          <w:color w:val="auto"/>
          <w:szCs w:val="32"/>
          <w:highlight w:val="none"/>
          <w:lang w:val="zh-CN"/>
        </w:rPr>
        <w:t>管护，落实集体公益林管护人员</w:t>
      </w:r>
      <w:r>
        <w:rPr>
          <w:rFonts w:hint="eastAsia" w:ascii="Times New Roman" w:hAnsi="Times New Roman" w:eastAsia="仿宋" w:cs="Times New Roman"/>
          <w:color w:val="auto"/>
          <w:szCs w:val="32"/>
          <w:highlight w:val="none"/>
        </w:rPr>
        <w:t>130人，</w:t>
      </w:r>
      <w:r>
        <w:rPr>
          <w:rFonts w:hint="eastAsia" w:eastAsia="仿宋" w:cs="Times New Roman"/>
          <w:color w:val="auto"/>
          <w:szCs w:val="32"/>
          <w:highlight w:val="none"/>
          <w:lang w:eastAsia="zh-CN"/>
        </w:rPr>
        <w:t>并</w:t>
      </w:r>
      <w:r>
        <w:rPr>
          <w:rFonts w:hint="eastAsia" w:ascii="Times New Roman" w:hAnsi="Times New Roman" w:eastAsia="仿宋" w:cs="Times New Roman"/>
          <w:color w:val="auto"/>
          <w:szCs w:val="32"/>
          <w:highlight w:val="none"/>
          <w:lang w:val="zh-CN"/>
        </w:rPr>
        <w:t>签订了管护合同</w:t>
      </w:r>
      <w:r>
        <w:rPr>
          <w:rFonts w:hint="eastAsia" w:eastAsia="仿宋" w:cs="Times New Roman"/>
          <w:color w:val="auto"/>
          <w:szCs w:val="32"/>
          <w:highlight w:val="none"/>
          <w:lang w:val="zh-CN"/>
        </w:rPr>
        <w:t>。</w:t>
      </w:r>
    </w:p>
    <w:p>
      <w:pPr>
        <w:spacing w:line="600" w:lineRule="exact"/>
        <w:ind w:firstLine="640" w:firstLineChars="200"/>
        <w:rPr>
          <w:rFonts w:hint="eastAsia" w:ascii="Times New Roman" w:hAnsi="Times New Roman" w:eastAsia="仿宋" w:cs="Times New Roman"/>
          <w:color w:val="auto"/>
          <w:szCs w:val="32"/>
          <w:highlight w:val="none"/>
          <w:lang w:val="zh-CN"/>
        </w:rPr>
      </w:pPr>
      <w:r>
        <w:rPr>
          <w:rFonts w:hint="eastAsia" w:eastAsia="仿宋"/>
          <w:color w:val="auto"/>
          <w:szCs w:val="32"/>
          <w:highlight w:val="none"/>
          <w:lang w:eastAsia="zh-CN"/>
        </w:rPr>
        <w:t>仁和</w:t>
      </w:r>
      <w:r>
        <w:rPr>
          <w:rFonts w:hint="eastAsia" w:eastAsia="仿宋" w:cs="Times New Roman"/>
          <w:color w:val="auto"/>
          <w:szCs w:val="32"/>
          <w:highlight w:val="none"/>
          <w:lang w:val="zh-CN"/>
        </w:rPr>
        <w:t>区林业局对项目和管护人员</w:t>
      </w:r>
      <w:r>
        <w:rPr>
          <w:rFonts w:hint="eastAsia" w:ascii="Times New Roman" w:hAnsi="Times New Roman" w:eastAsia="仿宋" w:cs="Times New Roman"/>
          <w:color w:val="auto"/>
          <w:szCs w:val="32"/>
          <w:highlight w:val="none"/>
          <w:lang w:val="zh-CN"/>
        </w:rPr>
        <w:t>进行了检查和考核。</w:t>
      </w:r>
    </w:p>
    <w:p>
      <w:pPr>
        <w:spacing w:line="600" w:lineRule="exact"/>
        <w:ind w:firstLine="640" w:firstLineChars="200"/>
        <w:rPr>
          <w:rFonts w:hint="eastAsia" w:ascii="Times New Roman" w:hAnsi="Times New Roman" w:eastAsia="仿宋" w:cs="Times New Roman"/>
          <w:color w:val="auto"/>
          <w:szCs w:val="32"/>
          <w:highlight w:val="none"/>
          <w:lang w:val="zh-CN"/>
        </w:rPr>
      </w:pPr>
      <w:r>
        <w:rPr>
          <w:rFonts w:hint="eastAsia" w:ascii="Times New Roman" w:hAnsi="Times New Roman" w:eastAsia="仿宋" w:cs="Times New Roman"/>
          <w:color w:val="auto"/>
          <w:szCs w:val="32"/>
          <w:highlight w:val="none"/>
          <w:lang w:val="zh-CN"/>
        </w:rPr>
        <w:t>辖区内生态得到保护，激发</w:t>
      </w:r>
      <w:r>
        <w:rPr>
          <w:rFonts w:hint="eastAsia" w:eastAsia="仿宋" w:cs="Times New Roman"/>
          <w:color w:val="auto"/>
          <w:szCs w:val="32"/>
          <w:highlight w:val="none"/>
          <w:lang w:val="zh-CN"/>
        </w:rPr>
        <w:t>了</w:t>
      </w:r>
      <w:r>
        <w:rPr>
          <w:rFonts w:hint="eastAsia" w:ascii="Times New Roman" w:hAnsi="Times New Roman" w:eastAsia="仿宋" w:cs="Times New Roman"/>
          <w:color w:val="auto"/>
          <w:szCs w:val="32"/>
          <w:highlight w:val="none"/>
          <w:lang w:val="zh-CN"/>
        </w:rPr>
        <w:t>群众爱林护林的积极性。本项目在保护生态的基础上保障林农的收益，</w:t>
      </w:r>
      <w:r>
        <w:rPr>
          <w:rFonts w:hint="eastAsia" w:eastAsia="仿宋" w:cs="Times New Roman"/>
          <w:color w:val="auto"/>
          <w:szCs w:val="32"/>
          <w:highlight w:val="none"/>
          <w:lang w:val="zh-CN"/>
        </w:rPr>
        <w:t>林农有较高的积极性和获得感</w:t>
      </w:r>
      <w:r>
        <w:rPr>
          <w:rFonts w:hint="eastAsia" w:ascii="Times New Roman" w:hAnsi="Times New Roman" w:eastAsia="仿宋" w:cs="Times New Roman"/>
          <w:color w:val="auto"/>
          <w:szCs w:val="32"/>
          <w:highlight w:val="none"/>
          <w:lang w:val="zh-CN"/>
        </w:rPr>
        <w:t>。</w:t>
      </w:r>
    </w:p>
    <w:p>
      <w:pPr>
        <w:spacing w:line="600" w:lineRule="exact"/>
        <w:ind w:firstLine="640" w:firstLineChars="200"/>
        <w:rPr>
          <w:rFonts w:hint="eastAsia" w:ascii="Times New Roman" w:hAnsi="Times New Roman" w:eastAsia="仿宋" w:cs="Times New Roman"/>
          <w:color w:val="auto"/>
          <w:szCs w:val="32"/>
          <w:highlight w:val="none"/>
          <w:lang w:val="zh-CN"/>
        </w:rPr>
      </w:pPr>
      <w:r>
        <w:rPr>
          <w:rFonts w:hint="eastAsia" w:eastAsia="仿宋" w:cs="Times New Roman"/>
          <w:color w:val="auto"/>
          <w:szCs w:val="32"/>
          <w:highlight w:val="none"/>
          <w:lang w:eastAsia="zh-CN"/>
        </w:rPr>
        <w:t>仁和区实现了</w:t>
      </w:r>
      <w:r>
        <w:rPr>
          <w:rFonts w:hint="eastAsia" w:eastAsia="仿宋" w:cs="Times New Roman"/>
          <w:color w:val="auto"/>
          <w:szCs w:val="32"/>
          <w:highlight w:val="none"/>
          <w:lang w:val="en-US" w:eastAsia="zh-CN"/>
        </w:rPr>
        <w:t>2022年</w:t>
      </w:r>
      <w:r>
        <w:rPr>
          <w:rFonts w:hint="eastAsia" w:ascii="Times New Roman" w:hAnsi="Times New Roman" w:eastAsia="仿宋" w:cs="Times New Roman"/>
          <w:color w:val="auto"/>
          <w:szCs w:val="32"/>
          <w:highlight w:val="none"/>
        </w:rPr>
        <w:t>非国有</w:t>
      </w:r>
      <w:r>
        <w:rPr>
          <w:rFonts w:hint="eastAsia" w:ascii="Times New Roman" w:hAnsi="Times New Roman" w:eastAsia="仿宋" w:cs="Times New Roman"/>
          <w:color w:val="auto"/>
          <w:szCs w:val="32"/>
          <w:highlight w:val="none"/>
          <w:lang w:val="zh-CN"/>
        </w:rPr>
        <w:t>公益林范围无森林火灾的发生</w:t>
      </w:r>
      <w:r>
        <w:rPr>
          <w:rFonts w:hint="eastAsia" w:eastAsia="仿宋" w:cs="Times New Roman"/>
          <w:color w:val="auto"/>
          <w:szCs w:val="32"/>
          <w:highlight w:val="none"/>
          <w:lang w:val="zh-CN"/>
        </w:rPr>
        <w:t>的目标</w:t>
      </w:r>
      <w:r>
        <w:rPr>
          <w:rFonts w:hint="eastAsia" w:ascii="Times New Roman" w:hAnsi="Times New Roman" w:eastAsia="仿宋" w:cs="Times New Roman"/>
          <w:color w:val="auto"/>
          <w:szCs w:val="32"/>
          <w:highlight w:val="none"/>
          <w:lang w:val="zh-CN"/>
        </w:rPr>
        <w:t>。</w:t>
      </w:r>
    </w:p>
    <w:p>
      <w:pPr>
        <w:numPr>
          <w:ilvl w:val="0"/>
          <w:numId w:val="3"/>
        </w:numPr>
        <w:spacing w:line="600" w:lineRule="exact"/>
        <w:ind w:left="0" w:leftChars="0" w:firstLine="640" w:firstLineChars="200"/>
        <w:outlineLvl w:val="2"/>
        <w:rPr>
          <w:rFonts w:hint="eastAsia" w:ascii="Times New Roman" w:hAnsi="Times New Roman" w:eastAsia="仿宋" w:cs="Times New Roman"/>
          <w:b w:val="0"/>
          <w:bCs w:val="0"/>
          <w:color w:val="auto"/>
          <w:szCs w:val="32"/>
          <w:highlight w:val="none"/>
        </w:rPr>
      </w:pPr>
      <w:r>
        <w:rPr>
          <w:rFonts w:hint="eastAsia" w:ascii="Times New Roman" w:hAnsi="Times New Roman" w:eastAsia="仿宋" w:cs="Times New Roman"/>
          <w:b w:val="0"/>
          <w:bCs w:val="0"/>
          <w:color w:val="auto"/>
          <w:szCs w:val="32"/>
          <w:highlight w:val="none"/>
          <w:lang w:val="zh-CN"/>
        </w:rPr>
        <w:t>非国有</w:t>
      </w:r>
      <w:r>
        <w:rPr>
          <w:rFonts w:hint="eastAsia" w:ascii="Times New Roman" w:hAnsi="Times New Roman" w:eastAsia="仿宋" w:cs="Times New Roman"/>
          <w:b w:val="0"/>
          <w:bCs w:val="0"/>
          <w:color w:val="auto"/>
          <w:szCs w:val="32"/>
          <w:highlight w:val="none"/>
        </w:rPr>
        <w:t>天然商品林停伐管护补助项目</w:t>
      </w:r>
    </w:p>
    <w:p>
      <w:pPr>
        <w:spacing w:line="600" w:lineRule="exact"/>
        <w:ind w:firstLine="640" w:firstLineChars="200"/>
        <w:rPr>
          <w:rFonts w:hint="eastAsia" w:ascii="Times New Roman" w:hAnsi="Times New Roman" w:eastAsia="仿宋" w:cs="Times New Roman"/>
          <w:color w:val="auto"/>
          <w:szCs w:val="32"/>
          <w:highlight w:val="none"/>
        </w:rPr>
      </w:pPr>
      <w:r>
        <w:rPr>
          <w:rFonts w:hint="eastAsia" w:ascii="Times New Roman" w:hAnsi="Times New Roman" w:eastAsia="仿宋" w:cs="Times New Roman"/>
          <w:color w:val="auto"/>
          <w:szCs w:val="32"/>
          <w:highlight w:val="none"/>
        </w:rPr>
        <w:t>（1）项目决策</w:t>
      </w:r>
    </w:p>
    <w:p>
      <w:pPr>
        <w:spacing w:line="600" w:lineRule="exact"/>
        <w:ind w:firstLine="640" w:firstLineChars="200"/>
        <w:rPr>
          <w:rFonts w:hint="eastAsia" w:ascii="Times New Roman" w:hAnsi="Times New Roman" w:eastAsia="仿宋" w:cs="Times New Roman"/>
          <w:color w:val="auto"/>
          <w:szCs w:val="32"/>
          <w:highlight w:val="none"/>
          <w:lang w:val="zh-CN"/>
        </w:rPr>
      </w:pPr>
      <w:r>
        <w:rPr>
          <w:rFonts w:hint="eastAsia" w:ascii="Times New Roman" w:hAnsi="Times New Roman" w:eastAsia="仿宋" w:cs="Times New Roman"/>
          <w:color w:val="auto"/>
          <w:szCs w:val="32"/>
          <w:highlight w:val="none"/>
          <w:lang w:val="zh-CN"/>
        </w:rPr>
        <w:t>项目立项、资金申报的依据是攀枝花市仁和区集体和个人所有天然商品林停伐管护规划。</w:t>
      </w:r>
      <w:r>
        <w:rPr>
          <w:rFonts w:hint="eastAsia" w:eastAsia="仿宋" w:cs="Times New Roman"/>
          <w:color w:val="auto"/>
          <w:szCs w:val="32"/>
          <w:highlight w:val="none"/>
          <w:lang w:val="zh-CN"/>
        </w:rPr>
        <w:t>项目</w:t>
      </w:r>
      <w:r>
        <w:rPr>
          <w:rFonts w:hint="eastAsia" w:ascii="Times New Roman" w:hAnsi="Times New Roman" w:eastAsia="仿宋" w:cs="Times New Roman"/>
          <w:color w:val="auto"/>
          <w:szCs w:val="32"/>
          <w:highlight w:val="none"/>
          <w:lang w:val="zh-CN"/>
        </w:rPr>
        <w:t>资金管理按财政部、国家林业和草原局《关于修订〈林业改革发展资金管理办法〉的通知》（财资环</w:t>
      </w:r>
      <w:r>
        <w:rPr>
          <w:rFonts w:hint="default" w:ascii="Times New Roman" w:hAnsi="Times New Roman" w:eastAsia="仿宋" w:cs="Times New Roman"/>
          <w:color w:val="auto"/>
          <w:szCs w:val="32"/>
          <w:highlight w:val="none"/>
          <w:lang w:val="zh-CN"/>
        </w:rPr>
        <w:t>〔2021〕39</w:t>
      </w:r>
      <w:r>
        <w:rPr>
          <w:rFonts w:hint="eastAsia" w:ascii="Times New Roman" w:hAnsi="Times New Roman" w:eastAsia="仿宋" w:cs="Times New Roman"/>
          <w:color w:val="auto"/>
          <w:szCs w:val="32"/>
          <w:highlight w:val="none"/>
          <w:lang w:val="zh-CN"/>
        </w:rPr>
        <w:t>号）文件执行。通过“一卡通”系统兑现给非国有天然商品林林权权利人。</w:t>
      </w:r>
    </w:p>
    <w:p>
      <w:pPr>
        <w:spacing w:line="600" w:lineRule="exact"/>
        <w:ind w:firstLine="640" w:firstLineChars="200"/>
        <w:rPr>
          <w:rFonts w:hint="eastAsia" w:ascii="Times New Roman" w:hAnsi="Times New Roman" w:eastAsia="仿宋" w:cs="Times New Roman"/>
          <w:color w:val="auto"/>
          <w:szCs w:val="32"/>
          <w:highlight w:val="none"/>
          <w:lang w:val="zh-CN"/>
        </w:rPr>
      </w:pPr>
      <w:r>
        <w:rPr>
          <w:rFonts w:hint="eastAsia" w:eastAsia="仿宋"/>
          <w:color w:val="auto"/>
          <w:szCs w:val="32"/>
          <w:highlight w:val="none"/>
          <w:lang w:eastAsia="zh-CN"/>
        </w:rPr>
        <w:t>仁和</w:t>
      </w:r>
      <w:r>
        <w:rPr>
          <w:rFonts w:hint="eastAsia" w:ascii="Times New Roman" w:hAnsi="Times New Roman" w:eastAsia="仿宋" w:cs="Times New Roman"/>
          <w:color w:val="auto"/>
          <w:szCs w:val="32"/>
          <w:highlight w:val="none"/>
          <w:lang w:val="zh-CN"/>
        </w:rPr>
        <w:t>区林业局负责非国有天然商品林停伐管护</w:t>
      </w:r>
      <w:r>
        <w:rPr>
          <w:rFonts w:hint="eastAsia" w:eastAsia="仿宋" w:cs="Times New Roman"/>
          <w:color w:val="auto"/>
          <w:szCs w:val="32"/>
          <w:highlight w:val="none"/>
          <w:lang w:val="zh-CN"/>
        </w:rPr>
        <w:t>项目</w:t>
      </w:r>
      <w:r>
        <w:rPr>
          <w:rFonts w:hint="eastAsia" w:ascii="Times New Roman" w:hAnsi="Times New Roman" w:eastAsia="仿宋" w:cs="Times New Roman"/>
          <w:color w:val="auto"/>
          <w:szCs w:val="32"/>
          <w:highlight w:val="none"/>
          <w:lang w:val="zh-CN"/>
        </w:rPr>
        <w:t>补助资金计划</w:t>
      </w:r>
      <w:r>
        <w:rPr>
          <w:rFonts w:hint="eastAsia" w:eastAsia="仿宋" w:cs="Times New Roman"/>
          <w:color w:val="auto"/>
          <w:szCs w:val="32"/>
          <w:highlight w:val="none"/>
          <w:lang w:val="zh-CN"/>
        </w:rPr>
        <w:t>的</w:t>
      </w:r>
      <w:r>
        <w:rPr>
          <w:rFonts w:hint="eastAsia" w:ascii="Times New Roman" w:hAnsi="Times New Roman" w:eastAsia="仿宋" w:cs="Times New Roman"/>
          <w:color w:val="auto"/>
          <w:szCs w:val="32"/>
          <w:highlight w:val="none"/>
          <w:lang w:val="zh-CN"/>
        </w:rPr>
        <w:t>下达，管护督查，发放审核审批。资金分配的原则按不低于补偿资金的80%直接发放给林权所有者，管护费用提取原则不超过</w:t>
      </w:r>
      <w:r>
        <w:rPr>
          <w:rFonts w:hint="eastAsia" w:eastAsia="仿宋" w:cs="Times New Roman"/>
          <w:color w:val="auto"/>
          <w:szCs w:val="32"/>
          <w:highlight w:val="none"/>
          <w:lang w:val="zh-CN"/>
        </w:rPr>
        <w:t>项目资金的</w:t>
      </w:r>
      <w:r>
        <w:rPr>
          <w:rFonts w:hint="eastAsia" w:ascii="Times New Roman" w:hAnsi="Times New Roman" w:eastAsia="仿宋" w:cs="Times New Roman"/>
          <w:color w:val="auto"/>
          <w:szCs w:val="32"/>
          <w:highlight w:val="none"/>
          <w:lang w:val="zh-CN"/>
        </w:rPr>
        <w:t>20%。</w:t>
      </w:r>
    </w:p>
    <w:p>
      <w:pPr>
        <w:spacing w:line="600" w:lineRule="exact"/>
        <w:ind w:firstLine="640" w:firstLineChars="200"/>
        <w:rPr>
          <w:rFonts w:hint="eastAsia" w:ascii="Times New Roman" w:hAnsi="Times New Roman" w:eastAsia="仿宋" w:cs="Times New Roman"/>
          <w:color w:val="auto"/>
          <w:szCs w:val="32"/>
          <w:highlight w:val="none"/>
          <w:lang w:val="zh-CN"/>
        </w:rPr>
      </w:pPr>
      <w:r>
        <w:rPr>
          <w:rFonts w:hint="eastAsia" w:ascii="Times New Roman" w:hAnsi="Times New Roman" w:eastAsia="仿宋" w:cs="Times New Roman"/>
          <w:color w:val="auto"/>
          <w:szCs w:val="32"/>
          <w:highlight w:val="none"/>
          <w:lang w:val="zh-CN"/>
        </w:rPr>
        <w:t>（2）项目实施</w:t>
      </w:r>
    </w:p>
    <w:p>
      <w:pPr>
        <w:spacing w:line="600" w:lineRule="exact"/>
        <w:ind w:firstLine="640" w:firstLineChars="200"/>
        <w:rPr>
          <w:rFonts w:hint="eastAsia" w:ascii="Times New Roman" w:hAnsi="Times New Roman" w:eastAsia="仿宋" w:cs="Times New Roman"/>
          <w:color w:val="auto"/>
          <w:szCs w:val="32"/>
          <w:highlight w:val="none"/>
          <w:lang w:val="zh-CN"/>
        </w:rPr>
      </w:pPr>
      <w:r>
        <w:rPr>
          <w:rFonts w:hint="eastAsia" w:eastAsia="仿宋"/>
          <w:color w:val="auto"/>
          <w:szCs w:val="32"/>
          <w:highlight w:val="none"/>
          <w:lang w:eastAsia="zh-CN"/>
        </w:rPr>
        <w:t>仁和</w:t>
      </w:r>
      <w:r>
        <w:rPr>
          <w:rFonts w:hint="eastAsia" w:ascii="Times New Roman" w:hAnsi="Times New Roman" w:eastAsia="仿宋" w:cs="Times New Roman"/>
          <w:color w:val="auto"/>
          <w:szCs w:val="32"/>
          <w:highlight w:val="none"/>
          <w:lang w:val="zh-CN"/>
        </w:rPr>
        <w:t>区林业局</w:t>
      </w:r>
      <w:r>
        <w:rPr>
          <w:rFonts w:hint="eastAsia" w:eastAsia="仿宋" w:cs="Times New Roman"/>
          <w:color w:val="auto"/>
          <w:szCs w:val="32"/>
          <w:highlight w:val="none"/>
          <w:lang w:val="zh-CN"/>
        </w:rPr>
        <w:t>为</w:t>
      </w:r>
      <w:r>
        <w:rPr>
          <w:rFonts w:hint="eastAsia" w:ascii="Times New Roman" w:hAnsi="Times New Roman" w:eastAsia="仿宋" w:cs="Times New Roman"/>
          <w:color w:val="auto"/>
          <w:szCs w:val="32"/>
          <w:highlight w:val="none"/>
          <w:lang w:val="zh-CN"/>
        </w:rPr>
        <w:t>仁和区非国有天然商品林实施停伐管护</w:t>
      </w:r>
      <w:r>
        <w:rPr>
          <w:rFonts w:hint="eastAsia" w:eastAsia="仿宋" w:cs="Times New Roman"/>
          <w:color w:val="auto"/>
          <w:szCs w:val="32"/>
          <w:highlight w:val="none"/>
          <w:lang w:val="zh-CN"/>
        </w:rPr>
        <w:t>的实施主体</w:t>
      </w:r>
      <w:r>
        <w:rPr>
          <w:rFonts w:hint="eastAsia" w:ascii="Times New Roman" w:hAnsi="Times New Roman" w:eastAsia="仿宋" w:cs="Times New Roman"/>
          <w:color w:val="auto"/>
          <w:szCs w:val="32"/>
          <w:highlight w:val="none"/>
          <w:lang w:val="zh-CN"/>
        </w:rPr>
        <w:t>，</w:t>
      </w:r>
      <w:r>
        <w:rPr>
          <w:rFonts w:hint="eastAsia" w:eastAsia="仿宋" w:cs="Times New Roman"/>
          <w:color w:val="auto"/>
          <w:szCs w:val="32"/>
          <w:highlight w:val="none"/>
          <w:lang w:val="zh-CN"/>
        </w:rPr>
        <w:t>负责</w:t>
      </w:r>
      <w:r>
        <w:rPr>
          <w:rFonts w:hint="eastAsia" w:ascii="Times New Roman" w:hAnsi="Times New Roman" w:eastAsia="仿宋" w:cs="Times New Roman"/>
          <w:color w:val="auto"/>
          <w:szCs w:val="32"/>
          <w:highlight w:val="none"/>
          <w:lang w:val="zh-CN"/>
        </w:rPr>
        <w:t>对非国有商品林实行常年有效地管护。</w:t>
      </w:r>
      <w:r>
        <w:rPr>
          <w:rFonts w:hint="eastAsia" w:eastAsia="仿宋" w:cs="Times New Roman"/>
          <w:color w:val="auto"/>
          <w:szCs w:val="32"/>
          <w:highlight w:val="none"/>
          <w:lang w:val="zh-CN"/>
        </w:rPr>
        <w:t>仁和区</w:t>
      </w:r>
      <w:r>
        <w:rPr>
          <w:rFonts w:hint="eastAsia" w:ascii="Times New Roman" w:hAnsi="Times New Roman" w:eastAsia="仿宋" w:cs="Times New Roman"/>
          <w:color w:val="auto"/>
          <w:szCs w:val="32"/>
          <w:highlight w:val="none"/>
          <w:lang w:val="zh-CN"/>
        </w:rPr>
        <w:t>2022年非国有天然商品林510</w:t>
      </w:r>
      <w:r>
        <w:rPr>
          <w:rFonts w:hint="eastAsia" w:ascii="Times New Roman" w:hAnsi="Times New Roman" w:eastAsia="仿宋" w:cs="Times New Roman"/>
          <w:color w:val="auto"/>
          <w:szCs w:val="32"/>
          <w:highlight w:val="none"/>
          <w:lang w:val="en-US" w:eastAsia="zh-CN"/>
        </w:rPr>
        <w:t>,</w:t>
      </w:r>
      <w:r>
        <w:rPr>
          <w:rFonts w:hint="eastAsia" w:ascii="Times New Roman" w:hAnsi="Times New Roman" w:eastAsia="仿宋" w:cs="Times New Roman"/>
          <w:color w:val="auto"/>
          <w:szCs w:val="32"/>
          <w:highlight w:val="none"/>
          <w:lang w:val="zh-CN"/>
        </w:rPr>
        <w:t>141</w:t>
      </w:r>
      <w:r>
        <w:rPr>
          <w:rFonts w:hint="eastAsia" w:ascii="Times New Roman" w:hAnsi="Times New Roman" w:eastAsia="仿宋" w:cs="Times New Roman"/>
          <w:color w:val="auto"/>
          <w:szCs w:val="32"/>
          <w:highlight w:val="none"/>
          <w:lang w:val="en-US" w:eastAsia="zh-CN"/>
        </w:rPr>
        <w:t>.00</w:t>
      </w:r>
      <w:r>
        <w:rPr>
          <w:rFonts w:hint="eastAsia" w:ascii="Times New Roman" w:hAnsi="Times New Roman" w:eastAsia="仿宋" w:cs="Times New Roman"/>
          <w:color w:val="auto"/>
          <w:szCs w:val="32"/>
          <w:highlight w:val="none"/>
          <w:lang w:val="zh-CN"/>
        </w:rPr>
        <w:t>亩，</w:t>
      </w:r>
      <w:r>
        <w:rPr>
          <w:rFonts w:hint="eastAsia" w:eastAsia="仿宋" w:cs="Times New Roman"/>
          <w:color w:val="auto"/>
          <w:szCs w:val="32"/>
          <w:highlight w:val="none"/>
          <w:lang w:val="zh-CN"/>
        </w:rPr>
        <w:t>涉及到</w:t>
      </w:r>
      <w:r>
        <w:rPr>
          <w:rFonts w:hint="eastAsia" w:ascii="Times New Roman" w:hAnsi="Times New Roman" w:eastAsia="仿宋" w:cs="Times New Roman"/>
          <w:color w:val="auto"/>
          <w:szCs w:val="32"/>
          <w:highlight w:val="none"/>
          <w:lang w:val="zh-CN"/>
        </w:rPr>
        <w:t>14个乡镇，农户20406户。落实集体公益林管护人员193人（商品林管护人员124人，公益林和商品林兼管69人），</w:t>
      </w:r>
      <w:r>
        <w:rPr>
          <w:rFonts w:hint="eastAsia" w:eastAsia="仿宋" w:cs="Times New Roman"/>
          <w:color w:val="auto"/>
          <w:szCs w:val="32"/>
          <w:highlight w:val="none"/>
          <w:lang w:val="zh-CN"/>
        </w:rPr>
        <w:t>并与管护人员</w:t>
      </w:r>
      <w:r>
        <w:rPr>
          <w:rFonts w:hint="eastAsia" w:ascii="Times New Roman" w:hAnsi="Times New Roman" w:eastAsia="仿宋" w:cs="Times New Roman"/>
          <w:color w:val="auto"/>
          <w:szCs w:val="32"/>
          <w:highlight w:val="none"/>
          <w:lang w:val="zh-CN"/>
        </w:rPr>
        <w:t>签订了管护合同，明确了管护责任、范围、质量要求等，并进行了检查和考核。</w:t>
      </w:r>
    </w:p>
    <w:p>
      <w:pPr>
        <w:spacing w:line="600" w:lineRule="exact"/>
        <w:ind w:firstLine="640" w:firstLineChars="200"/>
        <w:rPr>
          <w:rFonts w:hint="eastAsia" w:ascii="Times New Roman" w:hAnsi="Times New Roman" w:eastAsia="仿宋" w:cs="Times New Roman"/>
          <w:color w:val="auto"/>
          <w:szCs w:val="32"/>
          <w:highlight w:val="none"/>
          <w:lang w:val="zh-CN"/>
        </w:rPr>
      </w:pPr>
      <w:r>
        <w:rPr>
          <w:rFonts w:hint="eastAsia" w:ascii="Times New Roman" w:hAnsi="Times New Roman" w:eastAsia="仿宋" w:cs="Times New Roman"/>
          <w:color w:val="auto"/>
          <w:szCs w:val="32"/>
          <w:highlight w:val="none"/>
          <w:lang w:val="zh-CN"/>
        </w:rPr>
        <w:t>此项目为民生项目，</w:t>
      </w:r>
      <w:r>
        <w:rPr>
          <w:rFonts w:hint="eastAsia" w:eastAsia="仿宋" w:cs="Times New Roman"/>
          <w:color w:val="auto"/>
          <w:szCs w:val="32"/>
          <w:highlight w:val="none"/>
          <w:lang w:val="zh-CN"/>
        </w:rPr>
        <w:t>不需</w:t>
      </w:r>
      <w:r>
        <w:rPr>
          <w:rFonts w:hint="eastAsia" w:ascii="Times New Roman" w:hAnsi="Times New Roman" w:eastAsia="仿宋" w:cs="Times New Roman"/>
          <w:color w:val="auto"/>
          <w:szCs w:val="32"/>
          <w:highlight w:val="none"/>
          <w:lang w:val="zh-CN"/>
        </w:rPr>
        <w:t>招投标</w:t>
      </w:r>
      <w:r>
        <w:rPr>
          <w:rFonts w:hint="eastAsia" w:eastAsia="仿宋" w:cs="Times New Roman"/>
          <w:color w:val="auto"/>
          <w:szCs w:val="32"/>
          <w:highlight w:val="none"/>
          <w:lang w:val="zh-CN"/>
        </w:rPr>
        <w:t>等</w:t>
      </w:r>
      <w:r>
        <w:rPr>
          <w:rFonts w:hint="eastAsia" w:ascii="Times New Roman" w:hAnsi="Times New Roman" w:eastAsia="仿宋" w:cs="Times New Roman"/>
          <w:color w:val="auto"/>
          <w:szCs w:val="32"/>
          <w:highlight w:val="none"/>
          <w:lang w:val="zh-CN"/>
        </w:rPr>
        <w:t>政府采购等相关规定，但</w:t>
      </w:r>
      <w:r>
        <w:rPr>
          <w:rFonts w:hint="eastAsia" w:eastAsia="仿宋" w:cs="Times New Roman"/>
          <w:color w:val="auto"/>
          <w:szCs w:val="32"/>
          <w:highlight w:val="none"/>
          <w:lang w:val="zh-CN"/>
        </w:rPr>
        <w:t>发放</w:t>
      </w:r>
      <w:r>
        <w:rPr>
          <w:rFonts w:hint="eastAsia" w:ascii="Times New Roman" w:hAnsi="Times New Roman" w:eastAsia="仿宋" w:cs="Times New Roman"/>
          <w:color w:val="auto"/>
          <w:szCs w:val="32"/>
          <w:highlight w:val="none"/>
          <w:lang w:val="zh-CN"/>
        </w:rPr>
        <w:t>需公示7天，</w:t>
      </w:r>
      <w:r>
        <w:rPr>
          <w:rFonts w:hint="eastAsia" w:eastAsia="仿宋"/>
          <w:color w:val="auto"/>
          <w:szCs w:val="32"/>
          <w:highlight w:val="none"/>
          <w:lang w:eastAsia="zh-CN"/>
        </w:rPr>
        <w:t>仁和</w:t>
      </w:r>
      <w:r>
        <w:rPr>
          <w:rFonts w:hint="eastAsia" w:ascii="Times New Roman" w:hAnsi="Times New Roman" w:eastAsia="仿宋" w:cs="Times New Roman"/>
          <w:color w:val="auto"/>
          <w:szCs w:val="32"/>
          <w:highlight w:val="none"/>
          <w:lang w:val="zh-CN"/>
        </w:rPr>
        <w:t>区林业局严格按管护质量要求和资金管理办法执行。</w:t>
      </w:r>
    </w:p>
    <w:p>
      <w:pPr>
        <w:spacing w:line="600" w:lineRule="exact"/>
        <w:ind w:firstLine="640" w:firstLineChars="200"/>
        <w:rPr>
          <w:rFonts w:hint="eastAsia" w:ascii="Times New Roman" w:hAnsi="Times New Roman" w:eastAsia="仿宋" w:cs="Times New Roman"/>
          <w:color w:val="auto"/>
          <w:szCs w:val="32"/>
          <w:highlight w:val="none"/>
          <w:lang w:val="zh-CN"/>
        </w:rPr>
      </w:pPr>
      <w:r>
        <w:rPr>
          <w:rFonts w:hint="eastAsia" w:ascii="Times New Roman" w:hAnsi="Times New Roman" w:eastAsia="仿宋" w:cs="Times New Roman"/>
          <w:color w:val="auto"/>
          <w:szCs w:val="32"/>
          <w:highlight w:val="none"/>
          <w:lang w:val="zh-CN"/>
        </w:rPr>
        <w:t>根据</w:t>
      </w:r>
      <w:r>
        <w:rPr>
          <w:rFonts w:hint="eastAsia" w:eastAsia="仿宋" w:cs="Times New Roman"/>
          <w:color w:val="auto"/>
          <w:szCs w:val="32"/>
          <w:highlight w:val="none"/>
          <w:lang w:val="zh-CN"/>
        </w:rPr>
        <w:t>攀枝花市财政局</w:t>
      </w:r>
      <w:r>
        <w:rPr>
          <w:rFonts w:hint="eastAsia" w:ascii="Times New Roman" w:hAnsi="Times New Roman" w:eastAsia="仿宋" w:cs="Times New Roman"/>
          <w:color w:val="auto"/>
          <w:szCs w:val="32"/>
          <w:highlight w:val="none"/>
          <w:lang w:val="zh-CN"/>
        </w:rPr>
        <w:t>《关于下达2022年中央财政林业改革发展资金预算的通知》（攀财资环资〔2022〕26号）文件</w:t>
      </w:r>
      <w:r>
        <w:rPr>
          <w:rFonts w:hint="eastAsia" w:eastAsia="仿宋" w:cs="Times New Roman"/>
          <w:color w:val="auto"/>
          <w:szCs w:val="32"/>
          <w:highlight w:val="none"/>
          <w:lang w:val="zh-CN"/>
        </w:rPr>
        <w:t>精神，</w:t>
      </w:r>
      <w:r>
        <w:rPr>
          <w:rFonts w:hint="eastAsia" w:ascii="Times New Roman" w:hAnsi="Times New Roman" w:eastAsia="仿宋" w:cs="Times New Roman"/>
          <w:color w:val="auto"/>
          <w:szCs w:val="32"/>
          <w:highlight w:val="none"/>
          <w:lang w:val="zh-CN"/>
        </w:rPr>
        <w:t>下达并到位</w:t>
      </w:r>
      <w:r>
        <w:rPr>
          <w:rFonts w:hint="eastAsia" w:eastAsia="仿宋" w:cs="Times New Roman"/>
          <w:color w:val="auto"/>
          <w:szCs w:val="32"/>
          <w:highlight w:val="none"/>
          <w:lang w:val="zh-CN"/>
        </w:rPr>
        <w:t>仁和区本项目</w:t>
      </w:r>
      <w:r>
        <w:rPr>
          <w:rFonts w:hint="eastAsia" w:ascii="Times New Roman" w:hAnsi="Times New Roman" w:eastAsia="仿宋" w:cs="Times New Roman"/>
          <w:color w:val="auto"/>
          <w:szCs w:val="32"/>
          <w:highlight w:val="none"/>
          <w:lang w:val="zh-CN"/>
        </w:rPr>
        <w:t>补助资金762.15万元。</w:t>
      </w:r>
    </w:p>
    <w:p>
      <w:pPr>
        <w:spacing w:line="600" w:lineRule="exact"/>
        <w:ind w:firstLine="640" w:firstLineChars="200"/>
        <w:rPr>
          <w:rFonts w:hint="eastAsia" w:ascii="Times New Roman" w:hAnsi="Times New Roman" w:eastAsia="仿宋" w:cs="Times New Roman"/>
          <w:color w:val="auto"/>
          <w:szCs w:val="32"/>
          <w:highlight w:val="none"/>
          <w:lang w:val="zh-CN"/>
        </w:rPr>
      </w:pPr>
      <w:r>
        <w:rPr>
          <w:rFonts w:hint="eastAsia" w:ascii="Times New Roman" w:hAnsi="Times New Roman" w:eastAsia="仿宋" w:cs="Times New Roman"/>
          <w:color w:val="auto"/>
          <w:szCs w:val="32"/>
          <w:highlight w:val="none"/>
          <w:lang w:val="zh-CN"/>
        </w:rPr>
        <w:t>非国有天然商品林停伐管护补助财政补偿资金的补偿范围为非国有天然商品林停伐林地，停伐管护补助标准每亩14.9</w:t>
      </w:r>
      <w:r>
        <w:rPr>
          <w:rFonts w:hint="eastAsia" w:ascii="Times New Roman" w:hAnsi="Times New Roman" w:eastAsia="仿宋" w:cs="Times New Roman"/>
          <w:color w:val="auto"/>
          <w:szCs w:val="32"/>
          <w:highlight w:val="none"/>
          <w:lang w:val="en-US" w:eastAsia="zh-CN"/>
        </w:rPr>
        <w:t>0</w:t>
      </w:r>
      <w:r>
        <w:rPr>
          <w:rFonts w:hint="eastAsia" w:ascii="Times New Roman" w:hAnsi="Times New Roman" w:eastAsia="仿宋" w:cs="Times New Roman"/>
          <w:color w:val="auto"/>
          <w:szCs w:val="32"/>
          <w:highlight w:val="none"/>
          <w:lang w:val="zh-CN"/>
        </w:rPr>
        <w:t>元。仁和区2022年实际兑现非国有天然商品林停伐管护面积510</w:t>
      </w:r>
      <w:r>
        <w:rPr>
          <w:rFonts w:hint="eastAsia" w:ascii="Times New Roman" w:hAnsi="Times New Roman" w:eastAsia="仿宋" w:cs="Times New Roman"/>
          <w:color w:val="auto"/>
          <w:szCs w:val="32"/>
          <w:highlight w:val="none"/>
          <w:lang w:val="en-US" w:eastAsia="zh-CN"/>
        </w:rPr>
        <w:t>,</w:t>
      </w:r>
      <w:r>
        <w:rPr>
          <w:rFonts w:hint="eastAsia" w:ascii="Times New Roman" w:hAnsi="Times New Roman" w:eastAsia="仿宋" w:cs="Times New Roman"/>
          <w:color w:val="auto"/>
          <w:szCs w:val="32"/>
          <w:highlight w:val="none"/>
          <w:lang w:val="zh-CN"/>
        </w:rPr>
        <w:t>141</w:t>
      </w:r>
      <w:r>
        <w:rPr>
          <w:rFonts w:hint="eastAsia" w:ascii="Times New Roman" w:hAnsi="Times New Roman" w:eastAsia="仿宋" w:cs="Times New Roman"/>
          <w:color w:val="auto"/>
          <w:szCs w:val="32"/>
          <w:highlight w:val="none"/>
          <w:lang w:val="en-US" w:eastAsia="zh-CN"/>
        </w:rPr>
        <w:t>.00</w:t>
      </w:r>
      <w:r>
        <w:rPr>
          <w:rFonts w:hint="eastAsia" w:ascii="Times New Roman" w:hAnsi="Times New Roman" w:eastAsia="仿宋" w:cs="Times New Roman"/>
          <w:color w:val="auto"/>
          <w:szCs w:val="32"/>
          <w:highlight w:val="none"/>
          <w:lang w:val="zh-CN"/>
        </w:rPr>
        <w:t>亩，补助资金760.11万元，涉及14个乡镇，农户20406户，</w:t>
      </w:r>
      <w:r>
        <w:rPr>
          <w:rFonts w:hint="eastAsia" w:eastAsia="仿宋"/>
          <w:color w:val="auto"/>
          <w:szCs w:val="32"/>
          <w:highlight w:val="none"/>
          <w:lang w:eastAsia="zh-CN"/>
        </w:rPr>
        <w:t>仁和</w:t>
      </w:r>
      <w:r>
        <w:rPr>
          <w:rFonts w:hint="eastAsia" w:eastAsia="仿宋" w:cs="Times New Roman"/>
          <w:color w:val="auto"/>
          <w:szCs w:val="32"/>
          <w:highlight w:val="none"/>
          <w:lang w:val="zh-CN"/>
        </w:rPr>
        <w:t>区林业局</w:t>
      </w:r>
      <w:r>
        <w:rPr>
          <w:rFonts w:hint="eastAsia" w:ascii="Times New Roman" w:hAnsi="Times New Roman" w:eastAsia="仿宋" w:cs="Times New Roman"/>
          <w:color w:val="auto"/>
          <w:szCs w:val="32"/>
          <w:highlight w:val="none"/>
          <w:lang w:val="zh-CN"/>
        </w:rPr>
        <w:t>已通过“一卡通”惠民惠农阳光系统兑现给天然林林权权利人2040</w:t>
      </w:r>
      <w:r>
        <w:rPr>
          <w:rFonts w:hint="eastAsia" w:eastAsia="仿宋" w:cs="Times New Roman"/>
          <w:color w:val="auto"/>
          <w:szCs w:val="32"/>
          <w:highlight w:val="none"/>
          <w:lang w:val="en-US" w:eastAsia="zh-CN"/>
        </w:rPr>
        <w:t>5</w:t>
      </w:r>
      <w:r>
        <w:rPr>
          <w:rFonts w:hint="eastAsia" w:ascii="Times New Roman" w:hAnsi="Times New Roman" w:eastAsia="仿宋" w:cs="Times New Roman"/>
          <w:color w:val="auto"/>
          <w:szCs w:val="32"/>
          <w:highlight w:val="none"/>
          <w:lang w:val="zh-CN"/>
        </w:rPr>
        <w:t>户</w:t>
      </w:r>
      <w:r>
        <w:rPr>
          <w:rFonts w:hint="eastAsia" w:eastAsia="仿宋" w:cs="Times New Roman"/>
          <w:color w:val="auto"/>
          <w:szCs w:val="32"/>
          <w:highlight w:val="none"/>
          <w:lang w:val="zh-CN"/>
        </w:rPr>
        <w:t>，资金</w:t>
      </w:r>
      <w:r>
        <w:rPr>
          <w:rFonts w:hint="eastAsia" w:ascii="Times New Roman" w:hAnsi="Times New Roman" w:eastAsia="仿宋" w:cs="Times New Roman"/>
          <w:color w:val="auto"/>
          <w:szCs w:val="32"/>
          <w:highlight w:val="none"/>
          <w:lang w:val="zh-CN"/>
        </w:rPr>
        <w:t>兑现率</w:t>
      </w:r>
      <w:r>
        <w:rPr>
          <w:rFonts w:hint="eastAsia" w:ascii="Times New Roman" w:hAnsi="Times New Roman" w:eastAsia="仿宋" w:cs="Times New Roman"/>
          <w:color w:val="auto"/>
          <w:szCs w:val="32"/>
          <w:highlight w:val="none"/>
          <w:lang w:val="zh-CN" w:eastAsia="zh-CN"/>
        </w:rPr>
        <w:t>近</w:t>
      </w:r>
      <w:r>
        <w:rPr>
          <w:rFonts w:hint="eastAsia" w:ascii="Times New Roman" w:hAnsi="Times New Roman" w:eastAsia="仿宋" w:cs="Times New Roman"/>
          <w:color w:val="auto"/>
          <w:szCs w:val="32"/>
          <w:highlight w:val="none"/>
          <w:lang w:val="zh-CN"/>
        </w:rPr>
        <w:t>100%。</w:t>
      </w:r>
    </w:p>
    <w:p>
      <w:pPr>
        <w:spacing w:line="600" w:lineRule="exact"/>
        <w:ind w:firstLine="640" w:firstLineChars="200"/>
        <w:rPr>
          <w:rFonts w:hint="eastAsia" w:ascii="Times New Roman" w:hAnsi="Times New Roman" w:eastAsia="仿宋" w:cs="Times New Roman"/>
          <w:color w:val="auto"/>
          <w:szCs w:val="32"/>
          <w:highlight w:val="none"/>
          <w:lang w:val="zh-CN"/>
        </w:rPr>
      </w:pPr>
      <w:r>
        <w:rPr>
          <w:rFonts w:hint="eastAsia" w:eastAsia="仿宋" w:cs="Times New Roman"/>
          <w:color w:val="auto"/>
          <w:szCs w:val="32"/>
          <w:highlight w:val="none"/>
          <w:lang w:val="zh-CN"/>
        </w:rPr>
        <w:t>截止绩效评价日，存在</w:t>
      </w:r>
      <w:r>
        <w:rPr>
          <w:rFonts w:hint="eastAsia" w:ascii="Times New Roman" w:hAnsi="Times New Roman" w:eastAsia="仿宋" w:cs="Times New Roman"/>
          <w:color w:val="auto"/>
          <w:szCs w:val="32"/>
          <w:highlight w:val="none"/>
          <w:lang w:val="zh-CN"/>
        </w:rPr>
        <w:t>缓兑现1户</w:t>
      </w:r>
      <w:r>
        <w:rPr>
          <w:rFonts w:hint="eastAsia" w:eastAsia="仿宋" w:cs="Times New Roman"/>
          <w:color w:val="auto"/>
          <w:szCs w:val="32"/>
          <w:highlight w:val="none"/>
          <w:lang w:val="zh-CN"/>
        </w:rPr>
        <w:t>，系</w:t>
      </w:r>
      <w:r>
        <w:rPr>
          <w:rFonts w:hint="eastAsia" w:ascii="Times New Roman" w:hAnsi="Times New Roman" w:eastAsia="仿宋" w:cs="Times New Roman"/>
          <w:color w:val="auto"/>
          <w:szCs w:val="32"/>
          <w:highlight w:val="none"/>
          <w:lang w:val="zh-CN"/>
        </w:rPr>
        <w:t>该</w:t>
      </w:r>
      <w:r>
        <w:rPr>
          <w:rFonts w:hint="eastAsia" w:eastAsia="仿宋" w:cs="Times New Roman"/>
          <w:color w:val="auto"/>
          <w:szCs w:val="32"/>
          <w:highlight w:val="none"/>
          <w:lang w:val="zh-CN"/>
        </w:rPr>
        <w:t>农</w:t>
      </w:r>
      <w:r>
        <w:rPr>
          <w:rFonts w:hint="eastAsia" w:ascii="Times New Roman" w:hAnsi="Times New Roman" w:eastAsia="仿宋" w:cs="Times New Roman"/>
          <w:color w:val="auto"/>
          <w:szCs w:val="32"/>
          <w:highlight w:val="none"/>
          <w:lang w:val="zh-CN"/>
        </w:rPr>
        <w:t>户无四川省内社保卡，又不愿别人代领，缓兑现面积3.91亩，资金46.6</w:t>
      </w:r>
      <w:r>
        <w:rPr>
          <w:rFonts w:hint="eastAsia" w:ascii="Times New Roman" w:hAnsi="Times New Roman" w:eastAsia="仿宋" w:cs="Times New Roman"/>
          <w:color w:val="auto"/>
          <w:szCs w:val="32"/>
          <w:highlight w:val="none"/>
          <w:lang w:val="en-US" w:eastAsia="zh-CN"/>
        </w:rPr>
        <w:t>0</w:t>
      </w:r>
      <w:r>
        <w:rPr>
          <w:rFonts w:hint="eastAsia" w:ascii="Times New Roman" w:hAnsi="Times New Roman" w:eastAsia="仿宋" w:cs="Times New Roman"/>
          <w:color w:val="auto"/>
          <w:szCs w:val="32"/>
          <w:highlight w:val="none"/>
          <w:lang w:val="zh-CN"/>
        </w:rPr>
        <w:t>元。</w:t>
      </w:r>
    </w:p>
    <w:p>
      <w:pPr>
        <w:spacing w:line="600" w:lineRule="exact"/>
        <w:ind w:firstLine="640" w:firstLineChars="200"/>
        <w:rPr>
          <w:rFonts w:hint="eastAsia" w:ascii="Times New Roman" w:hAnsi="Times New Roman" w:eastAsia="仿宋" w:cs="Times New Roman"/>
          <w:color w:val="auto"/>
          <w:szCs w:val="32"/>
          <w:highlight w:val="none"/>
          <w:lang w:val="zh-CN"/>
        </w:rPr>
      </w:pPr>
      <w:r>
        <w:rPr>
          <w:rFonts w:hint="eastAsia" w:ascii="Times New Roman" w:hAnsi="Times New Roman" w:eastAsia="仿宋" w:cs="Times New Roman"/>
          <w:color w:val="auto"/>
          <w:szCs w:val="32"/>
          <w:highlight w:val="none"/>
          <w:lang w:val="zh-CN"/>
        </w:rPr>
        <w:t xml:space="preserve">（3）完成结果 </w:t>
      </w:r>
    </w:p>
    <w:p>
      <w:pPr>
        <w:spacing w:line="600" w:lineRule="exact"/>
        <w:ind w:firstLine="640" w:firstLineChars="200"/>
        <w:rPr>
          <w:rFonts w:hint="eastAsia" w:ascii="Times New Roman" w:hAnsi="Times New Roman" w:eastAsia="仿宋" w:cs="Times New Roman"/>
          <w:color w:val="auto"/>
          <w:szCs w:val="32"/>
          <w:highlight w:val="none"/>
          <w:lang w:val="zh-CN"/>
        </w:rPr>
      </w:pPr>
      <w:r>
        <w:rPr>
          <w:rFonts w:hint="eastAsia" w:eastAsia="仿宋" w:cs="Times New Roman"/>
          <w:color w:val="auto"/>
          <w:szCs w:val="32"/>
          <w:highlight w:val="none"/>
          <w:lang w:val="zh-CN"/>
        </w:rPr>
        <w:t>项目资金</w:t>
      </w:r>
      <w:r>
        <w:rPr>
          <w:rFonts w:hint="eastAsia" w:ascii="Times New Roman" w:hAnsi="Times New Roman" w:eastAsia="仿宋" w:cs="Times New Roman"/>
          <w:color w:val="auto"/>
          <w:szCs w:val="32"/>
          <w:highlight w:val="none"/>
          <w:lang w:val="zh-CN"/>
        </w:rPr>
        <w:t>通过“一卡通”</w:t>
      </w:r>
      <w:r>
        <w:rPr>
          <w:rFonts w:hint="eastAsia" w:eastAsia="仿宋" w:cs="Times New Roman"/>
          <w:color w:val="auto"/>
          <w:szCs w:val="32"/>
          <w:highlight w:val="none"/>
          <w:lang w:val="zh-CN"/>
        </w:rPr>
        <w:t>系统</w:t>
      </w:r>
      <w:r>
        <w:rPr>
          <w:rFonts w:hint="eastAsia" w:ascii="Times New Roman" w:hAnsi="Times New Roman" w:eastAsia="仿宋" w:cs="Times New Roman"/>
          <w:color w:val="auto"/>
          <w:szCs w:val="32"/>
          <w:highlight w:val="none"/>
          <w:lang w:val="zh-CN"/>
        </w:rPr>
        <w:t>发放平台进行监管</w:t>
      </w:r>
      <w:r>
        <w:rPr>
          <w:rFonts w:hint="eastAsia" w:eastAsia="仿宋" w:cs="Times New Roman"/>
          <w:color w:val="auto"/>
          <w:szCs w:val="32"/>
          <w:highlight w:val="none"/>
          <w:lang w:val="zh-CN"/>
        </w:rPr>
        <w:t>发放</w:t>
      </w:r>
      <w:r>
        <w:rPr>
          <w:rFonts w:hint="eastAsia" w:ascii="Times New Roman" w:hAnsi="Times New Roman" w:eastAsia="仿宋" w:cs="Times New Roman"/>
          <w:color w:val="auto"/>
          <w:szCs w:val="32"/>
          <w:highlight w:val="none"/>
          <w:lang w:val="zh-CN"/>
        </w:rPr>
        <w:t>。</w:t>
      </w:r>
    </w:p>
    <w:p>
      <w:pPr>
        <w:spacing w:line="600" w:lineRule="exact"/>
        <w:ind w:firstLine="640" w:firstLineChars="200"/>
        <w:rPr>
          <w:rFonts w:hint="eastAsia" w:ascii="Times New Roman" w:hAnsi="Times New Roman" w:eastAsia="仿宋" w:cs="Times New Roman"/>
          <w:color w:val="auto"/>
          <w:szCs w:val="32"/>
          <w:highlight w:val="none"/>
          <w:lang w:val="zh-CN"/>
        </w:rPr>
      </w:pPr>
      <w:r>
        <w:rPr>
          <w:rFonts w:hint="eastAsia" w:eastAsia="仿宋"/>
          <w:color w:val="auto"/>
          <w:szCs w:val="32"/>
          <w:highlight w:val="none"/>
          <w:lang w:eastAsia="zh-CN"/>
        </w:rPr>
        <w:t>仁和</w:t>
      </w:r>
      <w:r>
        <w:rPr>
          <w:rFonts w:hint="eastAsia" w:eastAsia="仿宋" w:cs="Times New Roman"/>
          <w:color w:val="auto"/>
          <w:szCs w:val="32"/>
          <w:highlight w:val="none"/>
          <w:lang w:val="zh-CN"/>
        </w:rPr>
        <w:t>区林业局</w:t>
      </w:r>
      <w:r>
        <w:rPr>
          <w:rFonts w:hint="eastAsia" w:ascii="Times New Roman" w:hAnsi="Times New Roman" w:eastAsia="仿宋" w:cs="Times New Roman"/>
          <w:color w:val="auto"/>
          <w:szCs w:val="32"/>
          <w:highlight w:val="none"/>
          <w:lang w:val="zh-CN"/>
        </w:rPr>
        <w:t>对管护工作采</w:t>
      </w:r>
      <w:r>
        <w:rPr>
          <w:rFonts w:hint="eastAsia" w:eastAsia="仿宋" w:cs="Times New Roman"/>
          <w:color w:val="auto"/>
          <w:szCs w:val="32"/>
          <w:highlight w:val="none"/>
          <w:lang w:val="zh-CN"/>
        </w:rPr>
        <w:t>取</w:t>
      </w:r>
      <w:r>
        <w:rPr>
          <w:rFonts w:hint="eastAsia" w:ascii="Times New Roman" w:hAnsi="Times New Roman" w:eastAsia="仿宋" w:cs="Times New Roman"/>
          <w:color w:val="auto"/>
          <w:szCs w:val="32"/>
          <w:highlight w:val="none"/>
          <w:lang w:val="zh-CN"/>
        </w:rPr>
        <w:t>随机抽查和年终考核进行监管。未发生管护不力、应发未发、虚报冒领等现象。</w:t>
      </w:r>
    </w:p>
    <w:p>
      <w:pPr>
        <w:spacing w:line="600" w:lineRule="exact"/>
        <w:ind w:firstLine="640" w:firstLineChars="200"/>
        <w:rPr>
          <w:rFonts w:hint="eastAsia" w:ascii="Times New Roman" w:hAnsi="Times New Roman" w:eastAsia="仿宋" w:cs="Times New Roman"/>
          <w:color w:val="auto"/>
          <w:szCs w:val="32"/>
          <w:highlight w:val="none"/>
          <w:lang w:val="zh-CN"/>
        </w:rPr>
      </w:pPr>
      <w:r>
        <w:rPr>
          <w:rFonts w:hint="eastAsia" w:eastAsia="仿宋" w:cs="Times New Roman"/>
          <w:color w:val="auto"/>
          <w:szCs w:val="32"/>
          <w:highlight w:val="none"/>
          <w:lang w:val="zh-CN"/>
        </w:rPr>
        <w:t>有效地</w:t>
      </w:r>
      <w:r>
        <w:rPr>
          <w:rFonts w:hint="eastAsia" w:ascii="Times New Roman" w:hAnsi="Times New Roman" w:eastAsia="仿宋" w:cs="Times New Roman"/>
          <w:color w:val="auto"/>
          <w:szCs w:val="32"/>
          <w:highlight w:val="none"/>
          <w:lang w:val="zh-CN"/>
        </w:rPr>
        <w:t>对仁和区非国有天然商品林510</w:t>
      </w:r>
      <w:r>
        <w:rPr>
          <w:rFonts w:hint="eastAsia" w:ascii="Times New Roman" w:hAnsi="Times New Roman" w:eastAsia="仿宋" w:cs="Times New Roman"/>
          <w:color w:val="auto"/>
          <w:szCs w:val="32"/>
          <w:highlight w:val="none"/>
          <w:lang w:val="en-US" w:eastAsia="zh-CN"/>
        </w:rPr>
        <w:t>,</w:t>
      </w:r>
      <w:r>
        <w:rPr>
          <w:rFonts w:hint="eastAsia" w:ascii="Times New Roman" w:hAnsi="Times New Roman" w:eastAsia="仿宋" w:cs="Times New Roman"/>
          <w:color w:val="auto"/>
          <w:szCs w:val="32"/>
          <w:highlight w:val="none"/>
          <w:lang w:val="zh-CN"/>
        </w:rPr>
        <w:t>141</w:t>
      </w:r>
      <w:r>
        <w:rPr>
          <w:rFonts w:hint="eastAsia" w:ascii="Times New Roman" w:hAnsi="Times New Roman" w:eastAsia="仿宋" w:cs="Times New Roman"/>
          <w:color w:val="auto"/>
          <w:szCs w:val="32"/>
          <w:highlight w:val="none"/>
          <w:lang w:val="en-US" w:eastAsia="zh-CN"/>
        </w:rPr>
        <w:t>.00</w:t>
      </w:r>
      <w:r>
        <w:rPr>
          <w:rFonts w:hint="eastAsia" w:ascii="Times New Roman" w:hAnsi="Times New Roman" w:eastAsia="仿宋" w:cs="Times New Roman"/>
          <w:color w:val="auto"/>
          <w:szCs w:val="32"/>
          <w:highlight w:val="none"/>
          <w:lang w:val="zh-CN"/>
        </w:rPr>
        <w:t>亩进行</w:t>
      </w:r>
      <w:r>
        <w:rPr>
          <w:rFonts w:hint="eastAsia" w:eastAsia="仿宋" w:cs="Times New Roman"/>
          <w:color w:val="auto"/>
          <w:szCs w:val="32"/>
          <w:highlight w:val="none"/>
          <w:lang w:val="zh-CN"/>
        </w:rPr>
        <w:t>了</w:t>
      </w:r>
      <w:r>
        <w:rPr>
          <w:rFonts w:hint="eastAsia" w:ascii="Times New Roman" w:hAnsi="Times New Roman" w:eastAsia="仿宋" w:cs="Times New Roman"/>
          <w:color w:val="auto"/>
          <w:szCs w:val="32"/>
          <w:highlight w:val="none"/>
          <w:lang w:val="zh-CN"/>
        </w:rPr>
        <w:t>管护，落实集体公益林管护人员193人，明确了管护责任、范围、质量要求等，并进行了检查和考核。</w:t>
      </w:r>
    </w:p>
    <w:p>
      <w:pPr>
        <w:spacing w:line="600" w:lineRule="exact"/>
        <w:ind w:firstLine="640" w:firstLineChars="200"/>
        <w:rPr>
          <w:rFonts w:hint="eastAsia" w:ascii="Times New Roman" w:hAnsi="Times New Roman" w:eastAsia="仿宋" w:cs="Times New Roman"/>
          <w:color w:val="auto"/>
          <w:szCs w:val="32"/>
          <w:highlight w:val="none"/>
          <w:lang w:val="zh-CN"/>
        </w:rPr>
      </w:pPr>
      <w:r>
        <w:rPr>
          <w:rFonts w:hint="eastAsia" w:eastAsia="仿宋" w:cs="Times New Roman"/>
          <w:color w:val="auto"/>
          <w:szCs w:val="32"/>
          <w:highlight w:val="none"/>
          <w:lang w:val="zh-CN"/>
        </w:rPr>
        <w:t>通过项目的实施，</w:t>
      </w:r>
      <w:r>
        <w:rPr>
          <w:rFonts w:hint="eastAsia" w:ascii="Times New Roman" w:hAnsi="Times New Roman" w:eastAsia="仿宋" w:cs="Times New Roman"/>
          <w:color w:val="auto"/>
          <w:szCs w:val="32"/>
          <w:highlight w:val="none"/>
          <w:lang w:val="zh-CN"/>
        </w:rPr>
        <w:t>非国有天然商品林生态得到保护，激发群众爱林护林的积极性。保障了林农收益。</w:t>
      </w:r>
    </w:p>
    <w:p>
      <w:pPr>
        <w:spacing w:line="600" w:lineRule="exact"/>
        <w:ind w:firstLine="640" w:firstLineChars="200"/>
        <w:rPr>
          <w:rFonts w:hint="eastAsia" w:ascii="Times New Roman" w:hAnsi="Times New Roman" w:eastAsia="仿宋" w:cs="Times New Roman"/>
          <w:color w:val="auto"/>
          <w:szCs w:val="32"/>
          <w:highlight w:val="none"/>
          <w:lang w:val="zh-CN"/>
        </w:rPr>
      </w:pPr>
      <w:r>
        <w:rPr>
          <w:rFonts w:hint="eastAsia" w:eastAsia="仿宋" w:cs="Times New Roman"/>
          <w:color w:val="auto"/>
          <w:szCs w:val="32"/>
          <w:highlight w:val="none"/>
          <w:lang w:val="en-US" w:eastAsia="zh-CN"/>
        </w:rPr>
        <w:t>实现了2022年仁和区</w:t>
      </w:r>
      <w:r>
        <w:rPr>
          <w:rFonts w:hint="eastAsia" w:ascii="Times New Roman" w:hAnsi="Times New Roman" w:eastAsia="仿宋" w:cs="Times New Roman"/>
          <w:color w:val="auto"/>
          <w:szCs w:val="32"/>
          <w:highlight w:val="none"/>
          <w:lang w:val="zh-CN"/>
        </w:rPr>
        <w:t>非国有天然商品林范围无森林火灾发生</w:t>
      </w:r>
      <w:r>
        <w:rPr>
          <w:rFonts w:hint="eastAsia" w:eastAsia="仿宋" w:cs="Times New Roman"/>
          <w:color w:val="auto"/>
          <w:szCs w:val="32"/>
          <w:highlight w:val="none"/>
          <w:lang w:val="zh-CN"/>
        </w:rPr>
        <w:t>的目标</w:t>
      </w:r>
      <w:r>
        <w:rPr>
          <w:rFonts w:hint="eastAsia" w:ascii="Times New Roman" w:hAnsi="Times New Roman" w:eastAsia="仿宋" w:cs="Times New Roman"/>
          <w:color w:val="auto"/>
          <w:szCs w:val="32"/>
          <w:highlight w:val="none"/>
          <w:lang w:val="zh-CN"/>
        </w:rPr>
        <w:t>。</w:t>
      </w:r>
    </w:p>
    <w:p>
      <w:pPr>
        <w:adjustRightInd w:val="0"/>
        <w:snapToGrid w:val="0"/>
        <w:spacing w:line="600" w:lineRule="exact"/>
        <w:ind w:right="22" w:rightChars="7" w:firstLine="630" w:firstLineChars="196"/>
        <w:outlineLvl w:val="1"/>
        <w:rPr>
          <w:rFonts w:hint="eastAsia" w:ascii="楷体" w:hAnsi="楷体" w:eastAsia="楷体" w:cs="楷体"/>
          <w:b/>
          <w:color w:val="auto"/>
          <w:szCs w:val="32"/>
          <w:highlight w:val="none"/>
          <w:lang w:val="zh-CN"/>
        </w:rPr>
      </w:pPr>
      <w:bookmarkStart w:id="94" w:name="_Toc17532"/>
      <w:bookmarkStart w:id="95" w:name="_Toc22042"/>
      <w:bookmarkStart w:id="96" w:name="_Toc19965"/>
      <w:bookmarkStart w:id="97" w:name="_Toc9783"/>
      <w:r>
        <w:rPr>
          <w:rFonts w:hint="eastAsia" w:ascii="楷体" w:hAnsi="楷体" w:eastAsia="楷体" w:cs="楷体"/>
          <w:b/>
          <w:color w:val="auto"/>
          <w:szCs w:val="32"/>
          <w:highlight w:val="none"/>
          <w:lang w:val="zh-CN"/>
        </w:rPr>
        <w:t>（三）单位自评绩效结果应用情况</w:t>
      </w:r>
      <w:bookmarkEnd w:id="94"/>
      <w:bookmarkEnd w:id="95"/>
      <w:bookmarkEnd w:id="96"/>
      <w:bookmarkEnd w:id="97"/>
    </w:p>
    <w:p>
      <w:pPr>
        <w:autoSpaceDE w:val="0"/>
        <w:autoSpaceDN w:val="0"/>
        <w:adjustRightInd w:val="0"/>
        <w:spacing w:line="600" w:lineRule="exact"/>
        <w:ind w:firstLine="640" w:firstLineChars="200"/>
        <w:jc w:val="left"/>
        <w:outlineLvl w:val="2"/>
        <w:rPr>
          <w:rFonts w:hint="eastAsia" w:eastAsia="仿宋"/>
          <w:color w:val="auto"/>
          <w:kern w:val="0"/>
          <w:szCs w:val="32"/>
          <w:highlight w:val="none"/>
          <w:lang w:bidi="ar"/>
        </w:rPr>
      </w:pPr>
      <w:r>
        <w:rPr>
          <w:rFonts w:hint="eastAsia" w:eastAsia="仿宋"/>
          <w:color w:val="auto"/>
          <w:kern w:val="0"/>
          <w:szCs w:val="32"/>
          <w:highlight w:val="none"/>
          <w:lang w:bidi="ar"/>
        </w:rPr>
        <w:t>1.自评质量</w:t>
      </w:r>
    </w:p>
    <w:p>
      <w:pPr>
        <w:spacing w:line="600" w:lineRule="exact"/>
        <w:ind w:firstLine="640" w:firstLineChars="200"/>
        <w:rPr>
          <w:rFonts w:hint="eastAsia" w:eastAsia="仿宋"/>
          <w:color w:val="auto"/>
          <w:kern w:val="0"/>
          <w:szCs w:val="32"/>
          <w:highlight w:val="none"/>
          <w:lang w:bidi="ar"/>
        </w:rPr>
      </w:pPr>
      <w:r>
        <w:rPr>
          <w:rFonts w:hint="eastAsia" w:ascii="Times New Roman" w:hAnsi="Times New Roman" w:eastAsia="仿宋" w:cs="Times New Roman"/>
          <w:color w:val="auto"/>
          <w:szCs w:val="32"/>
          <w:highlight w:val="none"/>
          <w:lang w:val="zh-CN" w:eastAsia="zh-CN"/>
        </w:rPr>
        <w:t>仁和区林业局</w:t>
      </w:r>
      <w:r>
        <w:rPr>
          <w:rFonts w:hint="eastAsia" w:eastAsia="仿宋"/>
          <w:color w:val="auto"/>
          <w:kern w:val="0"/>
          <w:szCs w:val="32"/>
          <w:highlight w:val="none"/>
          <w:lang w:bidi="ar"/>
        </w:rPr>
        <w:t>2022年度部门绩效自评</w:t>
      </w:r>
      <w:r>
        <w:rPr>
          <w:rFonts w:hint="eastAsia" w:eastAsia="仿宋"/>
          <w:color w:val="auto"/>
          <w:kern w:val="0"/>
          <w:szCs w:val="32"/>
          <w:highlight w:val="none"/>
          <w:lang w:eastAsia="zh-CN" w:bidi="ar"/>
        </w:rPr>
        <w:t>工作，</w:t>
      </w:r>
      <w:r>
        <w:rPr>
          <w:rFonts w:hint="eastAsia" w:eastAsia="仿宋"/>
          <w:color w:val="auto"/>
          <w:kern w:val="0"/>
          <w:szCs w:val="32"/>
          <w:highlight w:val="none"/>
          <w:lang w:bidi="ar"/>
        </w:rPr>
        <w:t>较好地按</w:t>
      </w:r>
      <w:r>
        <w:rPr>
          <w:rFonts w:hint="eastAsia" w:eastAsia="仿宋"/>
          <w:color w:val="auto"/>
          <w:kern w:val="0"/>
          <w:szCs w:val="32"/>
          <w:highlight w:val="none"/>
          <w:lang w:eastAsia="zh-CN" w:bidi="ar"/>
        </w:rPr>
        <w:t>照</w:t>
      </w:r>
      <w:r>
        <w:rPr>
          <w:rFonts w:hint="default" w:ascii="Times New Roman" w:hAnsi="Times New Roman" w:eastAsia="仿宋" w:cs="Times New Roman"/>
          <w:color w:val="auto"/>
          <w:szCs w:val="32"/>
          <w:highlight w:val="none"/>
        </w:rPr>
        <w:t>攀枝花市仁和区财政局</w:t>
      </w:r>
      <w:r>
        <w:rPr>
          <w:rFonts w:hint="eastAsia" w:eastAsia="仿宋" w:cs="Times New Roman"/>
          <w:color w:val="auto"/>
          <w:szCs w:val="32"/>
          <w:highlight w:val="none"/>
          <w:lang w:eastAsia="zh-CN"/>
        </w:rPr>
        <w:t>《</w:t>
      </w:r>
      <w:r>
        <w:rPr>
          <w:rFonts w:hint="default" w:ascii="Times New Roman" w:hAnsi="Times New Roman" w:eastAsia="仿宋" w:cs="Times New Roman"/>
          <w:color w:val="auto"/>
          <w:szCs w:val="32"/>
          <w:highlight w:val="none"/>
        </w:rPr>
        <w:t>关于开展2022年度绩效自评工作的通知</w:t>
      </w:r>
      <w:r>
        <w:rPr>
          <w:rFonts w:hint="eastAsia" w:eastAsia="仿宋" w:cs="Times New Roman"/>
          <w:color w:val="auto"/>
          <w:szCs w:val="32"/>
          <w:highlight w:val="none"/>
          <w:lang w:eastAsia="zh-CN"/>
        </w:rPr>
        <w:t>》（</w:t>
      </w:r>
      <w:r>
        <w:rPr>
          <w:rFonts w:hint="eastAsia" w:ascii="Times New Roman" w:hAnsi="Times New Roman" w:eastAsia="仿宋" w:cs="Times New Roman"/>
          <w:color w:val="auto"/>
          <w:szCs w:val="32"/>
          <w:highlight w:val="none"/>
        </w:rPr>
        <w:t>攀仁财〔202</w:t>
      </w:r>
      <w:r>
        <w:rPr>
          <w:rFonts w:hint="eastAsia" w:ascii="Times New Roman" w:hAnsi="Times New Roman" w:eastAsia="仿宋" w:cs="Times New Roman"/>
          <w:color w:val="auto"/>
          <w:szCs w:val="32"/>
          <w:highlight w:val="none"/>
          <w:lang w:val="en-US" w:eastAsia="zh-CN"/>
        </w:rPr>
        <w:t>3</w:t>
      </w:r>
      <w:r>
        <w:rPr>
          <w:rFonts w:hint="eastAsia" w:ascii="Times New Roman" w:hAnsi="Times New Roman" w:eastAsia="仿宋" w:cs="Times New Roman"/>
          <w:color w:val="auto"/>
          <w:szCs w:val="32"/>
          <w:highlight w:val="none"/>
        </w:rPr>
        <w:t>〕</w:t>
      </w:r>
      <w:r>
        <w:rPr>
          <w:rFonts w:hint="eastAsia" w:ascii="Times New Roman" w:hAnsi="Times New Roman" w:eastAsia="仿宋" w:cs="Times New Roman"/>
          <w:color w:val="auto"/>
          <w:szCs w:val="32"/>
          <w:highlight w:val="none"/>
          <w:lang w:val="en-US" w:eastAsia="zh-CN"/>
        </w:rPr>
        <w:t>29</w:t>
      </w:r>
      <w:r>
        <w:rPr>
          <w:rFonts w:hint="eastAsia" w:ascii="Times New Roman" w:hAnsi="Times New Roman" w:eastAsia="仿宋" w:cs="Times New Roman"/>
          <w:color w:val="auto"/>
          <w:szCs w:val="32"/>
          <w:highlight w:val="none"/>
        </w:rPr>
        <w:t>号</w:t>
      </w:r>
      <w:r>
        <w:rPr>
          <w:rFonts w:hint="eastAsia" w:eastAsia="仿宋" w:cs="Times New Roman"/>
          <w:color w:val="auto"/>
          <w:szCs w:val="32"/>
          <w:highlight w:val="none"/>
          <w:lang w:eastAsia="zh-CN"/>
        </w:rPr>
        <w:t>）</w:t>
      </w:r>
      <w:r>
        <w:rPr>
          <w:rFonts w:hint="eastAsia" w:eastAsia="仿宋"/>
          <w:color w:val="auto"/>
          <w:kern w:val="0"/>
          <w:szCs w:val="32"/>
          <w:highlight w:val="none"/>
          <w:lang w:bidi="ar"/>
        </w:rPr>
        <w:t>规定执行。绩效自评</w:t>
      </w:r>
      <w:r>
        <w:rPr>
          <w:rFonts w:hint="eastAsia" w:eastAsia="仿宋"/>
          <w:color w:val="auto"/>
          <w:kern w:val="0"/>
          <w:szCs w:val="32"/>
          <w:highlight w:val="none"/>
          <w:lang w:eastAsia="zh-CN" w:bidi="ar"/>
        </w:rPr>
        <w:t>报告</w:t>
      </w:r>
      <w:r>
        <w:rPr>
          <w:rFonts w:hint="eastAsia" w:eastAsia="仿宋"/>
          <w:color w:val="auto"/>
          <w:kern w:val="0"/>
          <w:szCs w:val="32"/>
          <w:highlight w:val="none"/>
          <w:lang w:bidi="ar"/>
        </w:rPr>
        <w:t>内容</w:t>
      </w:r>
      <w:r>
        <w:rPr>
          <w:rFonts w:hint="eastAsia" w:eastAsia="仿宋"/>
          <w:color w:val="auto"/>
          <w:kern w:val="0"/>
          <w:szCs w:val="32"/>
          <w:highlight w:val="none"/>
          <w:lang w:eastAsia="zh-CN" w:bidi="ar"/>
        </w:rPr>
        <w:t>较为全面</w:t>
      </w:r>
      <w:r>
        <w:rPr>
          <w:rFonts w:hint="eastAsia" w:eastAsia="仿宋"/>
          <w:color w:val="auto"/>
          <w:kern w:val="0"/>
          <w:szCs w:val="32"/>
          <w:highlight w:val="none"/>
          <w:lang w:bidi="ar"/>
        </w:rPr>
        <w:t>，格式</w:t>
      </w:r>
      <w:r>
        <w:rPr>
          <w:rFonts w:hint="eastAsia" w:eastAsia="仿宋"/>
          <w:color w:val="auto"/>
          <w:kern w:val="0"/>
          <w:szCs w:val="32"/>
          <w:highlight w:val="none"/>
          <w:lang w:eastAsia="zh-CN" w:bidi="ar"/>
        </w:rPr>
        <w:t>符合区财政要求</w:t>
      </w:r>
      <w:r>
        <w:rPr>
          <w:rFonts w:hint="eastAsia" w:eastAsia="仿宋"/>
          <w:color w:val="auto"/>
          <w:kern w:val="0"/>
          <w:szCs w:val="32"/>
          <w:highlight w:val="none"/>
          <w:lang w:bidi="ar"/>
        </w:rPr>
        <w:t>，评价结论</w:t>
      </w:r>
      <w:r>
        <w:rPr>
          <w:rFonts w:hint="eastAsia" w:eastAsia="仿宋"/>
          <w:color w:val="auto"/>
          <w:kern w:val="0"/>
          <w:szCs w:val="32"/>
          <w:highlight w:val="none"/>
          <w:lang w:eastAsia="zh-CN" w:bidi="ar"/>
        </w:rPr>
        <w:t>较</w:t>
      </w:r>
      <w:r>
        <w:rPr>
          <w:rFonts w:hint="eastAsia" w:eastAsia="仿宋"/>
          <w:color w:val="auto"/>
          <w:kern w:val="0"/>
          <w:szCs w:val="32"/>
          <w:highlight w:val="none"/>
          <w:lang w:bidi="ar"/>
        </w:rPr>
        <w:t>准确。</w:t>
      </w:r>
    </w:p>
    <w:p>
      <w:pPr>
        <w:spacing w:line="600" w:lineRule="exact"/>
        <w:ind w:firstLine="640" w:firstLineChars="200"/>
        <w:rPr>
          <w:rFonts w:hint="eastAsia" w:ascii="Times New Roman" w:hAnsi="Times New Roman" w:eastAsia="仿宋" w:cs="Times New Roman"/>
          <w:color w:val="auto"/>
          <w:szCs w:val="32"/>
          <w:highlight w:val="none"/>
          <w:lang w:val="zh-CN"/>
        </w:rPr>
      </w:pPr>
      <w:r>
        <w:rPr>
          <w:rFonts w:hint="eastAsia" w:ascii="Times New Roman" w:hAnsi="Times New Roman" w:eastAsia="仿宋" w:cs="Times New Roman"/>
          <w:color w:val="auto"/>
          <w:szCs w:val="32"/>
          <w:highlight w:val="none"/>
          <w:lang w:val="zh-CN"/>
        </w:rPr>
        <w:t>2022年整体财政预算资金保障率为100%，保障了机关工作人员的日常工作及生活要求，及时</w:t>
      </w:r>
      <w:r>
        <w:rPr>
          <w:rFonts w:hint="eastAsia" w:eastAsia="仿宋" w:cs="Times New Roman"/>
          <w:color w:val="auto"/>
          <w:szCs w:val="32"/>
          <w:highlight w:val="none"/>
          <w:lang w:val="zh-CN"/>
        </w:rPr>
        <w:t>仁和辖区内</w:t>
      </w:r>
      <w:r>
        <w:rPr>
          <w:rFonts w:hint="eastAsia" w:ascii="Times New Roman" w:hAnsi="Times New Roman" w:eastAsia="仿宋" w:cs="Times New Roman"/>
          <w:color w:val="auto"/>
          <w:szCs w:val="32"/>
          <w:highlight w:val="none"/>
          <w:lang w:val="zh-CN"/>
        </w:rPr>
        <w:t>人民群众对林业事业的意见和建议，建设和发展仁和区林业事业，有效保护仁和区现有森林资源，确保不发生重大灾害事故。</w:t>
      </w:r>
    </w:p>
    <w:p>
      <w:pPr>
        <w:autoSpaceDE w:val="0"/>
        <w:autoSpaceDN w:val="0"/>
        <w:adjustRightInd w:val="0"/>
        <w:spacing w:line="600" w:lineRule="exact"/>
        <w:ind w:firstLine="640" w:firstLineChars="200"/>
        <w:jc w:val="left"/>
        <w:outlineLvl w:val="2"/>
        <w:rPr>
          <w:rFonts w:hint="eastAsia" w:eastAsia="仿宋"/>
          <w:color w:val="auto"/>
          <w:kern w:val="0"/>
          <w:szCs w:val="32"/>
          <w:highlight w:val="none"/>
          <w:lang w:bidi="ar"/>
        </w:rPr>
      </w:pPr>
      <w:r>
        <w:rPr>
          <w:rFonts w:hint="eastAsia" w:eastAsia="仿宋"/>
          <w:color w:val="auto"/>
          <w:kern w:val="0"/>
          <w:szCs w:val="32"/>
          <w:highlight w:val="none"/>
          <w:lang w:bidi="ar"/>
        </w:rPr>
        <w:t>2.信息公开</w:t>
      </w:r>
    </w:p>
    <w:p>
      <w:pPr>
        <w:spacing w:line="600" w:lineRule="exact"/>
        <w:ind w:firstLine="640" w:firstLineChars="200"/>
        <w:rPr>
          <w:rFonts w:hint="eastAsia" w:ascii="Times New Roman" w:hAnsi="Times New Roman" w:eastAsia="仿宋" w:cs="Times New Roman"/>
          <w:color w:val="auto"/>
          <w:szCs w:val="32"/>
          <w:highlight w:val="none"/>
          <w:lang w:val="zh-CN"/>
        </w:rPr>
      </w:pPr>
      <w:r>
        <w:rPr>
          <w:rFonts w:hint="eastAsia" w:ascii="Times New Roman" w:hAnsi="Times New Roman" w:eastAsia="仿宋" w:cs="Times New Roman"/>
          <w:color w:val="auto"/>
          <w:szCs w:val="32"/>
          <w:highlight w:val="none"/>
          <w:lang w:val="zh-CN"/>
        </w:rPr>
        <w:t>仁和区林业局编制了2022年预算整体绩效评价自评报告，并于2022年5月11日在攀枝花市仁和区人民政府网上公开。</w:t>
      </w:r>
    </w:p>
    <w:p>
      <w:pPr>
        <w:autoSpaceDE w:val="0"/>
        <w:autoSpaceDN w:val="0"/>
        <w:adjustRightInd w:val="0"/>
        <w:spacing w:line="600" w:lineRule="exact"/>
        <w:ind w:left="640" w:leftChars="200"/>
        <w:jc w:val="left"/>
        <w:outlineLvl w:val="2"/>
        <w:rPr>
          <w:rFonts w:hint="eastAsia" w:eastAsia="仿宋"/>
          <w:color w:val="auto"/>
          <w:kern w:val="0"/>
          <w:szCs w:val="32"/>
          <w:highlight w:val="none"/>
          <w:lang w:bidi="ar"/>
        </w:rPr>
      </w:pPr>
      <w:r>
        <w:rPr>
          <w:rFonts w:hint="eastAsia" w:eastAsia="仿宋"/>
          <w:color w:val="auto"/>
          <w:kern w:val="0"/>
          <w:szCs w:val="32"/>
          <w:highlight w:val="none"/>
          <w:lang w:bidi="ar"/>
        </w:rPr>
        <w:t>3.整改反馈</w:t>
      </w:r>
    </w:p>
    <w:p>
      <w:pPr>
        <w:spacing w:line="600" w:lineRule="exact"/>
        <w:ind w:firstLine="640" w:firstLineChars="200"/>
        <w:rPr>
          <w:rFonts w:hint="eastAsia" w:ascii="Times New Roman" w:hAnsi="Times New Roman" w:eastAsia="仿宋" w:cs="Times New Roman"/>
          <w:color w:val="auto"/>
          <w:szCs w:val="32"/>
          <w:highlight w:val="none"/>
          <w:lang w:val="zh-CN"/>
        </w:rPr>
      </w:pPr>
      <w:bookmarkStart w:id="98" w:name="_Toc25848"/>
      <w:r>
        <w:rPr>
          <w:rFonts w:hint="eastAsia" w:ascii="Times New Roman" w:hAnsi="Times New Roman" w:eastAsia="仿宋" w:cs="Times New Roman"/>
          <w:color w:val="auto"/>
          <w:szCs w:val="32"/>
          <w:highlight w:val="none"/>
          <w:lang w:val="zh-CN"/>
        </w:rPr>
        <w:t>2022年整体财政预算资金保障率为100%，保障了机关工作人员的日常工作及生活要求，及时</w:t>
      </w:r>
      <w:r>
        <w:rPr>
          <w:rFonts w:hint="eastAsia" w:eastAsia="仿宋" w:cs="Times New Roman"/>
          <w:color w:val="auto"/>
          <w:szCs w:val="32"/>
          <w:highlight w:val="none"/>
          <w:lang w:val="zh-CN"/>
        </w:rPr>
        <w:t>仁和辖区内</w:t>
      </w:r>
      <w:r>
        <w:rPr>
          <w:rFonts w:hint="eastAsia" w:ascii="Times New Roman" w:hAnsi="Times New Roman" w:eastAsia="仿宋" w:cs="Times New Roman"/>
          <w:color w:val="auto"/>
          <w:szCs w:val="32"/>
          <w:highlight w:val="none"/>
          <w:lang w:val="zh-CN"/>
        </w:rPr>
        <w:t>人民群众对林业事业的意见和建议，建设和发展仁和区林业事业，有效保护仁和区现有森林资源，确保不发生重大灾害事故。</w:t>
      </w:r>
    </w:p>
    <w:p>
      <w:pPr>
        <w:adjustRightInd w:val="0"/>
        <w:snapToGrid w:val="0"/>
        <w:spacing w:line="600" w:lineRule="exact"/>
        <w:ind w:right="22" w:rightChars="7" w:firstLine="720" w:firstLineChars="225"/>
        <w:outlineLvl w:val="0"/>
        <w:rPr>
          <w:rFonts w:hint="eastAsia" w:ascii="黑体" w:hAnsi="黑体" w:eastAsia="黑体" w:cs="黑体"/>
          <w:bCs/>
          <w:color w:val="auto"/>
          <w:szCs w:val="32"/>
          <w:highlight w:val="none"/>
          <w:lang w:val="zh-CN"/>
        </w:rPr>
      </w:pPr>
      <w:bookmarkStart w:id="99" w:name="_Toc29229"/>
      <w:bookmarkStart w:id="100" w:name="_Toc20365"/>
      <w:bookmarkStart w:id="101" w:name="_Toc14764"/>
      <w:r>
        <w:rPr>
          <w:rFonts w:hint="eastAsia" w:ascii="黑体" w:hAnsi="黑体" w:eastAsia="黑体" w:cs="黑体"/>
          <w:bCs/>
          <w:color w:val="auto"/>
          <w:szCs w:val="32"/>
          <w:highlight w:val="none"/>
          <w:lang w:val="zh-CN"/>
        </w:rPr>
        <w:t>五、绩效评价结论</w:t>
      </w:r>
      <w:bookmarkEnd w:id="98"/>
      <w:bookmarkEnd w:id="99"/>
      <w:bookmarkEnd w:id="100"/>
      <w:bookmarkEnd w:id="101"/>
    </w:p>
    <w:p>
      <w:pPr>
        <w:spacing w:line="600" w:lineRule="exact"/>
        <w:ind w:firstLine="640" w:firstLineChars="200"/>
        <w:rPr>
          <w:rFonts w:hint="eastAsia" w:ascii="仿宋" w:hAnsi="仿宋" w:eastAsia="仿宋" w:cs="仿宋"/>
          <w:color w:val="auto"/>
          <w:szCs w:val="32"/>
          <w:highlight w:val="none"/>
        </w:rPr>
      </w:pPr>
      <w:r>
        <w:rPr>
          <w:rFonts w:hint="eastAsia" w:ascii="仿宋" w:hAnsi="仿宋" w:eastAsia="仿宋" w:cs="仿宋"/>
          <w:color w:val="auto"/>
          <w:szCs w:val="32"/>
          <w:highlight w:val="none"/>
          <w:lang w:eastAsia="zh-CN"/>
        </w:rPr>
        <w:t>我们</w:t>
      </w:r>
      <w:r>
        <w:rPr>
          <w:rFonts w:hint="eastAsia" w:ascii="仿宋" w:hAnsi="仿宋" w:eastAsia="仿宋" w:cs="仿宋"/>
          <w:color w:val="auto"/>
          <w:szCs w:val="32"/>
          <w:highlight w:val="none"/>
        </w:rPr>
        <w:t>本次绩效评价从部门预算管理、专项预算管理、绩效结果应用三个维度</w:t>
      </w:r>
      <w:r>
        <w:rPr>
          <w:rFonts w:hint="eastAsia" w:ascii="仿宋" w:hAnsi="仿宋" w:eastAsia="仿宋" w:cs="仿宋"/>
          <w:color w:val="auto"/>
          <w:szCs w:val="32"/>
          <w:highlight w:val="none"/>
          <w:lang w:eastAsia="zh-CN"/>
        </w:rPr>
        <w:t>，</w:t>
      </w:r>
      <w:r>
        <w:rPr>
          <w:rFonts w:hint="eastAsia" w:ascii="仿宋" w:hAnsi="仿宋" w:eastAsia="仿宋" w:cs="仿宋"/>
          <w:color w:val="auto"/>
          <w:szCs w:val="32"/>
          <w:highlight w:val="none"/>
        </w:rPr>
        <w:t>对</w:t>
      </w:r>
      <w:r>
        <w:rPr>
          <w:rFonts w:hint="eastAsia" w:eastAsia="仿宋"/>
          <w:color w:val="auto"/>
          <w:szCs w:val="32"/>
          <w:highlight w:val="none"/>
          <w:lang w:eastAsia="zh-CN"/>
        </w:rPr>
        <w:t>仁和</w:t>
      </w:r>
      <w:r>
        <w:rPr>
          <w:rFonts w:hint="eastAsia" w:ascii="仿宋" w:hAnsi="仿宋" w:eastAsia="仿宋" w:cs="仿宋"/>
          <w:color w:val="auto"/>
          <w:szCs w:val="32"/>
          <w:highlight w:val="none"/>
        </w:rPr>
        <w:t>区林业局政府</w:t>
      </w:r>
      <w:r>
        <w:rPr>
          <w:rFonts w:hint="default" w:ascii="Times New Roman" w:hAnsi="Times New Roman" w:eastAsia="仿宋" w:cs="Times New Roman"/>
          <w:color w:val="auto"/>
          <w:szCs w:val="32"/>
          <w:highlight w:val="none"/>
        </w:rPr>
        <w:t>2022</w:t>
      </w:r>
      <w:r>
        <w:rPr>
          <w:rFonts w:hint="eastAsia" w:ascii="仿宋" w:hAnsi="仿宋" w:eastAsia="仿宋" w:cs="仿宋"/>
          <w:color w:val="auto"/>
          <w:szCs w:val="32"/>
          <w:highlight w:val="none"/>
        </w:rPr>
        <w:t>年度部门整体支出绩效进行全面评价，共包括三个一级指标，九个二级指标，二十二个三级指标，详细</w:t>
      </w:r>
      <w:r>
        <w:rPr>
          <w:rFonts w:hint="eastAsia" w:ascii="仿宋" w:hAnsi="仿宋" w:eastAsia="仿宋" w:cs="仿宋"/>
          <w:color w:val="auto"/>
          <w:szCs w:val="32"/>
          <w:highlight w:val="none"/>
          <w:lang w:eastAsia="zh-CN"/>
        </w:rPr>
        <w:t>得分</w:t>
      </w:r>
      <w:r>
        <w:rPr>
          <w:rFonts w:hint="eastAsia" w:ascii="仿宋" w:hAnsi="仿宋" w:eastAsia="仿宋" w:cs="仿宋"/>
          <w:color w:val="auto"/>
          <w:szCs w:val="32"/>
          <w:highlight w:val="none"/>
        </w:rPr>
        <w:t>情况见附表。</w:t>
      </w:r>
    </w:p>
    <w:p>
      <w:pPr>
        <w:numPr>
          <w:ilvl w:val="0"/>
          <w:numId w:val="4"/>
        </w:numPr>
        <w:spacing w:line="600" w:lineRule="exact"/>
        <w:ind w:firstLine="643" w:firstLineChars="200"/>
        <w:rPr>
          <w:rFonts w:hint="eastAsia" w:ascii="楷体" w:hAnsi="楷体" w:eastAsia="楷体" w:cs="楷体"/>
          <w:b/>
          <w:bCs/>
          <w:color w:val="auto"/>
          <w:szCs w:val="32"/>
          <w:highlight w:val="none"/>
          <w:lang w:eastAsia="zh-CN"/>
        </w:rPr>
      </w:pPr>
      <w:bookmarkStart w:id="102" w:name="_Toc3161"/>
      <w:bookmarkStart w:id="103" w:name="_Toc22345"/>
      <w:bookmarkStart w:id="104" w:name="_Toc2781"/>
      <w:r>
        <w:rPr>
          <w:rFonts w:hint="eastAsia" w:ascii="楷体" w:hAnsi="楷体" w:eastAsia="楷体" w:cs="楷体"/>
          <w:b/>
          <w:bCs/>
          <w:color w:val="auto"/>
          <w:szCs w:val="32"/>
          <w:highlight w:val="none"/>
          <w:lang w:eastAsia="zh-CN"/>
        </w:rPr>
        <w:t>总体评价</w:t>
      </w:r>
      <w:bookmarkEnd w:id="102"/>
      <w:bookmarkEnd w:id="103"/>
      <w:bookmarkEnd w:id="104"/>
    </w:p>
    <w:p>
      <w:pPr>
        <w:spacing w:line="600" w:lineRule="exact"/>
        <w:ind w:firstLine="640" w:firstLineChars="200"/>
        <w:rPr>
          <w:rFonts w:hint="eastAsia" w:ascii="Times New Roman" w:hAnsi="Times New Roman" w:eastAsia="仿宋" w:cs="Times New Roman"/>
          <w:color w:val="auto"/>
          <w:szCs w:val="32"/>
          <w:highlight w:val="none"/>
          <w:lang w:eastAsia="zh-CN"/>
        </w:rPr>
      </w:pPr>
      <w:r>
        <w:rPr>
          <w:rFonts w:hint="eastAsia" w:ascii="仿宋" w:hAnsi="仿宋" w:eastAsia="仿宋" w:cs="仿宋"/>
          <w:color w:val="auto"/>
          <w:kern w:val="2"/>
          <w:sz w:val="32"/>
          <w:szCs w:val="32"/>
          <w:highlight w:val="none"/>
          <w:lang w:val="en-US" w:eastAsia="zh-CN" w:bidi="ar-SA"/>
        </w:rPr>
        <w:t>1.仁和</w:t>
      </w:r>
      <w:r>
        <w:rPr>
          <w:rFonts w:hint="eastAsia" w:ascii="仿宋" w:hAnsi="仿宋" w:eastAsia="仿宋" w:cs="仿宋"/>
          <w:color w:val="auto"/>
          <w:kern w:val="2"/>
          <w:sz w:val="32"/>
          <w:szCs w:val="32"/>
          <w:highlight w:val="none"/>
          <w:lang w:val="zh-CN" w:eastAsia="zh-CN" w:bidi="ar-SA"/>
        </w:rPr>
        <w:t>区林业局</w:t>
      </w:r>
      <w:r>
        <w:rPr>
          <w:rFonts w:hint="default" w:ascii="Times New Roman" w:hAnsi="Times New Roman" w:eastAsia="仿宋" w:cs="Times New Roman"/>
          <w:color w:val="auto"/>
          <w:kern w:val="2"/>
          <w:sz w:val="32"/>
          <w:szCs w:val="32"/>
          <w:highlight w:val="none"/>
          <w:lang w:val="zh-CN" w:eastAsia="zh-CN" w:bidi="ar-SA"/>
        </w:rPr>
        <w:t>2022</w:t>
      </w:r>
      <w:r>
        <w:rPr>
          <w:rFonts w:hint="eastAsia" w:ascii="仿宋" w:hAnsi="仿宋" w:eastAsia="仿宋" w:cs="仿宋"/>
          <w:color w:val="auto"/>
          <w:kern w:val="2"/>
          <w:sz w:val="32"/>
          <w:szCs w:val="32"/>
          <w:highlight w:val="none"/>
          <w:lang w:val="zh-CN" w:eastAsia="zh-CN" w:bidi="ar-SA"/>
        </w:rPr>
        <w:t>年部门预算按照规定的口径编制了部门预算，将部门所有收入汇总编入了部门预算收入，经费开支基本能按批复的用途使用，</w:t>
      </w:r>
      <w:r>
        <w:rPr>
          <w:rFonts w:hint="eastAsia" w:eastAsia="仿宋" w:cs="Times New Roman"/>
          <w:color w:val="auto"/>
          <w:szCs w:val="32"/>
          <w:highlight w:val="none"/>
          <w:lang w:val="en-US" w:eastAsia="zh-CN"/>
        </w:rPr>
        <w:t>严格按照规定及时进行</w:t>
      </w:r>
      <w:r>
        <w:rPr>
          <w:rFonts w:hint="eastAsia" w:ascii="Times New Roman" w:hAnsi="Times New Roman" w:eastAsia="仿宋" w:cs="Times New Roman"/>
          <w:color w:val="auto"/>
          <w:szCs w:val="32"/>
          <w:highlight w:val="none"/>
        </w:rPr>
        <w:t>预算公开。</w:t>
      </w:r>
    </w:p>
    <w:p>
      <w:pPr>
        <w:pStyle w:val="6"/>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en-US" w:eastAsia="zh-CN" w:bidi="ar-SA"/>
        </w:rPr>
        <w:t>2.仁和</w:t>
      </w:r>
      <w:r>
        <w:rPr>
          <w:rFonts w:hint="eastAsia" w:ascii="仿宋" w:hAnsi="仿宋" w:eastAsia="仿宋" w:cs="仿宋"/>
          <w:color w:val="auto"/>
          <w:kern w:val="2"/>
          <w:sz w:val="32"/>
          <w:szCs w:val="32"/>
          <w:highlight w:val="none"/>
          <w:lang w:val="zh-CN" w:eastAsia="zh-CN" w:bidi="ar-SA"/>
        </w:rPr>
        <w:t>区林业局在部门预算支出的预算编制、预算执行、预算管理及支出绩效四个方面完成良好，预算编制较为准确、执行预算、各项资金的使用符合相关规定。</w:t>
      </w:r>
    </w:p>
    <w:p>
      <w:pPr>
        <w:pStyle w:val="6"/>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3.仁和区林业局三公经费控制较严格和规范。</w:t>
      </w:r>
    </w:p>
    <w:p>
      <w:pPr>
        <w:numPr>
          <w:ilvl w:val="0"/>
          <w:numId w:val="4"/>
        </w:numPr>
        <w:spacing w:line="600" w:lineRule="exact"/>
        <w:ind w:firstLine="643" w:firstLineChars="200"/>
        <w:rPr>
          <w:rFonts w:hint="eastAsia" w:ascii="楷体" w:hAnsi="楷体" w:eastAsia="楷体" w:cs="楷体"/>
          <w:b/>
          <w:bCs/>
          <w:color w:val="auto"/>
          <w:szCs w:val="32"/>
          <w:highlight w:val="none"/>
        </w:rPr>
      </w:pPr>
      <w:bookmarkStart w:id="105" w:name="_Toc6041"/>
      <w:bookmarkStart w:id="106" w:name="_Toc30528"/>
      <w:bookmarkStart w:id="107" w:name="_Toc10124"/>
      <w:r>
        <w:rPr>
          <w:rFonts w:hint="eastAsia" w:ascii="楷体" w:hAnsi="楷体" w:eastAsia="楷体" w:cs="楷体"/>
          <w:b/>
          <w:bCs/>
          <w:color w:val="auto"/>
          <w:szCs w:val="32"/>
          <w:highlight w:val="none"/>
          <w:lang w:eastAsia="zh-CN"/>
        </w:rPr>
        <w:t>扣分事项</w:t>
      </w:r>
      <w:bookmarkEnd w:id="105"/>
      <w:bookmarkEnd w:id="106"/>
      <w:bookmarkEnd w:id="107"/>
    </w:p>
    <w:p>
      <w:pPr>
        <w:pStyle w:val="6"/>
        <w:spacing w:line="600" w:lineRule="exact"/>
        <w:ind w:firstLine="640" w:firstLineChars="200"/>
        <w:jc w:val="left"/>
        <w:rPr>
          <w:rFonts w:ascii="仿宋" w:hAnsi="仿宋" w:eastAsia="仿宋" w:cs="仿宋"/>
          <w:color w:val="auto"/>
          <w:szCs w:val="32"/>
          <w:highlight w:val="none"/>
          <w:lang w:val="zh-CN"/>
        </w:rPr>
      </w:pPr>
      <w:r>
        <w:rPr>
          <w:rFonts w:hint="eastAsia" w:ascii="仿宋" w:hAnsi="仿宋" w:eastAsia="仿宋" w:cs="仿宋"/>
          <w:color w:val="auto"/>
          <w:szCs w:val="32"/>
          <w:highlight w:val="none"/>
        </w:rPr>
        <w:t>1.</w:t>
      </w:r>
      <w:r>
        <w:rPr>
          <w:rFonts w:hint="eastAsia" w:ascii="仿宋" w:hAnsi="仿宋" w:eastAsia="仿宋" w:cs="仿宋"/>
          <w:color w:val="auto"/>
          <w:szCs w:val="32"/>
          <w:highlight w:val="none"/>
          <w:lang w:val="zh-CN"/>
        </w:rPr>
        <w:t>仁和区林业局</w:t>
      </w:r>
      <w:r>
        <w:rPr>
          <w:rFonts w:ascii="Times New Roman" w:hAnsi="Times New Roman" w:eastAsia="仿宋"/>
          <w:color w:val="auto"/>
          <w:szCs w:val="32"/>
          <w:highlight w:val="none"/>
          <w:lang w:val="zh-CN"/>
        </w:rPr>
        <w:t>2022</w:t>
      </w:r>
      <w:r>
        <w:rPr>
          <w:rFonts w:hint="eastAsia" w:ascii="仿宋" w:hAnsi="仿宋" w:eastAsia="仿宋" w:cs="仿宋"/>
          <w:color w:val="auto"/>
          <w:szCs w:val="32"/>
          <w:highlight w:val="none"/>
          <w:lang w:val="zh-CN"/>
        </w:rPr>
        <w:t>年部门预算收入调增率30.89%,</w:t>
      </w:r>
      <w:r>
        <w:rPr>
          <w:rFonts w:hint="eastAsia" w:eastAsia="仿宋"/>
          <w:color w:val="auto"/>
          <w:szCs w:val="32"/>
          <w:highlight w:val="none"/>
          <w:lang w:eastAsia="zh-CN"/>
        </w:rPr>
        <w:t>我们认为</w:t>
      </w:r>
      <w:r>
        <w:rPr>
          <w:rFonts w:hint="eastAsia" w:ascii="仿宋" w:hAnsi="仿宋" w:eastAsia="仿宋" w:cs="仿宋"/>
          <w:color w:val="auto"/>
          <w:szCs w:val="32"/>
          <w:highlight w:val="none"/>
          <w:lang w:val="zh-CN"/>
        </w:rPr>
        <w:t>仁和区林业局预算收入量化不够精准，扣1分。</w:t>
      </w:r>
    </w:p>
    <w:p>
      <w:pPr>
        <w:pStyle w:val="6"/>
        <w:spacing w:line="600" w:lineRule="exact"/>
        <w:ind w:firstLine="640" w:firstLineChars="200"/>
        <w:jc w:val="left"/>
        <w:rPr>
          <w:rFonts w:ascii="仿宋" w:hAnsi="仿宋" w:eastAsia="仿宋" w:cs="仿宋"/>
          <w:color w:val="auto"/>
          <w:szCs w:val="32"/>
          <w:highlight w:val="none"/>
          <w:lang w:val="zh-CN"/>
        </w:rPr>
      </w:pPr>
      <w:r>
        <w:rPr>
          <w:rFonts w:hint="eastAsia" w:ascii="仿宋" w:hAnsi="仿宋" w:eastAsia="仿宋" w:cs="仿宋"/>
          <w:color w:val="auto"/>
          <w:szCs w:val="32"/>
          <w:highlight w:val="none"/>
        </w:rPr>
        <w:t>2.</w:t>
      </w:r>
      <w:r>
        <w:rPr>
          <w:rFonts w:hint="eastAsia" w:ascii="仿宋" w:hAnsi="仿宋" w:eastAsia="仿宋" w:cs="仿宋"/>
          <w:color w:val="auto"/>
          <w:szCs w:val="32"/>
          <w:highlight w:val="none"/>
          <w:lang w:val="zh-CN"/>
        </w:rPr>
        <w:t>仁和区林业局在部门预算支出人员经费调增率2.73%，公用经费调减率21.87%，项目经费调增率36.63%，</w:t>
      </w:r>
      <w:r>
        <w:rPr>
          <w:rFonts w:hint="eastAsia" w:eastAsia="仿宋"/>
          <w:color w:val="auto"/>
          <w:szCs w:val="32"/>
          <w:highlight w:val="none"/>
          <w:lang w:eastAsia="zh-CN"/>
        </w:rPr>
        <w:t>我们认为</w:t>
      </w:r>
      <w:r>
        <w:rPr>
          <w:rFonts w:hint="eastAsia" w:ascii="仿宋" w:hAnsi="仿宋" w:eastAsia="仿宋" w:cs="仿宋"/>
          <w:color w:val="auto"/>
          <w:szCs w:val="32"/>
          <w:highlight w:val="none"/>
          <w:lang w:val="zh-CN"/>
        </w:rPr>
        <w:t>仁和区林业局预算支出量化不够精准，扣3分。</w:t>
      </w:r>
    </w:p>
    <w:p>
      <w:pPr>
        <w:pStyle w:val="6"/>
        <w:spacing w:line="600" w:lineRule="exact"/>
        <w:ind w:firstLine="640" w:firstLineChars="200"/>
        <w:jc w:val="left"/>
        <w:rPr>
          <w:rFonts w:ascii="仿宋" w:hAnsi="仿宋" w:eastAsia="仿宋" w:cs="仿宋"/>
          <w:color w:val="auto"/>
          <w:szCs w:val="32"/>
          <w:highlight w:val="none"/>
          <w:lang w:val="zh-CN"/>
        </w:rPr>
      </w:pPr>
      <w:r>
        <w:rPr>
          <w:rFonts w:hint="eastAsia" w:ascii="仿宋" w:hAnsi="仿宋" w:eastAsia="仿宋" w:cs="仿宋"/>
          <w:color w:val="auto"/>
          <w:szCs w:val="32"/>
          <w:highlight w:val="none"/>
          <w:lang w:val="zh-CN"/>
        </w:rPr>
        <w:t>3.仁和区林业局人员经费增加2.73%，与决算偏差程度在10%以内的，扣1分。</w:t>
      </w:r>
    </w:p>
    <w:p>
      <w:pPr>
        <w:pStyle w:val="6"/>
        <w:spacing w:line="600" w:lineRule="exact"/>
        <w:ind w:firstLine="640" w:firstLineChars="200"/>
        <w:jc w:val="left"/>
        <w:rPr>
          <w:rFonts w:ascii="仿宋" w:hAnsi="仿宋" w:eastAsia="仿宋" w:cs="仿宋"/>
          <w:color w:val="auto"/>
          <w:szCs w:val="32"/>
          <w:highlight w:val="none"/>
          <w:lang w:val="zh-CN"/>
        </w:rPr>
      </w:pPr>
      <w:r>
        <w:rPr>
          <w:rFonts w:hint="eastAsia" w:ascii="仿宋" w:hAnsi="仿宋" w:eastAsia="仿宋" w:cs="仿宋"/>
          <w:color w:val="auto"/>
          <w:szCs w:val="32"/>
          <w:highlight w:val="none"/>
          <w:lang w:val="zh-CN"/>
        </w:rPr>
        <w:t>4.截止2022年末，仁和区林业局绩效完成率未达到100%，扣4分。</w:t>
      </w:r>
    </w:p>
    <w:p>
      <w:pPr>
        <w:pStyle w:val="6"/>
        <w:spacing w:line="600" w:lineRule="exact"/>
        <w:ind w:firstLine="640" w:firstLineChars="200"/>
        <w:jc w:val="left"/>
        <w:rPr>
          <w:rFonts w:hint="eastAsia" w:ascii="Times New Roman" w:hAnsi="Times New Roman" w:eastAsia="仿宋"/>
          <w:color w:val="auto"/>
          <w:szCs w:val="32"/>
          <w:highlight w:val="none"/>
          <w:lang w:val="zh-CN"/>
        </w:rPr>
      </w:pPr>
      <w:r>
        <w:rPr>
          <w:rFonts w:hint="eastAsia" w:ascii="仿宋" w:hAnsi="仿宋" w:eastAsia="仿宋" w:cs="仿宋"/>
          <w:color w:val="auto"/>
          <w:szCs w:val="32"/>
          <w:highlight w:val="none"/>
          <w:lang w:val="zh-CN"/>
        </w:rPr>
        <w:t>5.</w:t>
      </w:r>
      <w:r>
        <w:rPr>
          <w:rFonts w:hint="eastAsia" w:hAnsi="宋体" w:eastAsia="宋体" w:cs="宋体"/>
          <w:color w:val="auto"/>
          <w:kern w:val="0"/>
          <w:sz w:val="18"/>
          <w:szCs w:val="18"/>
          <w:highlight w:val="none"/>
        </w:rPr>
        <w:t xml:space="preserve"> </w:t>
      </w:r>
      <w:r>
        <w:rPr>
          <w:rFonts w:hint="eastAsia" w:ascii="仿宋" w:hAnsi="仿宋" w:eastAsia="仿宋" w:cs="仿宋"/>
          <w:color w:val="auto"/>
          <w:szCs w:val="32"/>
          <w:highlight w:val="none"/>
          <w:lang w:val="zh-CN"/>
        </w:rPr>
        <w:t>截止2022年末，仁和区林业局抽样项目中存在项目完成率未达到100%,资金支付率未达到100%的情况（其中一个项目资金支付率为0%），</w:t>
      </w:r>
      <w:r>
        <w:rPr>
          <w:rFonts w:hint="eastAsia" w:eastAsia="仿宋"/>
          <w:color w:val="auto"/>
          <w:szCs w:val="32"/>
          <w:highlight w:val="none"/>
          <w:lang w:eastAsia="zh-CN"/>
        </w:rPr>
        <w:t>我们认为</w:t>
      </w:r>
      <w:r>
        <w:rPr>
          <w:rFonts w:hint="eastAsia" w:ascii="仿宋" w:hAnsi="仿宋" w:eastAsia="仿宋" w:cs="仿宋"/>
          <w:color w:val="auto"/>
          <w:szCs w:val="32"/>
          <w:highlight w:val="none"/>
          <w:lang w:val="zh-CN"/>
        </w:rPr>
        <w:t>仁和区林业局存在支付不及时，项目资金分配不均衡，需强化中长期规划及调整，</w:t>
      </w:r>
      <w:r>
        <w:rPr>
          <w:rFonts w:hint="eastAsia" w:ascii="Times New Roman" w:hAnsi="Times New Roman" w:eastAsia="仿宋"/>
          <w:color w:val="auto"/>
          <w:szCs w:val="32"/>
          <w:highlight w:val="none"/>
          <w:lang w:val="zh-CN"/>
        </w:rPr>
        <w:t>扣6分。</w:t>
      </w:r>
    </w:p>
    <w:p>
      <w:pPr>
        <w:pStyle w:val="6"/>
        <w:spacing w:line="600" w:lineRule="exact"/>
        <w:ind w:firstLine="640" w:firstLineChars="200"/>
        <w:jc w:val="left"/>
        <w:rPr>
          <w:rFonts w:hint="eastAsia" w:ascii="Times New Roman" w:hAnsi="Times New Roman" w:eastAsia="仿宋"/>
          <w:color w:val="auto"/>
          <w:szCs w:val="32"/>
          <w:highlight w:val="none"/>
          <w:lang w:val="zh-CN"/>
        </w:rPr>
      </w:pPr>
      <w:r>
        <w:rPr>
          <w:rFonts w:hint="eastAsia" w:ascii="Times New Roman" w:hAnsi="Times New Roman" w:eastAsia="仿宋"/>
          <w:color w:val="auto"/>
          <w:szCs w:val="32"/>
          <w:highlight w:val="none"/>
          <w:lang w:val="zh-CN"/>
        </w:rPr>
        <w:t>6.</w:t>
      </w:r>
      <w:r>
        <w:rPr>
          <w:rFonts w:hint="eastAsia" w:ascii="仿宋" w:hAnsi="仿宋" w:eastAsia="仿宋" w:cs="仿宋"/>
          <w:color w:val="auto"/>
          <w:szCs w:val="32"/>
          <w:highlight w:val="none"/>
          <w:lang w:val="zh-CN"/>
        </w:rPr>
        <w:t>仁和区林业局</w:t>
      </w:r>
      <w:r>
        <w:rPr>
          <w:rFonts w:hint="eastAsia" w:ascii="Times New Roman" w:hAnsi="Times New Roman" w:eastAsia="仿宋"/>
          <w:color w:val="auto"/>
          <w:szCs w:val="32"/>
          <w:highlight w:val="none"/>
          <w:lang w:val="zh-CN"/>
        </w:rPr>
        <w:t>部门绩效自评92分和整体绩效8</w:t>
      </w:r>
      <w:r>
        <w:rPr>
          <w:rFonts w:hint="eastAsia" w:ascii="Times New Roman" w:hAnsi="Times New Roman" w:eastAsia="仿宋"/>
          <w:color w:val="auto"/>
          <w:szCs w:val="32"/>
          <w:highlight w:val="none"/>
          <w:lang w:val="en-US" w:eastAsia="zh-CN"/>
        </w:rPr>
        <w:t>4</w:t>
      </w:r>
      <w:r>
        <w:rPr>
          <w:rFonts w:hint="eastAsia" w:ascii="Times New Roman" w:hAnsi="Times New Roman" w:eastAsia="仿宋"/>
          <w:color w:val="auto"/>
          <w:szCs w:val="32"/>
          <w:highlight w:val="none"/>
          <w:lang w:val="zh-CN"/>
        </w:rPr>
        <w:t>分，</w:t>
      </w:r>
      <w:r>
        <w:rPr>
          <w:rFonts w:hint="eastAsia" w:eastAsia="仿宋"/>
          <w:color w:val="auto"/>
          <w:szCs w:val="32"/>
          <w:highlight w:val="none"/>
        </w:rPr>
        <w:t>评分</w:t>
      </w:r>
      <w:r>
        <w:rPr>
          <w:rFonts w:hint="eastAsia" w:eastAsia="仿宋"/>
          <w:color w:val="auto"/>
          <w:szCs w:val="32"/>
          <w:highlight w:val="none"/>
          <w:lang w:eastAsia="zh-CN"/>
        </w:rPr>
        <w:t>存在差异，</w:t>
      </w:r>
      <w:r>
        <w:rPr>
          <w:rFonts w:hint="eastAsia" w:eastAsia="仿宋"/>
          <w:color w:val="auto"/>
          <w:szCs w:val="32"/>
          <w:highlight w:val="none"/>
        </w:rPr>
        <w:t>差异</w:t>
      </w:r>
      <w:r>
        <w:rPr>
          <w:rFonts w:hint="eastAsia" w:eastAsia="仿宋"/>
          <w:color w:val="auto"/>
          <w:szCs w:val="32"/>
          <w:highlight w:val="none"/>
          <w:lang w:eastAsia="zh-CN"/>
        </w:rPr>
        <w:t>率在</w:t>
      </w:r>
      <w:r>
        <w:rPr>
          <w:rFonts w:hint="eastAsia" w:ascii="Times New Roman" w:hAnsi="Times New Roman" w:eastAsia="仿宋"/>
          <w:color w:val="auto"/>
          <w:szCs w:val="32"/>
          <w:highlight w:val="none"/>
          <w:lang w:val="zh-CN"/>
        </w:rPr>
        <w:t>10%以内，扣1分。</w:t>
      </w:r>
    </w:p>
    <w:p>
      <w:pPr>
        <w:pStyle w:val="6"/>
        <w:spacing w:line="600" w:lineRule="exact"/>
        <w:ind w:firstLine="640" w:firstLineChars="200"/>
        <w:jc w:val="left"/>
        <w:rPr>
          <w:rFonts w:hint="eastAsia" w:ascii="仿宋" w:hAnsi="仿宋" w:eastAsia="仿宋" w:cs="仿宋"/>
          <w:color w:val="auto"/>
          <w:szCs w:val="32"/>
          <w:highlight w:val="none"/>
          <w:lang w:val="zh-CN"/>
        </w:rPr>
      </w:pPr>
      <w:r>
        <w:rPr>
          <w:rFonts w:hint="eastAsia" w:ascii="仿宋" w:hAnsi="仿宋" w:eastAsia="仿宋" w:cs="仿宋"/>
          <w:color w:val="auto"/>
          <w:szCs w:val="32"/>
          <w:highlight w:val="none"/>
          <w:lang w:val="zh-CN"/>
        </w:rPr>
        <w:t>综合评价，</w:t>
      </w:r>
      <w:r>
        <w:rPr>
          <w:rFonts w:hint="eastAsia" w:eastAsia="仿宋"/>
          <w:color w:val="auto"/>
          <w:szCs w:val="32"/>
          <w:highlight w:val="none"/>
          <w:lang w:eastAsia="zh-CN"/>
        </w:rPr>
        <w:t>仁和</w:t>
      </w:r>
      <w:r>
        <w:rPr>
          <w:rFonts w:hint="eastAsia" w:ascii="仿宋" w:hAnsi="仿宋" w:eastAsia="仿宋" w:cs="仿宋"/>
          <w:color w:val="auto"/>
          <w:szCs w:val="32"/>
          <w:highlight w:val="none"/>
          <w:lang w:val="zh-CN"/>
        </w:rPr>
        <w:t>区林业局部门整体评价得分</w:t>
      </w:r>
      <w:r>
        <w:rPr>
          <w:rFonts w:ascii="Times New Roman" w:hAnsi="Times New Roman" w:eastAsia="仿宋"/>
          <w:color w:val="auto"/>
          <w:szCs w:val="32"/>
          <w:highlight w:val="none"/>
        </w:rPr>
        <w:t>8</w:t>
      </w:r>
      <w:r>
        <w:rPr>
          <w:rFonts w:hint="eastAsia" w:ascii="Times New Roman" w:hAnsi="Times New Roman" w:eastAsia="仿宋"/>
          <w:color w:val="auto"/>
          <w:szCs w:val="32"/>
          <w:highlight w:val="none"/>
        </w:rPr>
        <w:t>4</w:t>
      </w:r>
      <w:r>
        <w:rPr>
          <w:rFonts w:hint="eastAsia" w:ascii="仿宋" w:hAnsi="仿宋" w:eastAsia="仿宋" w:cs="仿宋"/>
          <w:color w:val="auto"/>
          <w:szCs w:val="32"/>
          <w:highlight w:val="none"/>
          <w:lang w:val="zh-CN"/>
        </w:rPr>
        <w:t>分，评价为“良”。</w:t>
      </w:r>
    </w:p>
    <w:p>
      <w:pPr>
        <w:pStyle w:val="6"/>
        <w:spacing w:line="600" w:lineRule="exact"/>
        <w:ind w:firstLine="640" w:firstLineChars="200"/>
        <w:jc w:val="left"/>
        <w:rPr>
          <w:rFonts w:hint="eastAsia" w:ascii="Times New Roman" w:hAnsi="Times New Roman" w:eastAsia="仿宋"/>
          <w:color w:val="auto"/>
          <w:szCs w:val="32"/>
          <w:highlight w:val="none"/>
          <w:lang w:val="zh-CN"/>
        </w:rPr>
      </w:pPr>
    </w:p>
    <w:p>
      <w:pPr>
        <w:pStyle w:val="6"/>
        <w:spacing w:line="600" w:lineRule="exact"/>
        <w:ind w:firstLine="640" w:firstLineChars="200"/>
        <w:jc w:val="left"/>
        <w:rPr>
          <w:rFonts w:hint="eastAsia" w:ascii="Times New Roman" w:hAnsi="Times New Roman" w:eastAsia="仿宋" w:cs="Times New Roman"/>
          <w:color w:val="auto"/>
          <w:szCs w:val="32"/>
          <w:highlight w:val="none"/>
          <w:lang w:val="zh-CN"/>
        </w:rPr>
      </w:pPr>
    </w:p>
    <w:p>
      <w:pPr>
        <w:pStyle w:val="6"/>
        <w:spacing w:line="600" w:lineRule="exact"/>
        <w:ind w:firstLine="640" w:firstLineChars="200"/>
        <w:jc w:val="left"/>
        <w:rPr>
          <w:rFonts w:hint="eastAsia" w:ascii="仿宋" w:hAnsi="仿宋" w:eastAsia="仿宋" w:cs="仿宋"/>
          <w:color w:val="auto"/>
          <w:szCs w:val="32"/>
          <w:highlight w:val="none"/>
          <w:lang w:val="zh-CN"/>
        </w:rPr>
      </w:pPr>
    </w:p>
    <w:p>
      <w:pPr>
        <w:pStyle w:val="6"/>
        <w:ind w:firstLine="640" w:firstLineChars="200"/>
        <w:jc w:val="left"/>
        <w:rPr>
          <w:rFonts w:hint="eastAsia" w:ascii="Times New Roman" w:hAnsi="Times New Roman" w:eastAsia="仿宋"/>
          <w:color w:val="auto"/>
          <w:szCs w:val="32"/>
          <w:highlight w:val="none"/>
          <w:lang w:val="zh-CN"/>
        </w:rPr>
      </w:pPr>
      <w:r>
        <w:rPr>
          <w:rFonts w:ascii="Times New Roman" w:hAnsi="Times New Roman" w:eastAsia="仿宋"/>
          <w:color w:val="auto"/>
          <w:szCs w:val="32"/>
          <w:highlight w:val="none"/>
        </w:rPr>
        <w:drawing>
          <wp:inline distT="0" distB="0" distL="0" distR="0">
            <wp:extent cx="4572635" cy="2746375"/>
            <wp:effectExtent l="12192" t="6096" r="6096" b="0"/>
            <wp:docPr id="4" name="图表 1" descr="7b0a202020202263686172745265734964223a202234343439333437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pStyle w:val="6"/>
        <w:spacing w:line="600" w:lineRule="exact"/>
        <w:ind w:firstLine="640" w:firstLineChars="200"/>
        <w:jc w:val="left"/>
        <w:rPr>
          <w:rFonts w:hint="eastAsia" w:eastAsia="仿宋"/>
          <w:color w:val="auto"/>
          <w:kern w:val="0"/>
          <w:szCs w:val="32"/>
          <w:highlight w:val="none"/>
          <w:lang w:val="zh-CN" w:bidi="ar"/>
        </w:rPr>
      </w:pPr>
      <w:r>
        <w:rPr>
          <w:rFonts w:hint="eastAsia" w:eastAsia="仿宋"/>
          <w:color w:val="auto"/>
          <w:kern w:val="0"/>
          <w:szCs w:val="32"/>
          <w:highlight w:val="none"/>
          <w:lang w:val="zh-CN" w:bidi="ar"/>
        </w:rPr>
        <w:t>具体各子项得分情况见附件</w:t>
      </w:r>
      <w:r>
        <w:rPr>
          <w:rFonts w:hint="eastAsia" w:eastAsia="仿宋"/>
          <w:color w:val="auto"/>
          <w:kern w:val="0"/>
          <w:szCs w:val="32"/>
          <w:highlight w:val="none"/>
          <w:lang w:bidi="ar"/>
        </w:rPr>
        <w:t>1</w:t>
      </w:r>
      <w:r>
        <w:rPr>
          <w:rFonts w:hint="eastAsia" w:eastAsia="仿宋"/>
          <w:color w:val="auto"/>
          <w:kern w:val="0"/>
          <w:szCs w:val="32"/>
          <w:highlight w:val="none"/>
          <w:lang w:val="zh-CN" w:bidi="ar"/>
        </w:rPr>
        <w:t>《攀枝花市仁和区林业局2022年度部门预算整体绩效评价得分表》。</w:t>
      </w:r>
    </w:p>
    <w:p>
      <w:pPr>
        <w:pStyle w:val="6"/>
        <w:spacing w:line="600" w:lineRule="exact"/>
        <w:ind w:firstLine="643" w:firstLineChars="200"/>
        <w:jc w:val="left"/>
        <w:rPr>
          <w:rFonts w:hint="eastAsia" w:ascii="黑体" w:hAnsi="黑体" w:eastAsia="黑体" w:cs="黑体"/>
          <w:b/>
          <w:color w:val="auto"/>
          <w:szCs w:val="32"/>
          <w:highlight w:val="none"/>
        </w:rPr>
      </w:pPr>
      <w:bookmarkStart w:id="108" w:name="_Toc18413"/>
      <w:bookmarkStart w:id="109" w:name="_Toc14786"/>
      <w:bookmarkStart w:id="110" w:name="_Toc7307"/>
      <w:r>
        <w:rPr>
          <w:rFonts w:hint="eastAsia" w:ascii="黑体" w:hAnsi="黑体" w:eastAsia="黑体" w:cs="黑体"/>
          <w:b/>
          <w:color w:val="auto"/>
          <w:szCs w:val="32"/>
          <w:highlight w:val="none"/>
          <w:lang w:eastAsia="zh-CN"/>
        </w:rPr>
        <w:t>六、</w:t>
      </w:r>
      <w:bookmarkStart w:id="111" w:name="_Toc19271"/>
      <w:r>
        <w:rPr>
          <w:rFonts w:hint="eastAsia" w:ascii="黑体" w:hAnsi="黑体" w:eastAsia="黑体" w:cs="黑体"/>
          <w:b/>
          <w:color w:val="auto"/>
          <w:szCs w:val="32"/>
          <w:highlight w:val="none"/>
          <w:lang w:val="zh-CN"/>
        </w:rPr>
        <w:t>主要问题</w:t>
      </w:r>
      <w:r>
        <w:rPr>
          <w:rFonts w:hint="eastAsia" w:ascii="黑体" w:hAnsi="黑体" w:eastAsia="黑体" w:cs="黑体"/>
          <w:b/>
          <w:color w:val="auto"/>
          <w:szCs w:val="32"/>
          <w:highlight w:val="none"/>
        </w:rPr>
        <w:t>及建议</w:t>
      </w:r>
      <w:bookmarkEnd w:id="108"/>
      <w:bookmarkEnd w:id="109"/>
      <w:bookmarkEnd w:id="110"/>
      <w:bookmarkEnd w:id="111"/>
      <w:r>
        <w:rPr>
          <w:rFonts w:hint="eastAsia" w:ascii="黑体" w:hAnsi="黑体" w:eastAsia="黑体" w:cs="黑体"/>
          <w:b/>
          <w:color w:val="auto"/>
          <w:szCs w:val="32"/>
          <w:highlight w:val="none"/>
          <w:lang w:val="en-US" w:eastAsia="zh-CN"/>
        </w:rPr>
        <w:t xml:space="preserve">  </w:t>
      </w:r>
    </w:p>
    <w:p>
      <w:pPr>
        <w:pStyle w:val="6"/>
        <w:keepNext w:val="0"/>
        <w:keepLines w:val="0"/>
        <w:pageBreakBefore w:val="0"/>
        <w:numPr>
          <w:ilvl w:val="0"/>
          <w:numId w:val="0"/>
        </w:numPr>
        <w:kinsoku/>
        <w:wordWrap/>
        <w:overflowPunct/>
        <w:topLinePunct w:val="0"/>
        <w:bidi w:val="0"/>
        <w:spacing w:line="600" w:lineRule="exact"/>
        <w:ind w:firstLine="640" w:firstLineChars="200"/>
        <w:jc w:val="left"/>
        <w:outlineLvl w:val="2"/>
        <w:rPr>
          <w:rFonts w:hint="eastAsia" w:ascii="仿宋" w:hAnsi="仿宋" w:eastAsia="仿宋" w:cs="仿宋"/>
          <w:color w:val="auto"/>
          <w:szCs w:val="32"/>
          <w:highlight w:val="none"/>
          <w:lang w:val="zh-CN"/>
        </w:rPr>
      </w:pPr>
      <w:r>
        <w:rPr>
          <w:rFonts w:hint="eastAsia" w:ascii="仿宋" w:hAnsi="仿宋" w:eastAsia="仿宋" w:cs="仿宋"/>
          <w:color w:val="auto"/>
          <w:szCs w:val="32"/>
          <w:highlight w:val="none"/>
        </w:rPr>
        <w:t>1.</w:t>
      </w:r>
      <w:r>
        <w:rPr>
          <w:rFonts w:hint="eastAsia" w:ascii="仿宋" w:hAnsi="仿宋" w:eastAsia="仿宋" w:cs="仿宋"/>
          <w:color w:val="auto"/>
          <w:szCs w:val="32"/>
          <w:highlight w:val="none"/>
          <w:lang w:val="zh-CN"/>
        </w:rPr>
        <w:t>仁和区林业局</w:t>
      </w:r>
      <w:r>
        <w:rPr>
          <w:rFonts w:ascii="Times New Roman" w:hAnsi="Times New Roman" w:eastAsia="仿宋"/>
          <w:color w:val="auto"/>
          <w:szCs w:val="32"/>
          <w:highlight w:val="none"/>
          <w:lang w:val="zh-CN"/>
        </w:rPr>
        <w:t>2022</w:t>
      </w:r>
      <w:r>
        <w:rPr>
          <w:rFonts w:hint="eastAsia" w:ascii="仿宋" w:hAnsi="仿宋" w:eastAsia="仿宋" w:cs="仿宋"/>
          <w:color w:val="auto"/>
          <w:szCs w:val="32"/>
          <w:highlight w:val="none"/>
          <w:lang w:val="zh-CN"/>
        </w:rPr>
        <w:t>年部门预算收入调增率30.89%；仁和区林业局在部门预算支出人员经费调增率2.73%，公用经费调减率21.87%，项目经费调增率36.63%，仁和区林业局人员经费增加率2.73%。</w:t>
      </w:r>
    </w:p>
    <w:p>
      <w:pPr>
        <w:pStyle w:val="6"/>
        <w:keepNext w:val="0"/>
        <w:keepLines w:val="0"/>
        <w:pageBreakBefore w:val="0"/>
        <w:numPr>
          <w:ilvl w:val="0"/>
          <w:numId w:val="0"/>
        </w:numPr>
        <w:kinsoku/>
        <w:wordWrap/>
        <w:overflowPunct/>
        <w:topLinePunct w:val="0"/>
        <w:bidi w:val="0"/>
        <w:spacing w:line="600" w:lineRule="exact"/>
        <w:ind w:firstLine="640" w:firstLineChars="200"/>
        <w:jc w:val="left"/>
        <w:outlineLvl w:val="2"/>
        <w:rPr>
          <w:rFonts w:hint="default" w:ascii="黑体" w:hAnsi="黑体" w:eastAsia="黑体" w:cs="黑体"/>
          <w:color w:val="auto"/>
          <w:spacing w:val="0"/>
          <w:kern w:val="0"/>
          <w:sz w:val="32"/>
          <w:szCs w:val="32"/>
          <w:highlight w:val="none"/>
          <w:lang w:val="en-US" w:eastAsia="zh-CN"/>
        </w:rPr>
      </w:pPr>
      <w:r>
        <w:rPr>
          <w:rFonts w:hint="eastAsia" w:ascii="仿宋" w:hAnsi="仿宋" w:eastAsia="仿宋" w:cs="仿宋"/>
          <w:color w:val="auto"/>
          <w:szCs w:val="32"/>
          <w:highlight w:val="none"/>
          <w:lang w:val="zh-CN"/>
        </w:rPr>
        <w:t>建议</w:t>
      </w:r>
      <w:r>
        <w:rPr>
          <w:rFonts w:hint="eastAsia" w:ascii="仿宋" w:hAnsi="仿宋" w:eastAsia="仿宋" w:cs="仿宋"/>
          <w:color w:val="auto"/>
          <w:spacing w:val="0"/>
          <w:kern w:val="0"/>
          <w:sz w:val="32"/>
          <w:szCs w:val="32"/>
          <w:highlight w:val="none"/>
          <w:lang w:val="en-US" w:eastAsia="zh-CN"/>
        </w:rPr>
        <w:t>加强预算管理，增加对预算人员的培训，全员参与预算管理与编制，提高预算质量。</w:t>
      </w:r>
    </w:p>
    <w:p>
      <w:pPr>
        <w:pStyle w:val="6"/>
        <w:keepNext w:val="0"/>
        <w:keepLines w:val="0"/>
        <w:pageBreakBefore w:val="0"/>
        <w:numPr>
          <w:ilvl w:val="0"/>
          <w:numId w:val="2"/>
        </w:numPr>
        <w:kinsoku/>
        <w:wordWrap/>
        <w:overflowPunct/>
        <w:topLinePunct w:val="0"/>
        <w:bidi w:val="0"/>
        <w:spacing w:line="600" w:lineRule="exact"/>
        <w:ind w:left="0" w:leftChars="0" w:firstLine="640" w:firstLineChars="200"/>
        <w:jc w:val="left"/>
        <w:outlineLvl w:val="2"/>
        <w:rPr>
          <w:rFonts w:hint="eastAsia" w:ascii="仿宋" w:hAnsi="仿宋" w:eastAsia="仿宋" w:cs="仿宋"/>
          <w:color w:val="auto"/>
          <w:szCs w:val="32"/>
          <w:highlight w:val="none"/>
          <w:lang w:val="zh-CN"/>
        </w:rPr>
      </w:pPr>
      <w:r>
        <w:rPr>
          <w:rFonts w:hint="eastAsia" w:ascii="仿宋" w:hAnsi="仿宋" w:eastAsia="仿宋" w:cs="仿宋"/>
          <w:color w:val="auto"/>
          <w:szCs w:val="32"/>
          <w:highlight w:val="none"/>
          <w:lang w:val="zh-CN"/>
        </w:rPr>
        <w:t>仁和区林业局截止2022年末绩效目标完成率未达到100%，项目完成率未达到100%，资金支付率未达到100%的情况。</w:t>
      </w:r>
    </w:p>
    <w:p>
      <w:pPr>
        <w:pStyle w:val="6"/>
        <w:keepNext w:val="0"/>
        <w:keepLines w:val="0"/>
        <w:pageBreakBefore w:val="0"/>
        <w:numPr>
          <w:ilvl w:val="0"/>
          <w:numId w:val="0"/>
        </w:numPr>
        <w:kinsoku/>
        <w:wordWrap/>
        <w:overflowPunct/>
        <w:topLinePunct w:val="0"/>
        <w:bidi w:val="0"/>
        <w:spacing w:line="600" w:lineRule="exact"/>
        <w:ind w:firstLine="640" w:firstLineChars="200"/>
        <w:jc w:val="left"/>
        <w:outlineLvl w:val="2"/>
        <w:rPr>
          <w:rFonts w:hint="default" w:ascii="Times New Roman" w:hAnsi="Times New Roman" w:cs="Times New Roman"/>
          <w:color w:val="auto"/>
          <w:spacing w:val="0"/>
          <w:kern w:val="0"/>
          <w:sz w:val="32"/>
          <w:szCs w:val="32"/>
          <w:highlight w:val="none"/>
          <w:lang w:val="en-US" w:eastAsia="zh-CN"/>
        </w:rPr>
      </w:pPr>
      <w:r>
        <w:rPr>
          <w:rFonts w:hint="eastAsia" w:ascii="仿宋" w:hAnsi="仿宋" w:eastAsia="仿宋" w:cs="仿宋"/>
          <w:color w:val="auto"/>
          <w:szCs w:val="32"/>
          <w:highlight w:val="none"/>
          <w:lang w:val="zh-CN"/>
        </w:rPr>
        <w:t>建议仁和区林业局及时支付资金，统筹项目资金分配，作细作准强化中长期规划及调整</w:t>
      </w:r>
      <w:r>
        <w:rPr>
          <w:rFonts w:hint="eastAsia" w:ascii="Times New Roman" w:hAnsi="Times New Roman" w:cs="Times New Roman"/>
          <w:color w:val="auto"/>
          <w:spacing w:val="0"/>
          <w:kern w:val="0"/>
          <w:sz w:val="32"/>
          <w:szCs w:val="32"/>
          <w:highlight w:val="none"/>
          <w:lang w:val="en-US" w:eastAsia="zh-CN"/>
        </w:rPr>
        <w:t>。</w:t>
      </w:r>
    </w:p>
    <w:p>
      <w:pPr>
        <w:pStyle w:val="6"/>
        <w:keepNext w:val="0"/>
        <w:keepLines w:val="0"/>
        <w:pageBreakBefore w:val="0"/>
        <w:numPr>
          <w:ilvl w:val="0"/>
          <w:numId w:val="0"/>
        </w:numPr>
        <w:kinsoku/>
        <w:wordWrap/>
        <w:overflowPunct/>
        <w:topLinePunct w:val="0"/>
        <w:bidi w:val="0"/>
        <w:spacing w:line="600" w:lineRule="exact"/>
        <w:ind w:firstLine="640" w:firstLineChars="200"/>
        <w:jc w:val="left"/>
        <w:outlineLvl w:val="2"/>
        <w:rPr>
          <w:rFonts w:hint="default" w:ascii="Times New Roman" w:hAnsi="Times New Roman" w:cs="Times New Roman"/>
          <w:color w:val="auto"/>
          <w:spacing w:val="0"/>
          <w:kern w:val="0"/>
          <w:sz w:val="32"/>
          <w:szCs w:val="32"/>
          <w:highlight w:val="none"/>
          <w:lang w:val="en-US" w:eastAsia="zh-CN"/>
        </w:rPr>
      </w:pPr>
      <w:r>
        <w:rPr>
          <w:rFonts w:hint="eastAsia" w:ascii="Times New Roman" w:hAnsi="Times New Roman" w:cs="Times New Roman"/>
          <w:color w:val="auto"/>
          <w:spacing w:val="0"/>
          <w:kern w:val="0"/>
          <w:sz w:val="32"/>
          <w:szCs w:val="32"/>
          <w:highlight w:val="none"/>
          <w:lang w:val="en-US" w:eastAsia="zh-CN"/>
        </w:rPr>
        <w:t>3.建议加强专项项目的跟踪，积极协调沟通上级业务主管部门。</w:t>
      </w:r>
    </w:p>
    <w:p>
      <w:pPr>
        <w:pStyle w:val="6"/>
        <w:spacing w:line="600" w:lineRule="exact"/>
        <w:ind w:firstLine="640" w:firstLineChars="200"/>
        <w:jc w:val="left"/>
        <w:rPr>
          <w:rFonts w:hint="eastAsia" w:ascii="仿宋" w:hAnsi="仿宋" w:eastAsia="仿宋" w:cs="仿宋"/>
          <w:b w:val="0"/>
          <w:bCs/>
          <w:color w:val="auto"/>
          <w:kern w:val="2"/>
          <w:sz w:val="32"/>
          <w:szCs w:val="32"/>
          <w:highlight w:val="none"/>
          <w:lang w:val="zh-CN" w:eastAsia="zh-CN" w:bidi="ar-SA"/>
        </w:rPr>
      </w:pPr>
      <w:r>
        <w:rPr>
          <w:rFonts w:hint="eastAsia" w:ascii="仿宋" w:hAnsi="仿宋" w:eastAsia="仿宋" w:cs="仿宋"/>
          <w:b w:val="0"/>
          <w:bCs/>
          <w:color w:val="auto"/>
          <w:kern w:val="2"/>
          <w:sz w:val="32"/>
          <w:szCs w:val="32"/>
          <w:highlight w:val="none"/>
          <w:lang w:val="en-US" w:eastAsia="zh-CN" w:bidi="ar-SA"/>
        </w:rPr>
        <w:t>4.</w:t>
      </w:r>
      <w:r>
        <w:rPr>
          <w:rFonts w:hint="eastAsia" w:ascii="仿宋" w:hAnsi="仿宋" w:eastAsia="仿宋" w:cs="仿宋"/>
          <w:b w:val="0"/>
          <w:bCs/>
          <w:color w:val="auto"/>
          <w:kern w:val="2"/>
          <w:sz w:val="32"/>
          <w:szCs w:val="32"/>
          <w:highlight w:val="none"/>
          <w:lang w:val="zh-CN" w:eastAsia="zh-CN" w:bidi="ar-SA"/>
        </w:rPr>
        <w:t>未全面使用公务卡。如：</w:t>
      </w:r>
    </w:p>
    <w:p>
      <w:pPr>
        <w:pStyle w:val="6"/>
        <w:spacing w:line="600" w:lineRule="exact"/>
        <w:ind w:firstLine="640" w:firstLineChars="200"/>
        <w:rPr>
          <w:rFonts w:hint="eastAsia" w:ascii="Times New Roman" w:hAnsi="Times New Roman" w:eastAsia="仿宋" w:cs="Times New Roman"/>
          <w:color w:val="auto"/>
          <w:kern w:val="2"/>
          <w:sz w:val="32"/>
          <w:szCs w:val="32"/>
          <w:highlight w:val="none"/>
          <w:lang w:val="zh-CN" w:eastAsia="zh-CN" w:bidi="ar-SA"/>
        </w:rPr>
      </w:pPr>
      <w:r>
        <w:rPr>
          <w:rFonts w:hint="default" w:ascii="Times New Roman" w:hAnsi="Times New Roman" w:eastAsia="仿宋" w:cs="Times New Roman"/>
          <w:b w:val="0"/>
          <w:bCs/>
          <w:color w:val="auto"/>
          <w:kern w:val="2"/>
          <w:sz w:val="32"/>
          <w:szCs w:val="32"/>
          <w:highlight w:val="none"/>
          <w:lang w:val="zh-CN" w:eastAsia="zh-CN" w:bidi="ar-SA"/>
        </w:rPr>
        <w:t>2022</w:t>
      </w:r>
      <w:r>
        <w:rPr>
          <w:rFonts w:hint="eastAsia" w:ascii="仿宋" w:hAnsi="仿宋" w:eastAsia="仿宋" w:cs="仿宋"/>
          <w:b w:val="0"/>
          <w:bCs/>
          <w:color w:val="auto"/>
          <w:kern w:val="2"/>
          <w:sz w:val="32"/>
          <w:szCs w:val="32"/>
          <w:highlight w:val="none"/>
          <w:lang w:val="zh-CN" w:eastAsia="zh-CN" w:bidi="ar-SA"/>
        </w:rPr>
        <w:t>年</w:t>
      </w:r>
      <w:r>
        <w:rPr>
          <w:rFonts w:hint="default" w:ascii="Times New Roman" w:hAnsi="Times New Roman" w:eastAsia="仿宋" w:cs="Times New Roman"/>
          <w:b w:val="0"/>
          <w:bCs/>
          <w:color w:val="auto"/>
          <w:kern w:val="2"/>
          <w:sz w:val="32"/>
          <w:szCs w:val="32"/>
          <w:highlight w:val="none"/>
          <w:lang w:val="zh-CN" w:eastAsia="zh-CN" w:bidi="ar-SA"/>
        </w:rPr>
        <w:t>8</w:t>
      </w:r>
      <w:r>
        <w:rPr>
          <w:rFonts w:hint="eastAsia" w:ascii="Times New Roman" w:hAnsi="Times New Roman" w:eastAsia="仿宋" w:cs="Times New Roman"/>
          <w:b w:val="0"/>
          <w:bCs/>
          <w:color w:val="auto"/>
          <w:kern w:val="2"/>
          <w:sz w:val="32"/>
          <w:szCs w:val="32"/>
          <w:highlight w:val="none"/>
          <w:lang w:val="zh-CN" w:eastAsia="zh-CN" w:bidi="ar-SA"/>
        </w:rPr>
        <w:t>月</w:t>
      </w:r>
      <w:r>
        <w:rPr>
          <w:rFonts w:hint="default" w:ascii="Times New Roman" w:hAnsi="Times New Roman" w:eastAsia="仿宋" w:cs="Times New Roman"/>
          <w:b w:val="0"/>
          <w:bCs/>
          <w:color w:val="auto"/>
          <w:kern w:val="2"/>
          <w:sz w:val="32"/>
          <w:szCs w:val="32"/>
          <w:highlight w:val="none"/>
          <w:lang w:val="zh-CN" w:eastAsia="zh-CN" w:bidi="ar-SA"/>
        </w:rPr>
        <w:t>2</w:t>
      </w:r>
      <w:r>
        <w:rPr>
          <w:rFonts w:hint="eastAsia" w:ascii="仿宋" w:hAnsi="仿宋" w:eastAsia="仿宋" w:cs="仿宋"/>
          <w:b w:val="0"/>
          <w:bCs/>
          <w:color w:val="auto"/>
          <w:kern w:val="2"/>
          <w:sz w:val="32"/>
          <w:szCs w:val="32"/>
          <w:highlight w:val="none"/>
          <w:lang w:val="zh-CN" w:eastAsia="zh-CN" w:bidi="ar-SA"/>
        </w:rPr>
        <w:t>号凭证，支付</w:t>
      </w:r>
      <w:r>
        <w:rPr>
          <w:rFonts w:hint="eastAsia" w:ascii="Times New Roman" w:hAnsi="Times New Roman" w:eastAsia="仿宋" w:cs="Times New Roman"/>
          <w:color w:val="auto"/>
          <w:kern w:val="2"/>
          <w:sz w:val="32"/>
          <w:szCs w:val="32"/>
          <w:highlight w:val="none"/>
          <w:lang w:val="zh-CN" w:eastAsia="zh-CN" w:bidi="ar-SA"/>
        </w:rPr>
        <w:t>接待费5,279.00元；2022年9月7号凭证，支付李佑明成都出差4,280.00元，以上凭证具有相同问题是未按规定使用公务卡。</w:t>
      </w:r>
    </w:p>
    <w:p>
      <w:pPr>
        <w:pStyle w:val="6"/>
        <w:spacing w:line="600" w:lineRule="exact"/>
        <w:ind w:firstLine="640" w:firstLineChars="200"/>
        <w:rPr>
          <w:rFonts w:hint="eastAsia" w:ascii="Times New Roman" w:hAnsi="Times New Roman" w:eastAsia="仿宋" w:cs="Times New Roman"/>
          <w:color w:val="auto"/>
          <w:kern w:val="2"/>
          <w:sz w:val="32"/>
          <w:szCs w:val="32"/>
          <w:highlight w:val="none"/>
          <w:lang w:val="zh-CN" w:eastAsia="zh-CN" w:bidi="ar-SA"/>
        </w:rPr>
      </w:pPr>
      <w:r>
        <w:rPr>
          <w:rFonts w:hint="eastAsia" w:ascii="Times New Roman" w:hAnsi="Times New Roman" w:eastAsia="仿宋" w:cs="Times New Roman"/>
          <w:color w:val="auto"/>
          <w:kern w:val="2"/>
          <w:sz w:val="32"/>
          <w:szCs w:val="32"/>
          <w:highlight w:val="none"/>
          <w:lang w:val="zh-CN" w:eastAsia="zh-CN" w:bidi="ar-SA"/>
        </w:rPr>
        <w:t>建议按市区财政有关要求，全面规范使用公务卡。</w:t>
      </w:r>
    </w:p>
    <w:p>
      <w:pPr>
        <w:pStyle w:val="6"/>
        <w:spacing w:line="600" w:lineRule="exact"/>
        <w:ind w:firstLine="640" w:firstLineChars="200"/>
        <w:outlineLvl w:val="1"/>
        <w:rPr>
          <w:rFonts w:hint="eastAsia" w:ascii="Times New Roman" w:hAnsi="Times New Roman" w:eastAsia="仿宋" w:cs="Times New Roman"/>
          <w:color w:val="auto"/>
          <w:kern w:val="2"/>
          <w:sz w:val="32"/>
          <w:szCs w:val="32"/>
          <w:highlight w:val="none"/>
          <w:lang w:val="zh-CN" w:eastAsia="zh-CN" w:bidi="ar-SA"/>
        </w:rPr>
      </w:pPr>
      <w:bookmarkStart w:id="112" w:name="_Toc1916"/>
      <w:bookmarkStart w:id="113" w:name="_Toc18039"/>
      <w:bookmarkStart w:id="114" w:name="_Toc1651"/>
      <w:r>
        <w:rPr>
          <w:rFonts w:hint="eastAsia" w:ascii="仿宋" w:hAnsi="仿宋" w:eastAsia="仿宋" w:cs="仿宋"/>
          <w:b w:val="0"/>
          <w:bCs w:val="0"/>
          <w:color w:val="auto"/>
          <w:kern w:val="2"/>
          <w:sz w:val="32"/>
          <w:szCs w:val="32"/>
          <w:highlight w:val="none"/>
          <w:lang w:val="en-US" w:eastAsia="zh-CN" w:bidi="ar-SA"/>
        </w:rPr>
        <w:t>5.应加强</w:t>
      </w:r>
      <w:r>
        <w:rPr>
          <w:rFonts w:hint="eastAsia" w:ascii="仿宋" w:hAnsi="仿宋" w:eastAsia="仿宋" w:cs="仿宋"/>
          <w:b w:val="0"/>
          <w:bCs w:val="0"/>
          <w:color w:val="auto"/>
          <w:kern w:val="2"/>
          <w:sz w:val="32"/>
          <w:szCs w:val="32"/>
          <w:highlight w:val="none"/>
          <w:lang w:val="zh-CN" w:eastAsia="zh-CN" w:bidi="ar-SA"/>
        </w:rPr>
        <w:t>费用报销审核。如</w:t>
      </w:r>
      <w:r>
        <w:rPr>
          <w:rFonts w:hint="eastAsia" w:ascii="Times New Roman" w:hAnsi="Times New Roman" w:eastAsia="仿宋" w:cs="Times New Roman"/>
          <w:color w:val="auto"/>
          <w:kern w:val="2"/>
          <w:sz w:val="32"/>
          <w:szCs w:val="32"/>
          <w:highlight w:val="none"/>
          <w:lang w:val="zh-CN" w:eastAsia="zh-CN" w:bidi="ar-SA"/>
        </w:rPr>
        <w:t>：</w:t>
      </w:r>
      <w:bookmarkEnd w:id="112"/>
      <w:bookmarkEnd w:id="113"/>
      <w:bookmarkEnd w:id="114"/>
    </w:p>
    <w:p>
      <w:pPr>
        <w:pStyle w:val="6"/>
        <w:spacing w:line="600" w:lineRule="exact"/>
        <w:ind w:firstLine="640" w:firstLineChars="200"/>
        <w:rPr>
          <w:rFonts w:hint="eastAsia" w:ascii="Times New Roman" w:hAnsi="Times New Roman" w:eastAsia="仿宋" w:cs="Times New Roman"/>
          <w:color w:val="auto"/>
          <w:kern w:val="2"/>
          <w:sz w:val="32"/>
          <w:szCs w:val="32"/>
          <w:highlight w:val="none"/>
          <w:lang w:val="en-US" w:eastAsia="zh-CN" w:bidi="ar-SA"/>
        </w:rPr>
      </w:pPr>
      <w:r>
        <w:rPr>
          <w:rFonts w:hint="eastAsia" w:ascii="Times New Roman" w:hAnsi="Times New Roman" w:eastAsia="仿宋" w:cs="Times New Roman"/>
          <w:color w:val="auto"/>
          <w:kern w:val="2"/>
          <w:sz w:val="32"/>
          <w:szCs w:val="32"/>
          <w:highlight w:val="none"/>
          <w:lang w:val="zh-CN" w:eastAsia="zh-CN" w:bidi="ar-SA"/>
        </w:rPr>
        <w:t>2022年4月4号凭证，支付车东峻出差差旅费11842</w:t>
      </w:r>
      <w:r>
        <w:rPr>
          <w:rFonts w:hint="eastAsia" w:ascii="Times New Roman" w:hAnsi="Times New Roman" w:eastAsia="仿宋" w:cs="Times New Roman"/>
          <w:color w:val="auto"/>
          <w:kern w:val="2"/>
          <w:sz w:val="32"/>
          <w:szCs w:val="32"/>
          <w:highlight w:val="none"/>
          <w:lang w:val="en-US" w:eastAsia="zh-CN" w:bidi="ar-SA"/>
        </w:rPr>
        <w:t>.00</w:t>
      </w:r>
      <w:r>
        <w:rPr>
          <w:rFonts w:hint="eastAsia" w:ascii="Times New Roman" w:hAnsi="Times New Roman" w:eastAsia="仿宋" w:cs="Times New Roman"/>
          <w:color w:val="auto"/>
          <w:kern w:val="2"/>
          <w:sz w:val="32"/>
          <w:szCs w:val="32"/>
          <w:highlight w:val="none"/>
          <w:lang w:val="zh-CN" w:eastAsia="zh-CN" w:bidi="ar-SA"/>
        </w:rPr>
        <w:t>元，其中2022年1月16日至21日成都出差，飞机票报销2540</w:t>
      </w:r>
      <w:r>
        <w:rPr>
          <w:rFonts w:hint="eastAsia" w:ascii="Times New Roman" w:hAnsi="Times New Roman" w:eastAsia="仿宋" w:cs="Times New Roman"/>
          <w:color w:val="auto"/>
          <w:kern w:val="2"/>
          <w:sz w:val="32"/>
          <w:szCs w:val="32"/>
          <w:highlight w:val="none"/>
          <w:lang w:val="en-US" w:eastAsia="zh-CN" w:bidi="ar-SA"/>
        </w:rPr>
        <w:t>.00</w:t>
      </w:r>
      <w:r>
        <w:rPr>
          <w:rFonts w:hint="eastAsia" w:ascii="Times New Roman" w:hAnsi="Times New Roman" w:eastAsia="仿宋" w:cs="Times New Roman"/>
          <w:color w:val="auto"/>
          <w:kern w:val="2"/>
          <w:sz w:val="32"/>
          <w:szCs w:val="32"/>
          <w:highlight w:val="none"/>
          <w:lang w:val="zh-CN" w:eastAsia="zh-CN" w:bidi="ar-SA"/>
        </w:rPr>
        <w:t>元，但后附票据2530</w:t>
      </w:r>
      <w:r>
        <w:rPr>
          <w:rFonts w:hint="eastAsia" w:ascii="Times New Roman" w:hAnsi="Times New Roman" w:eastAsia="仿宋" w:cs="Times New Roman"/>
          <w:color w:val="auto"/>
          <w:kern w:val="2"/>
          <w:sz w:val="32"/>
          <w:szCs w:val="32"/>
          <w:highlight w:val="none"/>
          <w:lang w:val="en-US" w:eastAsia="zh-CN" w:bidi="ar-SA"/>
        </w:rPr>
        <w:t>.00</w:t>
      </w:r>
      <w:r>
        <w:rPr>
          <w:rFonts w:hint="eastAsia" w:ascii="Times New Roman" w:hAnsi="Times New Roman" w:eastAsia="仿宋" w:cs="Times New Roman"/>
          <w:color w:val="auto"/>
          <w:kern w:val="2"/>
          <w:sz w:val="32"/>
          <w:szCs w:val="32"/>
          <w:highlight w:val="none"/>
          <w:lang w:val="zh-CN" w:eastAsia="zh-CN" w:bidi="ar-SA"/>
        </w:rPr>
        <w:t>元，多报销了</w:t>
      </w:r>
      <w:r>
        <w:rPr>
          <w:rFonts w:hint="eastAsia" w:ascii="Times New Roman" w:hAnsi="Times New Roman" w:eastAsia="仿宋" w:cs="Times New Roman"/>
          <w:color w:val="auto"/>
          <w:kern w:val="2"/>
          <w:sz w:val="32"/>
          <w:szCs w:val="32"/>
          <w:highlight w:val="none"/>
          <w:lang w:val="en-US" w:eastAsia="zh-CN" w:bidi="ar-SA"/>
        </w:rPr>
        <w:t>10.00元。</w:t>
      </w:r>
    </w:p>
    <w:p>
      <w:pPr>
        <w:pStyle w:val="6"/>
        <w:spacing w:line="600" w:lineRule="exact"/>
        <w:ind w:firstLine="640" w:firstLineChars="200"/>
        <w:rPr>
          <w:rFonts w:hint="eastAsia" w:ascii="Times New Roman" w:hAnsi="Times New Roman" w:cs="Times New Roman"/>
          <w:color w:val="auto"/>
          <w:spacing w:val="0"/>
          <w:kern w:val="0"/>
          <w:sz w:val="32"/>
          <w:szCs w:val="32"/>
          <w:highlight w:val="none"/>
        </w:rPr>
      </w:pPr>
      <w:r>
        <w:rPr>
          <w:rFonts w:hint="eastAsia" w:ascii="Times New Roman" w:hAnsi="Times New Roman" w:cs="Times New Roman"/>
          <w:color w:val="auto"/>
          <w:spacing w:val="0"/>
          <w:kern w:val="0"/>
          <w:sz w:val="32"/>
          <w:szCs w:val="32"/>
          <w:highlight w:val="none"/>
        </w:rPr>
        <w:t>建议</w:t>
      </w:r>
      <w:r>
        <w:rPr>
          <w:rFonts w:hint="eastAsia" w:ascii="Times New Roman" w:hAnsi="Times New Roman" w:cs="Times New Roman"/>
          <w:color w:val="auto"/>
          <w:spacing w:val="0"/>
          <w:kern w:val="0"/>
          <w:sz w:val="32"/>
          <w:szCs w:val="32"/>
          <w:highlight w:val="none"/>
          <w:lang w:eastAsia="zh-CN"/>
        </w:rPr>
        <w:t>仁和区林业局</w:t>
      </w:r>
      <w:r>
        <w:rPr>
          <w:rFonts w:hint="eastAsia" w:ascii="Times New Roman" w:hAnsi="Times New Roman" w:cs="Times New Roman"/>
          <w:color w:val="auto"/>
          <w:spacing w:val="0"/>
          <w:kern w:val="0"/>
          <w:sz w:val="32"/>
          <w:szCs w:val="32"/>
          <w:highlight w:val="none"/>
        </w:rPr>
        <w:t>建立健全单位内控制度，并且严格按照内控制度执行。对会计原始依据不全，审核不严的问题，建议自查自纠，及时补充完整，严格按照财务规章制度实施。</w:t>
      </w:r>
    </w:p>
    <w:p>
      <w:pPr>
        <w:pStyle w:val="6"/>
        <w:spacing w:line="600" w:lineRule="exact"/>
        <w:ind w:firstLine="640" w:firstLineChars="200"/>
        <w:rPr>
          <w:rFonts w:hint="eastAsia" w:ascii="Times New Roman" w:hAnsi="Times New Roman" w:eastAsia="仿宋"/>
          <w:color w:val="auto"/>
          <w:szCs w:val="32"/>
          <w:highlight w:val="none"/>
          <w:lang w:val="zh-CN"/>
        </w:rPr>
      </w:pPr>
      <w:r>
        <w:rPr>
          <w:rFonts w:hint="eastAsia" w:ascii="Times New Roman" w:hAnsi="Times New Roman" w:cs="Times New Roman"/>
          <w:color w:val="auto"/>
          <w:spacing w:val="0"/>
          <w:kern w:val="0"/>
          <w:sz w:val="32"/>
          <w:szCs w:val="32"/>
          <w:highlight w:val="none"/>
          <w:lang w:val="en-US" w:eastAsia="zh-CN"/>
        </w:rPr>
        <w:t>6.绩效自评工作是财政部规定的常规性工作，建议仁和区林业局绩效自评工作应当全面、内设机构全员参与，通过绩效评价，以评促改，以评促效，以评促规。提升项目的管理和资金的使用效率。</w:t>
      </w:r>
    </w:p>
    <w:p>
      <w:pPr>
        <w:pStyle w:val="6"/>
        <w:spacing w:line="600" w:lineRule="exact"/>
        <w:ind w:left="1600" w:leftChars="200" w:hanging="960" w:hangingChars="300"/>
        <w:rPr>
          <w:rFonts w:hint="eastAsia" w:ascii="Times New Roman" w:hAnsi="Times New Roman" w:eastAsia="仿宋"/>
          <w:color w:val="auto"/>
          <w:szCs w:val="32"/>
          <w:highlight w:val="none"/>
          <w:lang w:val="zh-CN"/>
        </w:rPr>
      </w:pPr>
      <w:bookmarkStart w:id="115" w:name="_Toc23819"/>
    </w:p>
    <w:p>
      <w:pPr>
        <w:pStyle w:val="6"/>
        <w:spacing w:line="600" w:lineRule="exact"/>
        <w:ind w:left="1600" w:leftChars="200" w:hanging="960" w:hangingChars="300"/>
        <w:rPr>
          <w:rFonts w:hint="eastAsia" w:ascii="Times New Roman" w:hAnsi="Times New Roman" w:eastAsia="仿宋"/>
          <w:color w:val="auto"/>
          <w:szCs w:val="32"/>
          <w:highlight w:val="none"/>
          <w:lang w:val="zh-CN"/>
        </w:rPr>
      </w:pPr>
    </w:p>
    <w:p>
      <w:pPr>
        <w:pStyle w:val="6"/>
        <w:spacing w:line="600" w:lineRule="exact"/>
        <w:ind w:left="1600" w:leftChars="200" w:hanging="960" w:hangingChars="300"/>
        <w:rPr>
          <w:rFonts w:hint="eastAsia" w:ascii="Times New Roman" w:hAnsi="Times New Roman" w:eastAsia="仿宋"/>
          <w:color w:val="auto"/>
          <w:szCs w:val="32"/>
          <w:highlight w:val="none"/>
          <w:lang w:val="zh-CN"/>
        </w:rPr>
      </w:pPr>
    </w:p>
    <w:p>
      <w:pPr>
        <w:pStyle w:val="6"/>
        <w:spacing w:line="600" w:lineRule="exact"/>
        <w:ind w:left="1600" w:leftChars="200" w:hanging="960" w:hangingChars="300"/>
        <w:rPr>
          <w:rFonts w:hint="eastAsia" w:ascii="Times New Roman" w:hAnsi="Times New Roman" w:eastAsia="仿宋"/>
          <w:color w:val="auto"/>
          <w:szCs w:val="32"/>
          <w:highlight w:val="none"/>
          <w:lang w:val="zh-CN"/>
        </w:rPr>
      </w:pPr>
    </w:p>
    <w:p>
      <w:pPr>
        <w:pStyle w:val="6"/>
        <w:spacing w:line="600" w:lineRule="exact"/>
        <w:ind w:left="1600" w:leftChars="200" w:hanging="960" w:hangingChars="300"/>
        <w:rPr>
          <w:rFonts w:hint="eastAsia" w:ascii="Times New Roman" w:hAnsi="Times New Roman" w:eastAsia="仿宋"/>
          <w:color w:val="auto"/>
          <w:szCs w:val="32"/>
          <w:highlight w:val="none"/>
          <w:lang w:val="zh-CN"/>
        </w:rPr>
      </w:pPr>
      <w:r>
        <w:rPr>
          <w:rFonts w:hint="eastAsia" w:ascii="Times New Roman" w:hAnsi="Times New Roman" w:eastAsia="仿宋"/>
          <w:color w:val="auto"/>
          <w:szCs w:val="32"/>
          <w:highlight w:val="none"/>
          <w:lang w:val="zh-CN"/>
        </w:rPr>
        <w:t>（本页无正文）</w:t>
      </w:r>
    </w:p>
    <w:p>
      <w:pPr>
        <w:pStyle w:val="6"/>
        <w:spacing w:line="600" w:lineRule="exact"/>
        <w:ind w:left="1600" w:leftChars="200" w:hanging="960" w:hangingChars="300"/>
        <w:rPr>
          <w:rFonts w:hint="eastAsia" w:ascii="Times New Roman" w:hAnsi="Times New Roman" w:eastAsia="仿宋"/>
          <w:color w:val="auto"/>
          <w:szCs w:val="32"/>
          <w:highlight w:val="none"/>
          <w:lang w:val="zh-CN"/>
        </w:rPr>
      </w:pPr>
    </w:p>
    <w:p>
      <w:pPr>
        <w:pStyle w:val="6"/>
        <w:spacing w:line="600" w:lineRule="exact"/>
        <w:ind w:left="1600" w:leftChars="200" w:hanging="960" w:hangingChars="300"/>
        <w:rPr>
          <w:rFonts w:hint="eastAsia" w:ascii="Times New Roman" w:hAnsi="Times New Roman" w:eastAsia="仿宋"/>
          <w:color w:val="auto"/>
          <w:szCs w:val="32"/>
          <w:highlight w:val="none"/>
          <w:lang w:val="zh-CN"/>
        </w:rPr>
      </w:pPr>
      <w:r>
        <w:rPr>
          <w:rFonts w:hint="eastAsia" w:ascii="Times New Roman" w:hAnsi="Times New Roman" w:eastAsia="仿宋"/>
          <w:color w:val="auto"/>
          <w:szCs w:val="32"/>
          <w:highlight w:val="none"/>
          <w:lang w:val="en-US" w:eastAsia="zh-CN"/>
        </w:rPr>
        <w:t xml:space="preserve"> </w:t>
      </w:r>
    </w:p>
    <w:p>
      <w:pPr>
        <w:pStyle w:val="6"/>
        <w:spacing w:line="600" w:lineRule="exact"/>
        <w:ind w:left="1600" w:leftChars="200" w:hanging="960" w:hangingChars="300"/>
        <w:rPr>
          <w:rFonts w:hint="eastAsia" w:ascii="Times New Roman" w:hAnsi="Times New Roman" w:eastAsia="仿宋"/>
          <w:color w:val="auto"/>
          <w:szCs w:val="32"/>
          <w:highlight w:val="none"/>
          <w:lang w:val="zh-CN"/>
        </w:rPr>
      </w:pPr>
    </w:p>
    <w:p>
      <w:pPr>
        <w:pStyle w:val="6"/>
        <w:spacing w:line="600" w:lineRule="exact"/>
        <w:ind w:left="1600" w:leftChars="200" w:hanging="960" w:hangingChars="300"/>
        <w:rPr>
          <w:rFonts w:hint="eastAsia" w:ascii="Times New Roman" w:hAnsi="Times New Roman" w:eastAsia="仿宋"/>
          <w:color w:val="auto"/>
          <w:szCs w:val="32"/>
          <w:highlight w:val="none"/>
          <w:lang w:val="zh-CN"/>
        </w:rPr>
      </w:pPr>
      <w:bookmarkStart w:id="116" w:name="_Toc19948"/>
      <w:r>
        <w:rPr>
          <w:rFonts w:hint="eastAsia" w:ascii="Times New Roman" w:hAnsi="Times New Roman" w:eastAsia="仿宋"/>
          <w:color w:val="auto"/>
          <w:szCs w:val="32"/>
          <w:highlight w:val="none"/>
          <w:lang w:val="zh-CN"/>
        </w:rPr>
        <w:t>附件：</w:t>
      </w:r>
      <w:bookmarkStart w:id="117" w:name="_Toc21502"/>
      <w:r>
        <w:rPr>
          <w:rFonts w:hint="eastAsia" w:ascii="Times New Roman" w:hAnsi="Times New Roman" w:eastAsia="仿宋"/>
          <w:color w:val="auto"/>
          <w:szCs w:val="32"/>
          <w:highlight w:val="none"/>
          <w:lang w:val="en-US" w:eastAsia="zh-CN"/>
        </w:rPr>
        <w:t>1.</w:t>
      </w:r>
      <w:r>
        <w:rPr>
          <w:rFonts w:hint="eastAsia" w:ascii="Times New Roman" w:hAnsi="Times New Roman" w:eastAsia="仿宋"/>
          <w:color w:val="auto"/>
          <w:szCs w:val="32"/>
          <w:highlight w:val="none"/>
          <w:lang w:val="zh-CN"/>
        </w:rPr>
        <w:t>攀枝花市仁和区林业局</w:t>
      </w:r>
      <w:r>
        <w:rPr>
          <w:rFonts w:hint="eastAsia" w:ascii="Times New Roman" w:hAnsi="Times New Roman" w:eastAsia="仿宋"/>
          <w:color w:val="auto"/>
          <w:szCs w:val="32"/>
          <w:highlight w:val="none"/>
        </w:rPr>
        <w:t>2022年度</w:t>
      </w:r>
      <w:r>
        <w:rPr>
          <w:rFonts w:hint="eastAsia" w:ascii="Times New Roman" w:hAnsi="Times New Roman" w:eastAsia="仿宋"/>
          <w:color w:val="auto"/>
          <w:szCs w:val="32"/>
          <w:highlight w:val="none"/>
          <w:lang w:val="zh-CN"/>
        </w:rPr>
        <w:t>部门整体支出绩效评价得分表</w:t>
      </w:r>
      <w:bookmarkEnd w:id="115"/>
      <w:bookmarkEnd w:id="116"/>
      <w:bookmarkEnd w:id="117"/>
    </w:p>
    <w:p>
      <w:pPr>
        <w:pStyle w:val="6"/>
        <w:numPr>
          <w:ilvl w:val="0"/>
          <w:numId w:val="0"/>
        </w:numPr>
        <w:spacing w:line="600" w:lineRule="exact"/>
        <w:ind w:firstLine="1600" w:firstLineChars="500"/>
        <w:rPr>
          <w:rFonts w:hint="eastAsia" w:ascii="Times New Roman" w:hAnsi="Times New Roman" w:eastAsia="仿宋"/>
          <w:color w:val="auto"/>
          <w:szCs w:val="32"/>
          <w:highlight w:val="none"/>
          <w:lang w:val="zh-CN"/>
        </w:rPr>
      </w:pPr>
      <w:bookmarkStart w:id="118" w:name="_Toc24021"/>
      <w:bookmarkStart w:id="119" w:name="_Toc2707"/>
      <w:bookmarkStart w:id="120" w:name="_Toc26430"/>
      <w:r>
        <w:rPr>
          <w:rFonts w:hint="eastAsia" w:ascii="Times New Roman" w:hAnsi="Times New Roman" w:eastAsia="仿宋"/>
          <w:color w:val="auto"/>
          <w:szCs w:val="32"/>
          <w:highlight w:val="none"/>
          <w:lang w:val="en-US" w:eastAsia="zh-CN"/>
        </w:rPr>
        <w:t>2.</w:t>
      </w:r>
      <w:r>
        <w:rPr>
          <w:rFonts w:hint="eastAsia" w:ascii="Times New Roman" w:hAnsi="Times New Roman" w:eastAsia="仿宋"/>
          <w:color w:val="auto"/>
          <w:szCs w:val="32"/>
          <w:highlight w:val="none"/>
          <w:lang w:val="zh-CN"/>
        </w:rPr>
        <w:t>绩效评价现场情况记录表</w:t>
      </w:r>
      <w:bookmarkEnd w:id="118"/>
      <w:bookmarkEnd w:id="119"/>
      <w:bookmarkEnd w:id="120"/>
    </w:p>
    <w:p>
      <w:pPr>
        <w:tabs>
          <w:tab w:val="left" w:pos="1260"/>
          <w:tab w:val="left" w:pos="1620"/>
          <w:tab w:val="left" w:pos="5220"/>
          <w:tab w:val="left" w:pos="5400"/>
        </w:tabs>
        <w:spacing w:line="360" w:lineRule="auto"/>
        <w:ind w:left="1120" w:leftChars="300" w:hanging="160" w:hangingChars="50"/>
        <w:jc w:val="right"/>
        <w:rPr>
          <w:rFonts w:hint="eastAsia" w:ascii="仿宋" w:hAnsi="仿宋" w:eastAsia="仿宋" w:cs="仿宋"/>
          <w:color w:val="auto"/>
          <w:kern w:val="0"/>
          <w:szCs w:val="32"/>
          <w:highlight w:val="none"/>
        </w:rPr>
      </w:pPr>
      <w:r>
        <w:rPr>
          <w:rFonts w:hint="eastAsia" w:ascii="仿宋" w:hAnsi="仿宋" w:eastAsia="仿宋" w:cs="仿宋"/>
          <w:color w:val="auto"/>
          <w:kern w:val="0"/>
          <w:szCs w:val="32"/>
          <w:highlight w:val="none"/>
        </w:rPr>
        <w:t xml:space="preserve">  </w:t>
      </w:r>
      <w:bookmarkStart w:id="121" w:name="_Toc970"/>
    </w:p>
    <w:p>
      <w:pPr>
        <w:tabs>
          <w:tab w:val="left" w:pos="1260"/>
          <w:tab w:val="left" w:pos="1620"/>
          <w:tab w:val="left" w:pos="5220"/>
          <w:tab w:val="left" w:pos="5400"/>
        </w:tabs>
        <w:spacing w:line="360" w:lineRule="auto"/>
        <w:ind w:left="1120" w:leftChars="300" w:hanging="160" w:hangingChars="50"/>
        <w:jc w:val="right"/>
        <w:rPr>
          <w:rFonts w:hint="eastAsia" w:ascii="仿宋" w:hAnsi="仿宋" w:eastAsia="仿宋" w:cs="仿宋"/>
          <w:color w:val="auto"/>
          <w:kern w:val="0"/>
          <w:szCs w:val="32"/>
          <w:highlight w:val="none"/>
        </w:rPr>
      </w:pPr>
    </w:p>
    <w:p>
      <w:pPr>
        <w:tabs>
          <w:tab w:val="left" w:pos="1260"/>
          <w:tab w:val="left" w:pos="1620"/>
          <w:tab w:val="left" w:pos="5220"/>
          <w:tab w:val="left" w:pos="5400"/>
        </w:tabs>
        <w:spacing w:line="360" w:lineRule="auto"/>
        <w:ind w:left="1120" w:leftChars="300" w:hanging="160" w:hangingChars="50"/>
        <w:jc w:val="right"/>
        <w:rPr>
          <w:rFonts w:hint="eastAsia" w:ascii="仿宋" w:hAnsi="仿宋" w:eastAsia="仿宋" w:cs="仿宋"/>
          <w:color w:val="auto"/>
          <w:kern w:val="0"/>
          <w:szCs w:val="32"/>
          <w:highlight w:val="none"/>
        </w:rPr>
      </w:pPr>
    </w:p>
    <w:p>
      <w:pPr>
        <w:tabs>
          <w:tab w:val="left" w:pos="1260"/>
          <w:tab w:val="left" w:pos="1620"/>
          <w:tab w:val="left" w:pos="5220"/>
          <w:tab w:val="left" w:pos="5400"/>
        </w:tabs>
        <w:spacing w:line="360" w:lineRule="auto"/>
        <w:ind w:left="1120" w:leftChars="300" w:hanging="160" w:hangingChars="50"/>
        <w:jc w:val="right"/>
        <w:rPr>
          <w:rFonts w:hint="eastAsia" w:ascii="仿宋" w:hAnsi="仿宋" w:eastAsia="仿宋" w:cs="仿宋"/>
          <w:b/>
          <w:color w:val="auto"/>
          <w:szCs w:val="32"/>
          <w:highlight w:val="none"/>
          <w:shd w:val="clear" w:color="auto" w:fill="FFFFFF"/>
        </w:rPr>
      </w:pPr>
      <w:r>
        <w:rPr>
          <w:rFonts w:hint="eastAsia" w:ascii="仿宋" w:hAnsi="仿宋" w:eastAsia="仿宋" w:cs="仿宋"/>
          <w:color w:val="auto"/>
          <w:kern w:val="0"/>
          <w:szCs w:val="32"/>
          <w:highlight w:val="none"/>
          <w:lang w:val="en-US" w:eastAsia="zh-CN"/>
        </w:rPr>
        <w:t xml:space="preserve">   </w:t>
      </w:r>
      <w:bookmarkStart w:id="122" w:name="_Toc26268"/>
      <w:bookmarkStart w:id="123" w:name="_Toc29777"/>
      <w:bookmarkStart w:id="124" w:name="_Toc14154"/>
      <w:r>
        <w:rPr>
          <w:rFonts w:hint="eastAsia" w:ascii="仿宋" w:hAnsi="仿宋" w:eastAsia="仿宋" w:cs="仿宋"/>
          <w:b/>
          <w:color w:val="auto"/>
          <w:szCs w:val="32"/>
          <w:highlight w:val="none"/>
          <w:shd w:val="clear" w:color="auto" w:fill="FFFFFF"/>
        </w:rPr>
        <w:t>攀枝花永道和会计咨询服务有限</w:t>
      </w:r>
      <w:bookmarkEnd w:id="121"/>
      <w:bookmarkEnd w:id="122"/>
      <w:bookmarkEnd w:id="123"/>
      <w:bookmarkEnd w:id="124"/>
    </w:p>
    <w:p>
      <w:pPr>
        <w:tabs>
          <w:tab w:val="left" w:pos="1260"/>
          <w:tab w:val="left" w:pos="1620"/>
          <w:tab w:val="left" w:pos="5220"/>
          <w:tab w:val="left" w:pos="5400"/>
        </w:tabs>
        <w:spacing w:line="360" w:lineRule="auto"/>
        <w:ind w:left="1121" w:leftChars="300" w:hanging="161" w:hangingChars="50"/>
        <w:jc w:val="center"/>
        <w:rPr>
          <w:rFonts w:hint="eastAsia"/>
          <w:color w:val="auto"/>
          <w:highlight w:val="none"/>
        </w:rPr>
      </w:pPr>
      <w:r>
        <w:rPr>
          <w:rFonts w:hint="eastAsia" w:ascii="仿宋" w:hAnsi="仿宋" w:eastAsia="仿宋" w:cs="仿宋"/>
          <w:b/>
          <w:color w:val="auto"/>
          <w:szCs w:val="32"/>
          <w:highlight w:val="none"/>
          <w:shd w:val="clear" w:color="auto" w:fill="FFFFFF"/>
          <w:lang w:val="en-US" w:eastAsia="zh-CN"/>
        </w:rPr>
        <w:t xml:space="preserve">                 </w:t>
      </w:r>
      <w:bookmarkStart w:id="125" w:name="_Toc2445"/>
      <w:bookmarkStart w:id="126" w:name="_Toc25031"/>
      <w:bookmarkStart w:id="127" w:name="_Toc22860"/>
      <w:r>
        <w:rPr>
          <w:rFonts w:hint="eastAsia" w:ascii="仿宋" w:hAnsi="仿宋" w:eastAsia="仿宋" w:cs="仿宋"/>
          <w:b/>
          <w:color w:val="auto"/>
          <w:szCs w:val="32"/>
          <w:highlight w:val="none"/>
          <w:shd w:val="clear" w:color="auto" w:fill="FFFFFF"/>
        </w:rPr>
        <w:t>202</w:t>
      </w:r>
      <w:r>
        <w:rPr>
          <w:rFonts w:ascii="仿宋" w:hAnsi="仿宋" w:eastAsia="仿宋" w:cs="仿宋"/>
          <w:b/>
          <w:color w:val="auto"/>
          <w:szCs w:val="32"/>
          <w:highlight w:val="none"/>
          <w:shd w:val="clear" w:color="auto" w:fill="FFFFFF"/>
        </w:rPr>
        <w:t>3</w:t>
      </w:r>
      <w:r>
        <w:rPr>
          <w:rFonts w:hint="eastAsia" w:ascii="仿宋" w:hAnsi="仿宋" w:eastAsia="仿宋" w:cs="仿宋"/>
          <w:b/>
          <w:color w:val="auto"/>
          <w:szCs w:val="32"/>
          <w:highlight w:val="none"/>
          <w:shd w:val="clear" w:color="auto" w:fill="FFFFFF"/>
        </w:rPr>
        <w:t>年10月2</w:t>
      </w:r>
      <w:r>
        <w:rPr>
          <w:rFonts w:ascii="仿宋" w:hAnsi="仿宋" w:eastAsia="仿宋" w:cs="仿宋"/>
          <w:b/>
          <w:color w:val="auto"/>
          <w:szCs w:val="32"/>
          <w:highlight w:val="none"/>
          <w:shd w:val="clear" w:color="auto" w:fill="FFFFFF"/>
        </w:rPr>
        <w:t>7</w:t>
      </w:r>
      <w:r>
        <w:rPr>
          <w:rFonts w:hint="eastAsia" w:ascii="仿宋" w:hAnsi="仿宋" w:eastAsia="仿宋" w:cs="仿宋"/>
          <w:b/>
          <w:color w:val="auto"/>
          <w:szCs w:val="32"/>
          <w:highlight w:val="none"/>
          <w:shd w:val="clear" w:color="auto" w:fill="FFFFFF"/>
        </w:rPr>
        <w:t>日</w:t>
      </w:r>
      <w:bookmarkEnd w:id="125"/>
      <w:bookmarkEnd w:id="126"/>
      <w:bookmarkEnd w:id="127"/>
    </w:p>
    <w:p>
      <w:pPr>
        <w:spacing w:line="600" w:lineRule="exact"/>
        <w:ind w:right="-714" w:rightChars="-223"/>
        <w:rPr>
          <w:rFonts w:hint="eastAsia" w:ascii="楷体" w:hAnsi="楷体" w:eastAsia="楷体" w:cs="楷体"/>
          <w:bCs/>
          <w:color w:val="auto"/>
          <w:sz w:val="30"/>
          <w:szCs w:val="30"/>
          <w:highlight w:val="none"/>
        </w:rPr>
      </w:pPr>
      <w:r>
        <w:rPr>
          <w:rFonts w:hint="eastAsia"/>
          <w:color w:val="auto"/>
          <w:highlight w:val="none"/>
        </w:rPr>
        <w:tab/>
      </w:r>
    </w:p>
    <w:sectPr>
      <w:footerReference r:id="rId6" w:type="default"/>
      <w:pgSz w:w="11906" w:h="16838"/>
      <w:pgMar w:top="2098" w:right="1359" w:bottom="1984" w:left="1587" w:header="1417" w:footer="992" w:gutter="0"/>
      <w:pgNumType w:fmt="decimal" w:start="1"/>
      <w:cols w:space="720" w:num="1"/>
      <w:docGrid w:type="lines" w:linePitch="43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0AFF" w:usb1="40007843" w:usb2="00000001" w:usb3="00000000" w:csb0="400001BF" w:csb1="DFF7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40001" w:csb1="00000000"/>
  </w:font>
  <w:font w:name="??">
    <w:altName w:val="Times New Roman"/>
    <w:panose1 w:val="00000000000000000000"/>
    <w:charset w:val="00"/>
    <w:family w:val="roman"/>
    <w:pitch w:val="default"/>
    <w:sig w:usb0="00000000" w:usb1="00000000" w:usb2="00000000" w:usb3="00000000" w:csb0="00040001" w:csb1="00000000"/>
  </w:font>
  <w:font w:name="FZHTK">
    <w:altName w:val="宋体"/>
    <w:panose1 w:val="00000000000000000000"/>
    <w:charset w:val="86"/>
    <w:family w:val="swiss"/>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楷体">
    <w:panose1 w:val="02010609060101010101"/>
    <w:charset w:val="86"/>
    <w:family w:val="modern"/>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8"/>
      </w:rPr>
    </w:pPr>
    <w:r>
      <w:fldChar w:fldCharType="begin"/>
    </w:r>
    <w:r>
      <w:rPr>
        <w:rStyle w:val="18"/>
      </w:rPr>
      <w:instrText xml:space="preserve">PAGE  </w:instrText>
    </w:r>
    <w:r>
      <w:fldChar w:fldCharType="separate"/>
    </w:r>
    <w:r>
      <w:rPr>
        <w:rStyle w:val="18"/>
        <w:lang w:val="en-US" w:eastAsia="zh-CN"/>
      </w:rPr>
      <w:t>9</w:t>
    </w:r>
    <w:r>
      <w:fldChar w:fldCharType="end"/>
    </w:r>
  </w:p>
  <w:p>
    <w:pPr>
      <w:pStyle w:val="8"/>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jc w:val="center"/>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eastAsia="仿宋_GB2312"/>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val="en-US" w:eastAsia="zh-CN"/>
                            </w:rPr>
                            <w:t>24</w:t>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8"/>
                      <w:rPr>
                        <w:rFonts w:hint="eastAsia" w:eastAsia="仿宋_GB2312"/>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val="en-US" w:eastAsia="zh-CN"/>
                      </w:rPr>
                      <w:t>24</w:t>
                    </w:r>
                    <w:r>
                      <w:rPr>
                        <w:rFonts w:hint="eastAsia"/>
                        <w:lang w:eastAsia="zh-CN"/>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6" w:leftChars="-58" w:right="-112" w:rightChars="-35" w:hanging="180" w:hangingChars="100"/>
      <w:jc w:val="right"/>
    </w:pPr>
    <w:r>
      <w:rPr>
        <w:rFonts w:hint="eastAsia"/>
      </w:rPr>
      <w:t>攀枝花永道和会计咨询服务有限公司部门绩效评价报告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E1350B"/>
    <w:multiLevelType w:val="singleLevel"/>
    <w:tmpl w:val="9FE1350B"/>
    <w:lvl w:ilvl="0" w:tentative="0">
      <w:start w:val="1"/>
      <w:numFmt w:val="chineseCounting"/>
      <w:suff w:val="nothing"/>
      <w:lvlText w:val="（%1）"/>
      <w:lvlJc w:val="left"/>
      <w:rPr>
        <w:rFonts w:hint="eastAsia"/>
      </w:rPr>
    </w:lvl>
  </w:abstractNum>
  <w:abstractNum w:abstractNumId="1">
    <w:nsid w:val="DBBC651D"/>
    <w:multiLevelType w:val="singleLevel"/>
    <w:tmpl w:val="DBBC651D"/>
    <w:lvl w:ilvl="0" w:tentative="0">
      <w:start w:val="2"/>
      <w:numFmt w:val="chineseCounting"/>
      <w:suff w:val="nothing"/>
      <w:lvlText w:val="（%1）"/>
      <w:lvlJc w:val="left"/>
      <w:rPr>
        <w:rFonts w:hint="eastAsia"/>
      </w:rPr>
    </w:lvl>
  </w:abstractNum>
  <w:abstractNum w:abstractNumId="2">
    <w:nsid w:val="09B5EBD4"/>
    <w:multiLevelType w:val="singleLevel"/>
    <w:tmpl w:val="09B5EBD4"/>
    <w:lvl w:ilvl="0" w:tentative="0">
      <w:start w:val="2"/>
      <w:numFmt w:val="decimal"/>
      <w:suff w:val="space"/>
      <w:lvlText w:val="%1."/>
      <w:lvlJc w:val="left"/>
    </w:lvl>
  </w:abstractNum>
  <w:abstractNum w:abstractNumId="3">
    <w:nsid w:val="3A12F6BF"/>
    <w:multiLevelType w:val="singleLevel"/>
    <w:tmpl w:val="3A12F6BF"/>
    <w:lvl w:ilvl="0" w:tentative="0">
      <w:start w:val="1"/>
      <w:numFmt w:val="decimal"/>
      <w:suff w:val="space"/>
      <w:lvlText w:val="%1."/>
      <w:lvlJc w:val="left"/>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220"/>
  <w:displayHorizontalDrawingGridEvery w:val="1"/>
  <w:displayVerticalDrawingGridEvery w:val="1"/>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ZkZTRhNmIxMzZhOTdmYjE3ZGE2ZDU1OWMzNjc3MDcifQ=="/>
  </w:docVars>
  <w:rsids>
    <w:rsidRoot w:val="00172A27"/>
    <w:rsid w:val="0000650B"/>
    <w:rsid w:val="00006E4D"/>
    <w:rsid w:val="0000720B"/>
    <w:rsid w:val="00010365"/>
    <w:rsid w:val="00016F57"/>
    <w:rsid w:val="00020C59"/>
    <w:rsid w:val="00021652"/>
    <w:rsid w:val="0002365C"/>
    <w:rsid w:val="000238C2"/>
    <w:rsid w:val="0002561E"/>
    <w:rsid w:val="0003593D"/>
    <w:rsid w:val="00035E79"/>
    <w:rsid w:val="00043B42"/>
    <w:rsid w:val="0006102A"/>
    <w:rsid w:val="00064463"/>
    <w:rsid w:val="00065B0F"/>
    <w:rsid w:val="00065E7E"/>
    <w:rsid w:val="00066D72"/>
    <w:rsid w:val="00072EFB"/>
    <w:rsid w:val="000750F4"/>
    <w:rsid w:val="000820BB"/>
    <w:rsid w:val="00083434"/>
    <w:rsid w:val="000844C2"/>
    <w:rsid w:val="00085576"/>
    <w:rsid w:val="00090A6E"/>
    <w:rsid w:val="000914A7"/>
    <w:rsid w:val="00092280"/>
    <w:rsid w:val="00092CCA"/>
    <w:rsid w:val="00097FAE"/>
    <w:rsid w:val="000A3233"/>
    <w:rsid w:val="000A7CE3"/>
    <w:rsid w:val="000B04D6"/>
    <w:rsid w:val="000B15CE"/>
    <w:rsid w:val="000B3A9D"/>
    <w:rsid w:val="000B3E4C"/>
    <w:rsid w:val="000C40C6"/>
    <w:rsid w:val="000C79C1"/>
    <w:rsid w:val="000D208A"/>
    <w:rsid w:val="000D3CC2"/>
    <w:rsid w:val="000E037E"/>
    <w:rsid w:val="000E6391"/>
    <w:rsid w:val="000E78BB"/>
    <w:rsid w:val="000F2657"/>
    <w:rsid w:val="000F659A"/>
    <w:rsid w:val="000F6E56"/>
    <w:rsid w:val="000F77B0"/>
    <w:rsid w:val="0010235D"/>
    <w:rsid w:val="00103A47"/>
    <w:rsid w:val="00106D4D"/>
    <w:rsid w:val="001119A2"/>
    <w:rsid w:val="00117E23"/>
    <w:rsid w:val="001221D6"/>
    <w:rsid w:val="001237DA"/>
    <w:rsid w:val="00124CAE"/>
    <w:rsid w:val="00125F67"/>
    <w:rsid w:val="001261AE"/>
    <w:rsid w:val="001345D2"/>
    <w:rsid w:val="001348A4"/>
    <w:rsid w:val="00134D26"/>
    <w:rsid w:val="0014117C"/>
    <w:rsid w:val="00145E9D"/>
    <w:rsid w:val="00146FE8"/>
    <w:rsid w:val="0014767B"/>
    <w:rsid w:val="00147AED"/>
    <w:rsid w:val="00150071"/>
    <w:rsid w:val="00150C8C"/>
    <w:rsid w:val="001538C7"/>
    <w:rsid w:val="001626CC"/>
    <w:rsid w:val="00177AAF"/>
    <w:rsid w:val="00183850"/>
    <w:rsid w:val="00184B34"/>
    <w:rsid w:val="00184D9F"/>
    <w:rsid w:val="001A0823"/>
    <w:rsid w:val="001A4749"/>
    <w:rsid w:val="001A4842"/>
    <w:rsid w:val="001A4AC9"/>
    <w:rsid w:val="001A5833"/>
    <w:rsid w:val="001C2158"/>
    <w:rsid w:val="001C5423"/>
    <w:rsid w:val="001C73AB"/>
    <w:rsid w:val="001D2C3A"/>
    <w:rsid w:val="001D2EA4"/>
    <w:rsid w:val="001E1760"/>
    <w:rsid w:val="001E4558"/>
    <w:rsid w:val="001E5953"/>
    <w:rsid w:val="001F168B"/>
    <w:rsid w:val="001F47CE"/>
    <w:rsid w:val="001F4A9A"/>
    <w:rsid w:val="001F5776"/>
    <w:rsid w:val="00201DA6"/>
    <w:rsid w:val="00202BDB"/>
    <w:rsid w:val="00203671"/>
    <w:rsid w:val="002054DF"/>
    <w:rsid w:val="0020620D"/>
    <w:rsid w:val="002069BC"/>
    <w:rsid w:val="002069EB"/>
    <w:rsid w:val="002143B1"/>
    <w:rsid w:val="002201B0"/>
    <w:rsid w:val="00220900"/>
    <w:rsid w:val="0022307E"/>
    <w:rsid w:val="00224D05"/>
    <w:rsid w:val="002257BF"/>
    <w:rsid w:val="002323A3"/>
    <w:rsid w:val="00232768"/>
    <w:rsid w:val="00233AC9"/>
    <w:rsid w:val="0023666B"/>
    <w:rsid w:val="00236EF7"/>
    <w:rsid w:val="0024058A"/>
    <w:rsid w:val="002410C0"/>
    <w:rsid w:val="00242EC3"/>
    <w:rsid w:val="00242F85"/>
    <w:rsid w:val="00245FFD"/>
    <w:rsid w:val="002504C9"/>
    <w:rsid w:val="00252894"/>
    <w:rsid w:val="00253FA6"/>
    <w:rsid w:val="00254728"/>
    <w:rsid w:val="002558D4"/>
    <w:rsid w:val="002560E2"/>
    <w:rsid w:val="002605BF"/>
    <w:rsid w:val="0026267D"/>
    <w:rsid w:val="00264CFA"/>
    <w:rsid w:val="00270DD7"/>
    <w:rsid w:val="002720CE"/>
    <w:rsid w:val="002733C1"/>
    <w:rsid w:val="00276632"/>
    <w:rsid w:val="00280BFB"/>
    <w:rsid w:val="00280C88"/>
    <w:rsid w:val="00280E18"/>
    <w:rsid w:val="00287A8A"/>
    <w:rsid w:val="002973A4"/>
    <w:rsid w:val="002A0195"/>
    <w:rsid w:val="002A6CDA"/>
    <w:rsid w:val="002B5B34"/>
    <w:rsid w:val="002B7215"/>
    <w:rsid w:val="002C0AFD"/>
    <w:rsid w:val="002C59D0"/>
    <w:rsid w:val="002D1A18"/>
    <w:rsid w:val="002D6747"/>
    <w:rsid w:val="002E1104"/>
    <w:rsid w:val="002E160B"/>
    <w:rsid w:val="002F46DD"/>
    <w:rsid w:val="0030090A"/>
    <w:rsid w:val="00301353"/>
    <w:rsid w:val="00301CE6"/>
    <w:rsid w:val="00305869"/>
    <w:rsid w:val="00305FF6"/>
    <w:rsid w:val="00307568"/>
    <w:rsid w:val="00311506"/>
    <w:rsid w:val="003115C5"/>
    <w:rsid w:val="00313576"/>
    <w:rsid w:val="003142DC"/>
    <w:rsid w:val="00316ADB"/>
    <w:rsid w:val="00317623"/>
    <w:rsid w:val="00320641"/>
    <w:rsid w:val="00330624"/>
    <w:rsid w:val="00335F67"/>
    <w:rsid w:val="003361E9"/>
    <w:rsid w:val="00343264"/>
    <w:rsid w:val="00350A65"/>
    <w:rsid w:val="00357CFA"/>
    <w:rsid w:val="00360613"/>
    <w:rsid w:val="00361A48"/>
    <w:rsid w:val="00361C85"/>
    <w:rsid w:val="00371352"/>
    <w:rsid w:val="00371CB2"/>
    <w:rsid w:val="0037374A"/>
    <w:rsid w:val="00375130"/>
    <w:rsid w:val="00376753"/>
    <w:rsid w:val="00381705"/>
    <w:rsid w:val="00383771"/>
    <w:rsid w:val="0038541D"/>
    <w:rsid w:val="003857B1"/>
    <w:rsid w:val="00387818"/>
    <w:rsid w:val="00390436"/>
    <w:rsid w:val="00391A13"/>
    <w:rsid w:val="00391FD0"/>
    <w:rsid w:val="003A38CD"/>
    <w:rsid w:val="003A44FC"/>
    <w:rsid w:val="003B3299"/>
    <w:rsid w:val="003B40B9"/>
    <w:rsid w:val="003B4C7C"/>
    <w:rsid w:val="003B5D19"/>
    <w:rsid w:val="003C08F9"/>
    <w:rsid w:val="003C0D1F"/>
    <w:rsid w:val="003D10A2"/>
    <w:rsid w:val="003D33B8"/>
    <w:rsid w:val="003D624D"/>
    <w:rsid w:val="003D719A"/>
    <w:rsid w:val="003E0547"/>
    <w:rsid w:val="003E2017"/>
    <w:rsid w:val="003E2F50"/>
    <w:rsid w:val="003E64A8"/>
    <w:rsid w:val="003F5EB7"/>
    <w:rsid w:val="003F7FE2"/>
    <w:rsid w:val="004004E7"/>
    <w:rsid w:val="004026FE"/>
    <w:rsid w:val="004046B8"/>
    <w:rsid w:val="00407125"/>
    <w:rsid w:val="004071E7"/>
    <w:rsid w:val="004113A5"/>
    <w:rsid w:val="00416E1A"/>
    <w:rsid w:val="00416E8F"/>
    <w:rsid w:val="00426A3F"/>
    <w:rsid w:val="004277D4"/>
    <w:rsid w:val="00430E30"/>
    <w:rsid w:val="004341F8"/>
    <w:rsid w:val="0044073E"/>
    <w:rsid w:val="00445130"/>
    <w:rsid w:val="0045036B"/>
    <w:rsid w:val="004539CB"/>
    <w:rsid w:val="00461638"/>
    <w:rsid w:val="004663E1"/>
    <w:rsid w:val="00470014"/>
    <w:rsid w:val="004700FC"/>
    <w:rsid w:val="00474BFF"/>
    <w:rsid w:val="00474D8D"/>
    <w:rsid w:val="00475CCD"/>
    <w:rsid w:val="004828CE"/>
    <w:rsid w:val="00486492"/>
    <w:rsid w:val="0049195E"/>
    <w:rsid w:val="00492CF6"/>
    <w:rsid w:val="00493883"/>
    <w:rsid w:val="00497BFD"/>
    <w:rsid w:val="004A10CC"/>
    <w:rsid w:val="004A4C9D"/>
    <w:rsid w:val="004B10BA"/>
    <w:rsid w:val="004B452A"/>
    <w:rsid w:val="004C0A1F"/>
    <w:rsid w:val="004C2078"/>
    <w:rsid w:val="004D0DAC"/>
    <w:rsid w:val="004D45E3"/>
    <w:rsid w:val="004E752F"/>
    <w:rsid w:val="004F1E37"/>
    <w:rsid w:val="004F5CDE"/>
    <w:rsid w:val="00507D64"/>
    <w:rsid w:val="005118FD"/>
    <w:rsid w:val="005148B5"/>
    <w:rsid w:val="00515198"/>
    <w:rsid w:val="00521C44"/>
    <w:rsid w:val="0052293D"/>
    <w:rsid w:val="00526040"/>
    <w:rsid w:val="005274E1"/>
    <w:rsid w:val="00531DDF"/>
    <w:rsid w:val="00535FA6"/>
    <w:rsid w:val="00540945"/>
    <w:rsid w:val="0055358D"/>
    <w:rsid w:val="0055404D"/>
    <w:rsid w:val="005540C8"/>
    <w:rsid w:val="00555809"/>
    <w:rsid w:val="00562165"/>
    <w:rsid w:val="005756AF"/>
    <w:rsid w:val="00575A4A"/>
    <w:rsid w:val="00575B80"/>
    <w:rsid w:val="00587B4B"/>
    <w:rsid w:val="005A1DAF"/>
    <w:rsid w:val="005B2BC5"/>
    <w:rsid w:val="005B3A4E"/>
    <w:rsid w:val="005C17C8"/>
    <w:rsid w:val="005C2098"/>
    <w:rsid w:val="005C60E8"/>
    <w:rsid w:val="005C625C"/>
    <w:rsid w:val="005C70C0"/>
    <w:rsid w:val="005D0CCF"/>
    <w:rsid w:val="005D54B9"/>
    <w:rsid w:val="005D7180"/>
    <w:rsid w:val="005E04BE"/>
    <w:rsid w:val="005E18E8"/>
    <w:rsid w:val="005E297D"/>
    <w:rsid w:val="005F0879"/>
    <w:rsid w:val="005F627E"/>
    <w:rsid w:val="006024B1"/>
    <w:rsid w:val="006030E0"/>
    <w:rsid w:val="006064C9"/>
    <w:rsid w:val="00612E23"/>
    <w:rsid w:val="00613902"/>
    <w:rsid w:val="00614B00"/>
    <w:rsid w:val="0061652E"/>
    <w:rsid w:val="00616DFF"/>
    <w:rsid w:val="00617A70"/>
    <w:rsid w:val="006205E9"/>
    <w:rsid w:val="00621528"/>
    <w:rsid w:val="00622B5A"/>
    <w:rsid w:val="00622D0B"/>
    <w:rsid w:val="006270DA"/>
    <w:rsid w:val="00630B75"/>
    <w:rsid w:val="006312B7"/>
    <w:rsid w:val="00631FDE"/>
    <w:rsid w:val="00633B1E"/>
    <w:rsid w:val="00634DFF"/>
    <w:rsid w:val="00635337"/>
    <w:rsid w:val="0064265B"/>
    <w:rsid w:val="00644344"/>
    <w:rsid w:val="00644EF4"/>
    <w:rsid w:val="0064519C"/>
    <w:rsid w:val="00647EC1"/>
    <w:rsid w:val="0065082E"/>
    <w:rsid w:val="006512D0"/>
    <w:rsid w:val="00655BFA"/>
    <w:rsid w:val="00656093"/>
    <w:rsid w:val="006560A3"/>
    <w:rsid w:val="00656301"/>
    <w:rsid w:val="00656DF9"/>
    <w:rsid w:val="006600C9"/>
    <w:rsid w:val="006605F0"/>
    <w:rsid w:val="00662240"/>
    <w:rsid w:val="00662BEC"/>
    <w:rsid w:val="006701CC"/>
    <w:rsid w:val="00671F58"/>
    <w:rsid w:val="00674839"/>
    <w:rsid w:val="00680024"/>
    <w:rsid w:val="006900E7"/>
    <w:rsid w:val="0069244C"/>
    <w:rsid w:val="0069409C"/>
    <w:rsid w:val="006946DD"/>
    <w:rsid w:val="006A00A8"/>
    <w:rsid w:val="006A5F4D"/>
    <w:rsid w:val="006B0291"/>
    <w:rsid w:val="006B0651"/>
    <w:rsid w:val="006B11E0"/>
    <w:rsid w:val="006B386A"/>
    <w:rsid w:val="006B3F60"/>
    <w:rsid w:val="006B4A2E"/>
    <w:rsid w:val="006B7CB4"/>
    <w:rsid w:val="006C01EB"/>
    <w:rsid w:val="006C24D3"/>
    <w:rsid w:val="006C4D1E"/>
    <w:rsid w:val="006C5AF2"/>
    <w:rsid w:val="006C6121"/>
    <w:rsid w:val="006C7917"/>
    <w:rsid w:val="006D41B0"/>
    <w:rsid w:val="006E51AE"/>
    <w:rsid w:val="006F01F2"/>
    <w:rsid w:val="0070081F"/>
    <w:rsid w:val="007018F5"/>
    <w:rsid w:val="0070445A"/>
    <w:rsid w:val="00704EDB"/>
    <w:rsid w:val="00705815"/>
    <w:rsid w:val="007075AD"/>
    <w:rsid w:val="00710897"/>
    <w:rsid w:val="00712F45"/>
    <w:rsid w:val="00716AAF"/>
    <w:rsid w:val="0072763C"/>
    <w:rsid w:val="0073148C"/>
    <w:rsid w:val="00734305"/>
    <w:rsid w:val="0073571B"/>
    <w:rsid w:val="007370E1"/>
    <w:rsid w:val="00747FF6"/>
    <w:rsid w:val="0075008C"/>
    <w:rsid w:val="007529DA"/>
    <w:rsid w:val="00757A4B"/>
    <w:rsid w:val="00761AF6"/>
    <w:rsid w:val="0076686B"/>
    <w:rsid w:val="00772C08"/>
    <w:rsid w:val="007732A1"/>
    <w:rsid w:val="00774C4A"/>
    <w:rsid w:val="00783D1E"/>
    <w:rsid w:val="0078512E"/>
    <w:rsid w:val="00791182"/>
    <w:rsid w:val="007A0690"/>
    <w:rsid w:val="007A078F"/>
    <w:rsid w:val="007A3282"/>
    <w:rsid w:val="007A5D15"/>
    <w:rsid w:val="007A721E"/>
    <w:rsid w:val="007A769A"/>
    <w:rsid w:val="007B120F"/>
    <w:rsid w:val="007B34D4"/>
    <w:rsid w:val="007C0633"/>
    <w:rsid w:val="007C447B"/>
    <w:rsid w:val="007C5964"/>
    <w:rsid w:val="007C7F35"/>
    <w:rsid w:val="007D086C"/>
    <w:rsid w:val="007E1697"/>
    <w:rsid w:val="007E282A"/>
    <w:rsid w:val="007E44AB"/>
    <w:rsid w:val="007E5D01"/>
    <w:rsid w:val="007F1BE1"/>
    <w:rsid w:val="007F38A7"/>
    <w:rsid w:val="007F39C0"/>
    <w:rsid w:val="007F707F"/>
    <w:rsid w:val="007F794C"/>
    <w:rsid w:val="007F7AC9"/>
    <w:rsid w:val="00803B42"/>
    <w:rsid w:val="00804FEA"/>
    <w:rsid w:val="0081095C"/>
    <w:rsid w:val="00810C41"/>
    <w:rsid w:val="00816D7C"/>
    <w:rsid w:val="008212FF"/>
    <w:rsid w:val="00821AA0"/>
    <w:rsid w:val="00822378"/>
    <w:rsid w:val="0082593B"/>
    <w:rsid w:val="00827537"/>
    <w:rsid w:val="0083077F"/>
    <w:rsid w:val="008368E8"/>
    <w:rsid w:val="00840F63"/>
    <w:rsid w:val="008468EA"/>
    <w:rsid w:val="00851CD0"/>
    <w:rsid w:val="00867140"/>
    <w:rsid w:val="008729C9"/>
    <w:rsid w:val="00881134"/>
    <w:rsid w:val="00887825"/>
    <w:rsid w:val="00887901"/>
    <w:rsid w:val="008904F0"/>
    <w:rsid w:val="00893F89"/>
    <w:rsid w:val="008A1598"/>
    <w:rsid w:val="008A5089"/>
    <w:rsid w:val="008B2D63"/>
    <w:rsid w:val="008B2F27"/>
    <w:rsid w:val="008B4A72"/>
    <w:rsid w:val="008B55CA"/>
    <w:rsid w:val="008B585E"/>
    <w:rsid w:val="008B5E19"/>
    <w:rsid w:val="008B6EC6"/>
    <w:rsid w:val="008B732F"/>
    <w:rsid w:val="008D306E"/>
    <w:rsid w:val="008E6C0C"/>
    <w:rsid w:val="008F3052"/>
    <w:rsid w:val="008F6EB2"/>
    <w:rsid w:val="009014BA"/>
    <w:rsid w:val="00901631"/>
    <w:rsid w:val="00901E19"/>
    <w:rsid w:val="0090264C"/>
    <w:rsid w:val="00902D8A"/>
    <w:rsid w:val="00905367"/>
    <w:rsid w:val="00906143"/>
    <w:rsid w:val="009214F7"/>
    <w:rsid w:val="00921CD7"/>
    <w:rsid w:val="00932484"/>
    <w:rsid w:val="0093259E"/>
    <w:rsid w:val="00933023"/>
    <w:rsid w:val="00940878"/>
    <w:rsid w:val="00940EB6"/>
    <w:rsid w:val="00944771"/>
    <w:rsid w:val="00944A36"/>
    <w:rsid w:val="00953A28"/>
    <w:rsid w:val="009565F2"/>
    <w:rsid w:val="0095798C"/>
    <w:rsid w:val="009601FC"/>
    <w:rsid w:val="00962C9E"/>
    <w:rsid w:val="00965426"/>
    <w:rsid w:val="009656BE"/>
    <w:rsid w:val="0096654A"/>
    <w:rsid w:val="009711E4"/>
    <w:rsid w:val="00971572"/>
    <w:rsid w:val="00972C91"/>
    <w:rsid w:val="00974B63"/>
    <w:rsid w:val="009779D6"/>
    <w:rsid w:val="00981E55"/>
    <w:rsid w:val="00983F8D"/>
    <w:rsid w:val="00986CEF"/>
    <w:rsid w:val="00992D63"/>
    <w:rsid w:val="00996571"/>
    <w:rsid w:val="00997D5A"/>
    <w:rsid w:val="009A0E5F"/>
    <w:rsid w:val="009B23F5"/>
    <w:rsid w:val="009B4570"/>
    <w:rsid w:val="009B5510"/>
    <w:rsid w:val="009B702E"/>
    <w:rsid w:val="009C75AE"/>
    <w:rsid w:val="009D01B2"/>
    <w:rsid w:val="009D5724"/>
    <w:rsid w:val="009E021F"/>
    <w:rsid w:val="009E2400"/>
    <w:rsid w:val="009E6495"/>
    <w:rsid w:val="009F083E"/>
    <w:rsid w:val="009F233E"/>
    <w:rsid w:val="00A011DC"/>
    <w:rsid w:val="00A024AB"/>
    <w:rsid w:val="00A050A5"/>
    <w:rsid w:val="00A05B8B"/>
    <w:rsid w:val="00A064B5"/>
    <w:rsid w:val="00A1372F"/>
    <w:rsid w:val="00A170EC"/>
    <w:rsid w:val="00A20249"/>
    <w:rsid w:val="00A217B3"/>
    <w:rsid w:val="00A23D04"/>
    <w:rsid w:val="00A277D9"/>
    <w:rsid w:val="00A27AA6"/>
    <w:rsid w:val="00A30CEB"/>
    <w:rsid w:val="00A33762"/>
    <w:rsid w:val="00A33E93"/>
    <w:rsid w:val="00A437B1"/>
    <w:rsid w:val="00A505A3"/>
    <w:rsid w:val="00A61D3A"/>
    <w:rsid w:val="00A6402D"/>
    <w:rsid w:val="00A645E1"/>
    <w:rsid w:val="00A65945"/>
    <w:rsid w:val="00A76759"/>
    <w:rsid w:val="00A857DE"/>
    <w:rsid w:val="00A86E2B"/>
    <w:rsid w:val="00A87502"/>
    <w:rsid w:val="00A9670E"/>
    <w:rsid w:val="00AA1423"/>
    <w:rsid w:val="00AA22BC"/>
    <w:rsid w:val="00AA35CC"/>
    <w:rsid w:val="00AB3ECC"/>
    <w:rsid w:val="00AB7996"/>
    <w:rsid w:val="00AC33F9"/>
    <w:rsid w:val="00AC43C3"/>
    <w:rsid w:val="00AC4DA1"/>
    <w:rsid w:val="00AC5A63"/>
    <w:rsid w:val="00AD5917"/>
    <w:rsid w:val="00AD5B42"/>
    <w:rsid w:val="00AE387A"/>
    <w:rsid w:val="00AE7812"/>
    <w:rsid w:val="00AF77BE"/>
    <w:rsid w:val="00B11CEE"/>
    <w:rsid w:val="00B1376D"/>
    <w:rsid w:val="00B162C0"/>
    <w:rsid w:val="00B23428"/>
    <w:rsid w:val="00B246C6"/>
    <w:rsid w:val="00B25886"/>
    <w:rsid w:val="00B264BF"/>
    <w:rsid w:val="00B31A7F"/>
    <w:rsid w:val="00B4027A"/>
    <w:rsid w:val="00B42E74"/>
    <w:rsid w:val="00B46874"/>
    <w:rsid w:val="00B51151"/>
    <w:rsid w:val="00B51DFA"/>
    <w:rsid w:val="00B523E4"/>
    <w:rsid w:val="00B52B4F"/>
    <w:rsid w:val="00B56B88"/>
    <w:rsid w:val="00B6108C"/>
    <w:rsid w:val="00B620A9"/>
    <w:rsid w:val="00B649AD"/>
    <w:rsid w:val="00B64B9C"/>
    <w:rsid w:val="00B65935"/>
    <w:rsid w:val="00B735CC"/>
    <w:rsid w:val="00B82C95"/>
    <w:rsid w:val="00B83F87"/>
    <w:rsid w:val="00B84DFD"/>
    <w:rsid w:val="00B86959"/>
    <w:rsid w:val="00B91E01"/>
    <w:rsid w:val="00B95E7B"/>
    <w:rsid w:val="00BA0656"/>
    <w:rsid w:val="00BA204D"/>
    <w:rsid w:val="00BB4E38"/>
    <w:rsid w:val="00BB749B"/>
    <w:rsid w:val="00BB74F0"/>
    <w:rsid w:val="00BC333F"/>
    <w:rsid w:val="00BC3879"/>
    <w:rsid w:val="00BC45CC"/>
    <w:rsid w:val="00BD0E0D"/>
    <w:rsid w:val="00BD41BC"/>
    <w:rsid w:val="00BD4900"/>
    <w:rsid w:val="00BD5250"/>
    <w:rsid w:val="00BD55AD"/>
    <w:rsid w:val="00BD6D8E"/>
    <w:rsid w:val="00BE0305"/>
    <w:rsid w:val="00BE0AE4"/>
    <w:rsid w:val="00BE1CD3"/>
    <w:rsid w:val="00BE2FE3"/>
    <w:rsid w:val="00BE6A21"/>
    <w:rsid w:val="00BF083B"/>
    <w:rsid w:val="00BF15F0"/>
    <w:rsid w:val="00BF79DE"/>
    <w:rsid w:val="00C0016C"/>
    <w:rsid w:val="00C02EAE"/>
    <w:rsid w:val="00C03559"/>
    <w:rsid w:val="00C04C29"/>
    <w:rsid w:val="00C05395"/>
    <w:rsid w:val="00C22AD7"/>
    <w:rsid w:val="00C272C1"/>
    <w:rsid w:val="00C3288E"/>
    <w:rsid w:val="00C32A68"/>
    <w:rsid w:val="00C34282"/>
    <w:rsid w:val="00C35350"/>
    <w:rsid w:val="00C3564B"/>
    <w:rsid w:val="00C428DD"/>
    <w:rsid w:val="00C526E7"/>
    <w:rsid w:val="00C64D2E"/>
    <w:rsid w:val="00C7497C"/>
    <w:rsid w:val="00C75966"/>
    <w:rsid w:val="00C75D96"/>
    <w:rsid w:val="00C76577"/>
    <w:rsid w:val="00C76A1C"/>
    <w:rsid w:val="00C80225"/>
    <w:rsid w:val="00C81349"/>
    <w:rsid w:val="00C8271D"/>
    <w:rsid w:val="00C87CE5"/>
    <w:rsid w:val="00CA08A0"/>
    <w:rsid w:val="00CA32D2"/>
    <w:rsid w:val="00CA4E07"/>
    <w:rsid w:val="00CA737D"/>
    <w:rsid w:val="00CB1DE5"/>
    <w:rsid w:val="00CB1EF5"/>
    <w:rsid w:val="00CB6540"/>
    <w:rsid w:val="00CC5642"/>
    <w:rsid w:val="00CC605F"/>
    <w:rsid w:val="00CC7166"/>
    <w:rsid w:val="00CD0735"/>
    <w:rsid w:val="00CD78E6"/>
    <w:rsid w:val="00CD7B9E"/>
    <w:rsid w:val="00CF0677"/>
    <w:rsid w:val="00CF5275"/>
    <w:rsid w:val="00CF6136"/>
    <w:rsid w:val="00D006C6"/>
    <w:rsid w:val="00D1322C"/>
    <w:rsid w:val="00D14A65"/>
    <w:rsid w:val="00D162B9"/>
    <w:rsid w:val="00D17995"/>
    <w:rsid w:val="00D215C3"/>
    <w:rsid w:val="00D23ED0"/>
    <w:rsid w:val="00D23F0A"/>
    <w:rsid w:val="00D251E2"/>
    <w:rsid w:val="00D254F4"/>
    <w:rsid w:val="00D263A7"/>
    <w:rsid w:val="00D26B5D"/>
    <w:rsid w:val="00D27920"/>
    <w:rsid w:val="00D3045B"/>
    <w:rsid w:val="00D33159"/>
    <w:rsid w:val="00D3576B"/>
    <w:rsid w:val="00D449F9"/>
    <w:rsid w:val="00D51791"/>
    <w:rsid w:val="00D5281E"/>
    <w:rsid w:val="00D6531B"/>
    <w:rsid w:val="00D6612D"/>
    <w:rsid w:val="00D6663C"/>
    <w:rsid w:val="00D71AD9"/>
    <w:rsid w:val="00D724F2"/>
    <w:rsid w:val="00D72AB1"/>
    <w:rsid w:val="00D73C02"/>
    <w:rsid w:val="00D75850"/>
    <w:rsid w:val="00D7761D"/>
    <w:rsid w:val="00D85092"/>
    <w:rsid w:val="00D85D70"/>
    <w:rsid w:val="00D872ED"/>
    <w:rsid w:val="00D913C6"/>
    <w:rsid w:val="00D94AEF"/>
    <w:rsid w:val="00D950A3"/>
    <w:rsid w:val="00D962B7"/>
    <w:rsid w:val="00D969A1"/>
    <w:rsid w:val="00DA0236"/>
    <w:rsid w:val="00DA2540"/>
    <w:rsid w:val="00DA2FDB"/>
    <w:rsid w:val="00DA5D51"/>
    <w:rsid w:val="00DA5E29"/>
    <w:rsid w:val="00DA61CA"/>
    <w:rsid w:val="00DA6916"/>
    <w:rsid w:val="00DB3A97"/>
    <w:rsid w:val="00DB66BB"/>
    <w:rsid w:val="00DB73AF"/>
    <w:rsid w:val="00DC2865"/>
    <w:rsid w:val="00DC28F9"/>
    <w:rsid w:val="00DC2FF2"/>
    <w:rsid w:val="00DC3542"/>
    <w:rsid w:val="00DC67E2"/>
    <w:rsid w:val="00DD0894"/>
    <w:rsid w:val="00DD0FA1"/>
    <w:rsid w:val="00DE0804"/>
    <w:rsid w:val="00DE1888"/>
    <w:rsid w:val="00DE1EE5"/>
    <w:rsid w:val="00DF11CF"/>
    <w:rsid w:val="00DF1250"/>
    <w:rsid w:val="00DF21D9"/>
    <w:rsid w:val="00DF3882"/>
    <w:rsid w:val="00DF6EF7"/>
    <w:rsid w:val="00E04475"/>
    <w:rsid w:val="00E05454"/>
    <w:rsid w:val="00E074C3"/>
    <w:rsid w:val="00E16A8D"/>
    <w:rsid w:val="00E17F1F"/>
    <w:rsid w:val="00E23329"/>
    <w:rsid w:val="00E2341A"/>
    <w:rsid w:val="00E239C7"/>
    <w:rsid w:val="00E249F1"/>
    <w:rsid w:val="00E24D6D"/>
    <w:rsid w:val="00E341B2"/>
    <w:rsid w:val="00E35946"/>
    <w:rsid w:val="00E42633"/>
    <w:rsid w:val="00E43490"/>
    <w:rsid w:val="00E435FE"/>
    <w:rsid w:val="00E44BF7"/>
    <w:rsid w:val="00E512DD"/>
    <w:rsid w:val="00E5485F"/>
    <w:rsid w:val="00E5671B"/>
    <w:rsid w:val="00E5699E"/>
    <w:rsid w:val="00E56B18"/>
    <w:rsid w:val="00E570E1"/>
    <w:rsid w:val="00E604CB"/>
    <w:rsid w:val="00E60525"/>
    <w:rsid w:val="00E60A95"/>
    <w:rsid w:val="00E6492C"/>
    <w:rsid w:val="00E64E7B"/>
    <w:rsid w:val="00E67F88"/>
    <w:rsid w:val="00E72773"/>
    <w:rsid w:val="00E76739"/>
    <w:rsid w:val="00E81946"/>
    <w:rsid w:val="00E82BB7"/>
    <w:rsid w:val="00E86D13"/>
    <w:rsid w:val="00E873C5"/>
    <w:rsid w:val="00E917AC"/>
    <w:rsid w:val="00E936C2"/>
    <w:rsid w:val="00E95346"/>
    <w:rsid w:val="00E9691B"/>
    <w:rsid w:val="00E97240"/>
    <w:rsid w:val="00EA0CEF"/>
    <w:rsid w:val="00EA2E2A"/>
    <w:rsid w:val="00EA79C2"/>
    <w:rsid w:val="00EB79D2"/>
    <w:rsid w:val="00EC0174"/>
    <w:rsid w:val="00EC2084"/>
    <w:rsid w:val="00EC354B"/>
    <w:rsid w:val="00EC60B9"/>
    <w:rsid w:val="00ED1659"/>
    <w:rsid w:val="00ED3EEB"/>
    <w:rsid w:val="00ED469D"/>
    <w:rsid w:val="00ED5749"/>
    <w:rsid w:val="00ED5FA3"/>
    <w:rsid w:val="00ED6A4E"/>
    <w:rsid w:val="00ED72EA"/>
    <w:rsid w:val="00EE3703"/>
    <w:rsid w:val="00EE3A4F"/>
    <w:rsid w:val="00EF10C3"/>
    <w:rsid w:val="00EF3BD2"/>
    <w:rsid w:val="00EF5E20"/>
    <w:rsid w:val="00F00080"/>
    <w:rsid w:val="00F16BCE"/>
    <w:rsid w:val="00F211F0"/>
    <w:rsid w:val="00F427DA"/>
    <w:rsid w:val="00F45DA1"/>
    <w:rsid w:val="00F5267B"/>
    <w:rsid w:val="00F53E8B"/>
    <w:rsid w:val="00F551A6"/>
    <w:rsid w:val="00F611BC"/>
    <w:rsid w:val="00F63B0B"/>
    <w:rsid w:val="00F64083"/>
    <w:rsid w:val="00F663FD"/>
    <w:rsid w:val="00F67DAA"/>
    <w:rsid w:val="00F743B0"/>
    <w:rsid w:val="00F82498"/>
    <w:rsid w:val="00F82CDF"/>
    <w:rsid w:val="00F84580"/>
    <w:rsid w:val="00F85ED6"/>
    <w:rsid w:val="00F873DA"/>
    <w:rsid w:val="00F95982"/>
    <w:rsid w:val="00FA190E"/>
    <w:rsid w:val="00FA288B"/>
    <w:rsid w:val="00FA2997"/>
    <w:rsid w:val="00FA2C71"/>
    <w:rsid w:val="00FA3AC4"/>
    <w:rsid w:val="00FA7A34"/>
    <w:rsid w:val="00FB3345"/>
    <w:rsid w:val="00FC604E"/>
    <w:rsid w:val="00FD0228"/>
    <w:rsid w:val="00FD1A09"/>
    <w:rsid w:val="00FD3BB7"/>
    <w:rsid w:val="00FD5C75"/>
    <w:rsid w:val="00FE0D93"/>
    <w:rsid w:val="00FF2572"/>
    <w:rsid w:val="00FF32AD"/>
    <w:rsid w:val="00FF3A9D"/>
    <w:rsid w:val="00FF521E"/>
    <w:rsid w:val="00FF5C97"/>
    <w:rsid w:val="010F2FDD"/>
    <w:rsid w:val="011C7319"/>
    <w:rsid w:val="0135103E"/>
    <w:rsid w:val="017807C7"/>
    <w:rsid w:val="017835F2"/>
    <w:rsid w:val="01A51553"/>
    <w:rsid w:val="01BB2729"/>
    <w:rsid w:val="01ED30B6"/>
    <w:rsid w:val="01F1353E"/>
    <w:rsid w:val="01F726FE"/>
    <w:rsid w:val="020D0AAA"/>
    <w:rsid w:val="026D4EA6"/>
    <w:rsid w:val="02727B64"/>
    <w:rsid w:val="02745837"/>
    <w:rsid w:val="027D4E52"/>
    <w:rsid w:val="02800B4B"/>
    <w:rsid w:val="028C5642"/>
    <w:rsid w:val="02A21115"/>
    <w:rsid w:val="02AB3D4B"/>
    <w:rsid w:val="032706C0"/>
    <w:rsid w:val="03512D92"/>
    <w:rsid w:val="03B53A84"/>
    <w:rsid w:val="03B662F9"/>
    <w:rsid w:val="03D7776A"/>
    <w:rsid w:val="042029F5"/>
    <w:rsid w:val="042F62B6"/>
    <w:rsid w:val="0450041A"/>
    <w:rsid w:val="04800123"/>
    <w:rsid w:val="048552F8"/>
    <w:rsid w:val="04870664"/>
    <w:rsid w:val="04C07670"/>
    <w:rsid w:val="04D05791"/>
    <w:rsid w:val="04E307F0"/>
    <w:rsid w:val="05354CB3"/>
    <w:rsid w:val="05AA30BD"/>
    <w:rsid w:val="05AE5D28"/>
    <w:rsid w:val="062F61FC"/>
    <w:rsid w:val="063B53E6"/>
    <w:rsid w:val="06426096"/>
    <w:rsid w:val="06464E3D"/>
    <w:rsid w:val="06597D0F"/>
    <w:rsid w:val="068E083D"/>
    <w:rsid w:val="06A21484"/>
    <w:rsid w:val="06C84EE7"/>
    <w:rsid w:val="06CA0880"/>
    <w:rsid w:val="0739133C"/>
    <w:rsid w:val="073C631E"/>
    <w:rsid w:val="079B5DE4"/>
    <w:rsid w:val="07CF4F2F"/>
    <w:rsid w:val="07FE3434"/>
    <w:rsid w:val="082F67E2"/>
    <w:rsid w:val="0834588D"/>
    <w:rsid w:val="0891753F"/>
    <w:rsid w:val="089762AC"/>
    <w:rsid w:val="089F59F0"/>
    <w:rsid w:val="08A811EA"/>
    <w:rsid w:val="08BC0A60"/>
    <w:rsid w:val="08C95665"/>
    <w:rsid w:val="08F6402D"/>
    <w:rsid w:val="08F655F4"/>
    <w:rsid w:val="09430889"/>
    <w:rsid w:val="095011A8"/>
    <w:rsid w:val="096C227D"/>
    <w:rsid w:val="09762B92"/>
    <w:rsid w:val="09773C83"/>
    <w:rsid w:val="09983668"/>
    <w:rsid w:val="09F8590A"/>
    <w:rsid w:val="0A0A00B0"/>
    <w:rsid w:val="0A1F3D76"/>
    <w:rsid w:val="0A3C5B18"/>
    <w:rsid w:val="0A426E55"/>
    <w:rsid w:val="0A6B0FE6"/>
    <w:rsid w:val="0A9C1C75"/>
    <w:rsid w:val="0AA35178"/>
    <w:rsid w:val="0AAC1880"/>
    <w:rsid w:val="0AB1639C"/>
    <w:rsid w:val="0ACF6278"/>
    <w:rsid w:val="0AF801A7"/>
    <w:rsid w:val="0B0900F8"/>
    <w:rsid w:val="0B8E3506"/>
    <w:rsid w:val="0B927E05"/>
    <w:rsid w:val="0BB051D1"/>
    <w:rsid w:val="0BBC2681"/>
    <w:rsid w:val="0BDB73D6"/>
    <w:rsid w:val="0BE817EC"/>
    <w:rsid w:val="0C385C19"/>
    <w:rsid w:val="0C3E61FE"/>
    <w:rsid w:val="0C85235D"/>
    <w:rsid w:val="0CB2474B"/>
    <w:rsid w:val="0CE1432D"/>
    <w:rsid w:val="0CF2615C"/>
    <w:rsid w:val="0D0B3E4B"/>
    <w:rsid w:val="0DD3749D"/>
    <w:rsid w:val="0E070809"/>
    <w:rsid w:val="0E262BD8"/>
    <w:rsid w:val="0E4B67C6"/>
    <w:rsid w:val="0E7018CB"/>
    <w:rsid w:val="0EB81F00"/>
    <w:rsid w:val="0EF93B91"/>
    <w:rsid w:val="0F0F495E"/>
    <w:rsid w:val="0F1B5DB5"/>
    <w:rsid w:val="0F4176FC"/>
    <w:rsid w:val="0F8E34ED"/>
    <w:rsid w:val="0FEE17AD"/>
    <w:rsid w:val="100C2748"/>
    <w:rsid w:val="10352EA6"/>
    <w:rsid w:val="103D22DA"/>
    <w:rsid w:val="10842C0E"/>
    <w:rsid w:val="10FC7F36"/>
    <w:rsid w:val="11024414"/>
    <w:rsid w:val="11080BD7"/>
    <w:rsid w:val="11277931"/>
    <w:rsid w:val="11466A63"/>
    <w:rsid w:val="11A032A5"/>
    <w:rsid w:val="11BD4690"/>
    <w:rsid w:val="12016F42"/>
    <w:rsid w:val="12256B56"/>
    <w:rsid w:val="127E7668"/>
    <w:rsid w:val="12B42207"/>
    <w:rsid w:val="12C52782"/>
    <w:rsid w:val="12EB2B22"/>
    <w:rsid w:val="135D0F1A"/>
    <w:rsid w:val="13AE4341"/>
    <w:rsid w:val="146F4896"/>
    <w:rsid w:val="14C46733"/>
    <w:rsid w:val="14E51DAF"/>
    <w:rsid w:val="152D3DA8"/>
    <w:rsid w:val="15A76CBA"/>
    <w:rsid w:val="15AA1C40"/>
    <w:rsid w:val="15B16BBF"/>
    <w:rsid w:val="15CE1B61"/>
    <w:rsid w:val="161B307A"/>
    <w:rsid w:val="16277399"/>
    <w:rsid w:val="16406659"/>
    <w:rsid w:val="1663076D"/>
    <w:rsid w:val="166C0BFE"/>
    <w:rsid w:val="16AA1203"/>
    <w:rsid w:val="16D910E7"/>
    <w:rsid w:val="16ED0036"/>
    <w:rsid w:val="17190FD8"/>
    <w:rsid w:val="174572F5"/>
    <w:rsid w:val="1752771C"/>
    <w:rsid w:val="177824DE"/>
    <w:rsid w:val="179F1375"/>
    <w:rsid w:val="17DE52B9"/>
    <w:rsid w:val="182A49D6"/>
    <w:rsid w:val="184D3F0A"/>
    <w:rsid w:val="18591A6A"/>
    <w:rsid w:val="185B49F9"/>
    <w:rsid w:val="18B82A53"/>
    <w:rsid w:val="18D4764B"/>
    <w:rsid w:val="18E23389"/>
    <w:rsid w:val="18ED7AFC"/>
    <w:rsid w:val="18F1293A"/>
    <w:rsid w:val="18FB7396"/>
    <w:rsid w:val="18FC5F53"/>
    <w:rsid w:val="1940176E"/>
    <w:rsid w:val="19A84C5F"/>
    <w:rsid w:val="19B90B2E"/>
    <w:rsid w:val="19C40268"/>
    <w:rsid w:val="19DE4269"/>
    <w:rsid w:val="19E85F96"/>
    <w:rsid w:val="19F45267"/>
    <w:rsid w:val="1A010B52"/>
    <w:rsid w:val="1A0A5ADD"/>
    <w:rsid w:val="1A0E191C"/>
    <w:rsid w:val="1A0F4CB2"/>
    <w:rsid w:val="1A283EAB"/>
    <w:rsid w:val="1A4B42A8"/>
    <w:rsid w:val="1A873DEF"/>
    <w:rsid w:val="1AB855E8"/>
    <w:rsid w:val="1B0F3BC3"/>
    <w:rsid w:val="1B227149"/>
    <w:rsid w:val="1B6C4947"/>
    <w:rsid w:val="1BA971A7"/>
    <w:rsid w:val="1BBE5D69"/>
    <w:rsid w:val="1BC23014"/>
    <w:rsid w:val="1C197728"/>
    <w:rsid w:val="1C4F6C7E"/>
    <w:rsid w:val="1CBA16B9"/>
    <w:rsid w:val="1CDD3BD9"/>
    <w:rsid w:val="1D4103D8"/>
    <w:rsid w:val="1D6C05A1"/>
    <w:rsid w:val="1D752C81"/>
    <w:rsid w:val="1DA83E5A"/>
    <w:rsid w:val="1DF75BC9"/>
    <w:rsid w:val="1E311151"/>
    <w:rsid w:val="1E724494"/>
    <w:rsid w:val="1E9407C6"/>
    <w:rsid w:val="1EB07531"/>
    <w:rsid w:val="1EEC51E3"/>
    <w:rsid w:val="1F367F24"/>
    <w:rsid w:val="1F5822EB"/>
    <w:rsid w:val="1FC77993"/>
    <w:rsid w:val="1FE04BDC"/>
    <w:rsid w:val="1FF04F55"/>
    <w:rsid w:val="1FF74F60"/>
    <w:rsid w:val="201B21D7"/>
    <w:rsid w:val="202A5CE1"/>
    <w:rsid w:val="202E5835"/>
    <w:rsid w:val="204B1599"/>
    <w:rsid w:val="204D7D39"/>
    <w:rsid w:val="206706F9"/>
    <w:rsid w:val="20880A11"/>
    <w:rsid w:val="209A04D2"/>
    <w:rsid w:val="20ED093D"/>
    <w:rsid w:val="2180792F"/>
    <w:rsid w:val="21A352F4"/>
    <w:rsid w:val="21DF4775"/>
    <w:rsid w:val="21E06661"/>
    <w:rsid w:val="21E97A1A"/>
    <w:rsid w:val="22155C9A"/>
    <w:rsid w:val="2254329B"/>
    <w:rsid w:val="22543D92"/>
    <w:rsid w:val="227B05DB"/>
    <w:rsid w:val="2286118D"/>
    <w:rsid w:val="22994C0C"/>
    <w:rsid w:val="22DA6E1E"/>
    <w:rsid w:val="23195B92"/>
    <w:rsid w:val="231D5260"/>
    <w:rsid w:val="234D114F"/>
    <w:rsid w:val="234D697E"/>
    <w:rsid w:val="235E66FB"/>
    <w:rsid w:val="23764632"/>
    <w:rsid w:val="23871183"/>
    <w:rsid w:val="23A83679"/>
    <w:rsid w:val="23AA1307"/>
    <w:rsid w:val="23E0508A"/>
    <w:rsid w:val="23E24AEB"/>
    <w:rsid w:val="241272A4"/>
    <w:rsid w:val="241E2177"/>
    <w:rsid w:val="242D04D4"/>
    <w:rsid w:val="2472601F"/>
    <w:rsid w:val="24C70DB0"/>
    <w:rsid w:val="24D119C9"/>
    <w:rsid w:val="24E023A5"/>
    <w:rsid w:val="24F2361F"/>
    <w:rsid w:val="250C55F9"/>
    <w:rsid w:val="25787F5E"/>
    <w:rsid w:val="25DE7A51"/>
    <w:rsid w:val="25EB7571"/>
    <w:rsid w:val="25F807A6"/>
    <w:rsid w:val="26065D46"/>
    <w:rsid w:val="26282AE6"/>
    <w:rsid w:val="26581085"/>
    <w:rsid w:val="265A4FA2"/>
    <w:rsid w:val="26844F6D"/>
    <w:rsid w:val="268632D1"/>
    <w:rsid w:val="26B11406"/>
    <w:rsid w:val="26C912D3"/>
    <w:rsid w:val="26D95D66"/>
    <w:rsid w:val="26E54E83"/>
    <w:rsid w:val="275C63E2"/>
    <w:rsid w:val="279E2F75"/>
    <w:rsid w:val="27BA53F2"/>
    <w:rsid w:val="27BF4CEB"/>
    <w:rsid w:val="27FC1BEB"/>
    <w:rsid w:val="288A4AC1"/>
    <w:rsid w:val="288D16B7"/>
    <w:rsid w:val="28A90EBF"/>
    <w:rsid w:val="28AA180E"/>
    <w:rsid w:val="28FA686D"/>
    <w:rsid w:val="290B2AFB"/>
    <w:rsid w:val="2921148D"/>
    <w:rsid w:val="296B4AF1"/>
    <w:rsid w:val="298830BE"/>
    <w:rsid w:val="29A42A5E"/>
    <w:rsid w:val="29DC721E"/>
    <w:rsid w:val="2A1803F8"/>
    <w:rsid w:val="2A290739"/>
    <w:rsid w:val="2A475AEA"/>
    <w:rsid w:val="2A9A2C2B"/>
    <w:rsid w:val="2B0F1AB2"/>
    <w:rsid w:val="2B657BF0"/>
    <w:rsid w:val="2B9442FA"/>
    <w:rsid w:val="2BA71C7D"/>
    <w:rsid w:val="2BB4515D"/>
    <w:rsid w:val="2BBA47AF"/>
    <w:rsid w:val="2BDA0E8E"/>
    <w:rsid w:val="2BDA61F2"/>
    <w:rsid w:val="2BDF2514"/>
    <w:rsid w:val="2CF2647A"/>
    <w:rsid w:val="2CF56FB2"/>
    <w:rsid w:val="2D3E34C2"/>
    <w:rsid w:val="2E046BD5"/>
    <w:rsid w:val="2E1D4ED4"/>
    <w:rsid w:val="2E5539A3"/>
    <w:rsid w:val="2E690B3D"/>
    <w:rsid w:val="2E8B6F4E"/>
    <w:rsid w:val="2EAF24D5"/>
    <w:rsid w:val="2EB21BF0"/>
    <w:rsid w:val="2ED0356A"/>
    <w:rsid w:val="2F3462A6"/>
    <w:rsid w:val="2F5334D4"/>
    <w:rsid w:val="2FB62430"/>
    <w:rsid w:val="2FCA5AEF"/>
    <w:rsid w:val="30210DDD"/>
    <w:rsid w:val="30224816"/>
    <w:rsid w:val="30581F3F"/>
    <w:rsid w:val="308703FD"/>
    <w:rsid w:val="30F772D4"/>
    <w:rsid w:val="31075818"/>
    <w:rsid w:val="316B4214"/>
    <w:rsid w:val="31794E91"/>
    <w:rsid w:val="31BE46C2"/>
    <w:rsid w:val="31EB28CE"/>
    <w:rsid w:val="3214521D"/>
    <w:rsid w:val="32575F5B"/>
    <w:rsid w:val="329E2070"/>
    <w:rsid w:val="32CC7960"/>
    <w:rsid w:val="32CF26FF"/>
    <w:rsid w:val="33385817"/>
    <w:rsid w:val="334064D8"/>
    <w:rsid w:val="33964817"/>
    <w:rsid w:val="33BF5C36"/>
    <w:rsid w:val="33E50871"/>
    <w:rsid w:val="33F24CC3"/>
    <w:rsid w:val="34207E87"/>
    <w:rsid w:val="3423166E"/>
    <w:rsid w:val="345B1857"/>
    <w:rsid w:val="346D5AE8"/>
    <w:rsid w:val="34717F7B"/>
    <w:rsid w:val="352C4169"/>
    <w:rsid w:val="35EC2886"/>
    <w:rsid w:val="368D0A96"/>
    <w:rsid w:val="36C64C56"/>
    <w:rsid w:val="372D54E6"/>
    <w:rsid w:val="374C214E"/>
    <w:rsid w:val="379A5B6C"/>
    <w:rsid w:val="37AA2AE7"/>
    <w:rsid w:val="37B901BC"/>
    <w:rsid w:val="37DE76F9"/>
    <w:rsid w:val="37EB0513"/>
    <w:rsid w:val="380A3FDD"/>
    <w:rsid w:val="386D7858"/>
    <w:rsid w:val="38A36D95"/>
    <w:rsid w:val="38BD0E17"/>
    <w:rsid w:val="38C95BFB"/>
    <w:rsid w:val="38F528BD"/>
    <w:rsid w:val="391108A4"/>
    <w:rsid w:val="393419E3"/>
    <w:rsid w:val="39833969"/>
    <w:rsid w:val="3A89242B"/>
    <w:rsid w:val="3A8A099B"/>
    <w:rsid w:val="3AA56950"/>
    <w:rsid w:val="3AA934D6"/>
    <w:rsid w:val="3AC92042"/>
    <w:rsid w:val="3ACB7183"/>
    <w:rsid w:val="3BB23479"/>
    <w:rsid w:val="3BB963D1"/>
    <w:rsid w:val="3BDB790D"/>
    <w:rsid w:val="3C4010EA"/>
    <w:rsid w:val="3C467987"/>
    <w:rsid w:val="3C580904"/>
    <w:rsid w:val="3CF2194D"/>
    <w:rsid w:val="3D1D106E"/>
    <w:rsid w:val="3D3A01A5"/>
    <w:rsid w:val="3D467A1C"/>
    <w:rsid w:val="3D597AFB"/>
    <w:rsid w:val="3D8F6412"/>
    <w:rsid w:val="3D8F6B6C"/>
    <w:rsid w:val="3DD671AB"/>
    <w:rsid w:val="3DFF7F44"/>
    <w:rsid w:val="3E14095F"/>
    <w:rsid w:val="3E3D2176"/>
    <w:rsid w:val="3E95588A"/>
    <w:rsid w:val="3E9C6B44"/>
    <w:rsid w:val="3E9F0302"/>
    <w:rsid w:val="3EC56E1B"/>
    <w:rsid w:val="3ED91D80"/>
    <w:rsid w:val="3EE10DE7"/>
    <w:rsid w:val="3F0D46C2"/>
    <w:rsid w:val="3F1C4A47"/>
    <w:rsid w:val="3F6358A3"/>
    <w:rsid w:val="3FB723BB"/>
    <w:rsid w:val="3FBB4EFC"/>
    <w:rsid w:val="3FF638FD"/>
    <w:rsid w:val="4034230C"/>
    <w:rsid w:val="40711576"/>
    <w:rsid w:val="40721256"/>
    <w:rsid w:val="40D679F0"/>
    <w:rsid w:val="41825863"/>
    <w:rsid w:val="41936BA5"/>
    <w:rsid w:val="41984EBF"/>
    <w:rsid w:val="41AE5570"/>
    <w:rsid w:val="41FE743B"/>
    <w:rsid w:val="428622D2"/>
    <w:rsid w:val="4298644F"/>
    <w:rsid w:val="429B6C40"/>
    <w:rsid w:val="42C04B06"/>
    <w:rsid w:val="42F2478E"/>
    <w:rsid w:val="43006D78"/>
    <w:rsid w:val="431F2956"/>
    <w:rsid w:val="435865AB"/>
    <w:rsid w:val="43874809"/>
    <w:rsid w:val="43AF69D0"/>
    <w:rsid w:val="443D4FE7"/>
    <w:rsid w:val="452C6EB1"/>
    <w:rsid w:val="453F38A4"/>
    <w:rsid w:val="45796E64"/>
    <w:rsid w:val="45812B72"/>
    <w:rsid w:val="458B0897"/>
    <w:rsid w:val="45A57FD9"/>
    <w:rsid w:val="45A74333"/>
    <w:rsid w:val="46015B34"/>
    <w:rsid w:val="462729DF"/>
    <w:rsid w:val="46487340"/>
    <w:rsid w:val="466412B6"/>
    <w:rsid w:val="46F9352F"/>
    <w:rsid w:val="47645C92"/>
    <w:rsid w:val="477A6AE7"/>
    <w:rsid w:val="477E2A94"/>
    <w:rsid w:val="47CB19AF"/>
    <w:rsid w:val="47CD16F4"/>
    <w:rsid w:val="481F4D46"/>
    <w:rsid w:val="484710EA"/>
    <w:rsid w:val="487637AD"/>
    <w:rsid w:val="487E03B2"/>
    <w:rsid w:val="48E90C2C"/>
    <w:rsid w:val="49120F16"/>
    <w:rsid w:val="491F7B9D"/>
    <w:rsid w:val="498F34A7"/>
    <w:rsid w:val="4A01023B"/>
    <w:rsid w:val="4A323B03"/>
    <w:rsid w:val="4AB228CA"/>
    <w:rsid w:val="4AB47381"/>
    <w:rsid w:val="4B335C59"/>
    <w:rsid w:val="4B7818BD"/>
    <w:rsid w:val="4B7D73BA"/>
    <w:rsid w:val="4B8C4E86"/>
    <w:rsid w:val="4BBE4BD1"/>
    <w:rsid w:val="4BC0573E"/>
    <w:rsid w:val="4BCB0698"/>
    <w:rsid w:val="4BF90FCB"/>
    <w:rsid w:val="4C31379A"/>
    <w:rsid w:val="4C3A1A1A"/>
    <w:rsid w:val="4C59260F"/>
    <w:rsid w:val="4CC11D49"/>
    <w:rsid w:val="4D2E4F0D"/>
    <w:rsid w:val="4D671BE9"/>
    <w:rsid w:val="4D686E46"/>
    <w:rsid w:val="4DD973CE"/>
    <w:rsid w:val="4DFE33E0"/>
    <w:rsid w:val="4E454840"/>
    <w:rsid w:val="4E8B3C42"/>
    <w:rsid w:val="4EB12046"/>
    <w:rsid w:val="4EBE0FD9"/>
    <w:rsid w:val="4EC0354A"/>
    <w:rsid w:val="4ED270A9"/>
    <w:rsid w:val="4ED76B97"/>
    <w:rsid w:val="4F5B577E"/>
    <w:rsid w:val="4F5D780A"/>
    <w:rsid w:val="4FB443CB"/>
    <w:rsid w:val="4FE71BE1"/>
    <w:rsid w:val="504A6716"/>
    <w:rsid w:val="50514152"/>
    <w:rsid w:val="50747056"/>
    <w:rsid w:val="5099075D"/>
    <w:rsid w:val="50B072CA"/>
    <w:rsid w:val="50BD04E4"/>
    <w:rsid w:val="50CA1AA1"/>
    <w:rsid w:val="50F20458"/>
    <w:rsid w:val="510E078D"/>
    <w:rsid w:val="51182C80"/>
    <w:rsid w:val="511A57D8"/>
    <w:rsid w:val="512005D8"/>
    <w:rsid w:val="512B12F8"/>
    <w:rsid w:val="514B0912"/>
    <w:rsid w:val="515C5839"/>
    <w:rsid w:val="517C2990"/>
    <w:rsid w:val="51BC3203"/>
    <w:rsid w:val="51D13AD5"/>
    <w:rsid w:val="51D36342"/>
    <w:rsid w:val="521B349E"/>
    <w:rsid w:val="523D7B6F"/>
    <w:rsid w:val="529E42B2"/>
    <w:rsid w:val="52BF5F12"/>
    <w:rsid w:val="53184127"/>
    <w:rsid w:val="531E044B"/>
    <w:rsid w:val="531E6530"/>
    <w:rsid w:val="533A5DCA"/>
    <w:rsid w:val="533E44AE"/>
    <w:rsid w:val="53BB08EB"/>
    <w:rsid w:val="54050364"/>
    <w:rsid w:val="540D46E2"/>
    <w:rsid w:val="54F0199D"/>
    <w:rsid w:val="555424DB"/>
    <w:rsid w:val="558127D5"/>
    <w:rsid w:val="559F35EC"/>
    <w:rsid w:val="560B0AD9"/>
    <w:rsid w:val="56390616"/>
    <w:rsid w:val="56440184"/>
    <w:rsid w:val="56450028"/>
    <w:rsid w:val="564B0F76"/>
    <w:rsid w:val="568C5959"/>
    <w:rsid w:val="56A1440B"/>
    <w:rsid w:val="56A42383"/>
    <w:rsid w:val="56AD6D5D"/>
    <w:rsid w:val="56C55914"/>
    <w:rsid w:val="56D15742"/>
    <w:rsid w:val="5700242D"/>
    <w:rsid w:val="570253D4"/>
    <w:rsid w:val="5710361E"/>
    <w:rsid w:val="571C43A1"/>
    <w:rsid w:val="57313BA2"/>
    <w:rsid w:val="57565D2D"/>
    <w:rsid w:val="57B42AB2"/>
    <w:rsid w:val="57CD57FF"/>
    <w:rsid w:val="58AE47B3"/>
    <w:rsid w:val="592762D6"/>
    <w:rsid w:val="594A5D9A"/>
    <w:rsid w:val="595039F3"/>
    <w:rsid w:val="59751749"/>
    <w:rsid w:val="59787212"/>
    <w:rsid w:val="59E12B70"/>
    <w:rsid w:val="59E76601"/>
    <w:rsid w:val="5A520745"/>
    <w:rsid w:val="5A984B9D"/>
    <w:rsid w:val="5B01390C"/>
    <w:rsid w:val="5B525B92"/>
    <w:rsid w:val="5B681CAD"/>
    <w:rsid w:val="5B7A0E69"/>
    <w:rsid w:val="5B920800"/>
    <w:rsid w:val="5BF17333"/>
    <w:rsid w:val="5C570321"/>
    <w:rsid w:val="5CA068B7"/>
    <w:rsid w:val="5CBC1A0A"/>
    <w:rsid w:val="5CC74CF6"/>
    <w:rsid w:val="5CD82FEA"/>
    <w:rsid w:val="5D184CAE"/>
    <w:rsid w:val="5D5B7336"/>
    <w:rsid w:val="5DA35F7C"/>
    <w:rsid w:val="5DA36199"/>
    <w:rsid w:val="5DA51961"/>
    <w:rsid w:val="5DB03B94"/>
    <w:rsid w:val="5DB77E4C"/>
    <w:rsid w:val="5DDD008C"/>
    <w:rsid w:val="5DE97C1E"/>
    <w:rsid w:val="5E0A0A9B"/>
    <w:rsid w:val="5E3213BD"/>
    <w:rsid w:val="5E367FBB"/>
    <w:rsid w:val="5E612AEC"/>
    <w:rsid w:val="5E990C8C"/>
    <w:rsid w:val="5EDF3D21"/>
    <w:rsid w:val="5F3647A9"/>
    <w:rsid w:val="5F3C7CF6"/>
    <w:rsid w:val="5F506981"/>
    <w:rsid w:val="5FAA7B4B"/>
    <w:rsid w:val="5FCA1E36"/>
    <w:rsid w:val="5FD52A19"/>
    <w:rsid w:val="60343C4F"/>
    <w:rsid w:val="60367893"/>
    <w:rsid w:val="604301F4"/>
    <w:rsid w:val="61070990"/>
    <w:rsid w:val="61425066"/>
    <w:rsid w:val="61982FF7"/>
    <w:rsid w:val="61AF41D0"/>
    <w:rsid w:val="62067B95"/>
    <w:rsid w:val="62097AE2"/>
    <w:rsid w:val="621C74A5"/>
    <w:rsid w:val="62361E5F"/>
    <w:rsid w:val="62397900"/>
    <w:rsid w:val="62A355BF"/>
    <w:rsid w:val="62CA1ED9"/>
    <w:rsid w:val="631D00A5"/>
    <w:rsid w:val="63870ABF"/>
    <w:rsid w:val="63972E8E"/>
    <w:rsid w:val="639F1128"/>
    <w:rsid w:val="64133F70"/>
    <w:rsid w:val="6495159D"/>
    <w:rsid w:val="64B679DA"/>
    <w:rsid w:val="64F91CDC"/>
    <w:rsid w:val="652F4ED9"/>
    <w:rsid w:val="65571EB9"/>
    <w:rsid w:val="65875668"/>
    <w:rsid w:val="65C444D7"/>
    <w:rsid w:val="667271DD"/>
    <w:rsid w:val="6673329A"/>
    <w:rsid w:val="66883C61"/>
    <w:rsid w:val="66BF396A"/>
    <w:rsid w:val="66D30E38"/>
    <w:rsid w:val="674C5B0E"/>
    <w:rsid w:val="676034DA"/>
    <w:rsid w:val="67AE48A7"/>
    <w:rsid w:val="68134ED9"/>
    <w:rsid w:val="6843663B"/>
    <w:rsid w:val="685E12BE"/>
    <w:rsid w:val="69495BB8"/>
    <w:rsid w:val="695204DE"/>
    <w:rsid w:val="695B2120"/>
    <w:rsid w:val="697415F1"/>
    <w:rsid w:val="69AC18F4"/>
    <w:rsid w:val="69D76005"/>
    <w:rsid w:val="69E42684"/>
    <w:rsid w:val="6A452EAF"/>
    <w:rsid w:val="6A773718"/>
    <w:rsid w:val="6A992EEE"/>
    <w:rsid w:val="6B085226"/>
    <w:rsid w:val="6B0F10A3"/>
    <w:rsid w:val="6B5642A7"/>
    <w:rsid w:val="6B7227FC"/>
    <w:rsid w:val="6B8D7E00"/>
    <w:rsid w:val="6BA70A39"/>
    <w:rsid w:val="6C207CCC"/>
    <w:rsid w:val="6C2D26BE"/>
    <w:rsid w:val="6C3F4B4C"/>
    <w:rsid w:val="6C411B2C"/>
    <w:rsid w:val="6C5A7550"/>
    <w:rsid w:val="6C6340EA"/>
    <w:rsid w:val="6C851D40"/>
    <w:rsid w:val="6CA121FE"/>
    <w:rsid w:val="6CE136B0"/>
    <w:rsid w:val="6CE34F56"/>
    <w:rsid w:val="6CFD36FC"/>
    <w:rsid w:val="6D354FCC"/>
    <w:rsid w:val="6D5238C5"/>
    <w:rsid w:val="6D5E655E"/>
    <w:rsid w:val="6D9419C2"/>
    <w:rsid w:val="6DD90D55"/>
    <w:rsid w:val="6E15687F"/>
    <w:rsid w:val="6E3766DB"/>
    <w:rsid w:val="6EB44BC2"/>
    <w:rsid w:val="6ED12807"/>
    <w:rsid w:val="6EF43425"/>
    <w:rsid w:val="6FA81250"/>
    <w:rsid w:val="6FAB1BE4"/>
    <w:rsid w:val="70532936"/>
    <w:rsid w:val="705E6E06"/>
    <w:rsid w:val="70700761"/>
    <w:rsid w:val="7081142A"/>
    <w:rsid w:val="70B21427"/>
    <w:rsid w:val="70DF5503"/>
    <w:rsid w:val="70F509C5"/>
    <w:rsid w:val="70F75F94"/>
    <w:rsid w:val="712122FF"/>
    <w:rsid w:val="719E17CE"/>
    <w:rsid w:val="71FA347F"/>
    <w:rsid w:val="72207CB9"/>
    <w:rsid w:val="72E62261"/>
    <w:rsid w:val="72E84561"/>
    <w:rsid w:val="72EF2E18"/>
    <w:rsid w:val="7357224A"/>
    <w:rsid w:val="73874D51"/>
    <w:rsid w:val="7395692C"/>
    <w:rsid w:val="73AA1C7F"/>
    <w:rsid w:val="743933E4"/>
    <w:rsid w:val="7445266A"/>
    <w:rsid w:val="746C6B3C"/>
    <w:rsid w:val="748660E7"/>
    <w:rsid w:val="74D93943"/>
    <w:rsid w:val="74EF502A"/>
    <w:rsid w:val="74F32570"/>
    <w:rsid w:val="74FC7436"/>
    <w:rsid w:val="75445B24"/>
    <w:rsid w:val="75DE2A02"/>
    <w:rsid w:val="75F171ED"/>
    <w:rsid w:val="7623661A"/>
    <w:rsid w:val="762D32C2"/>
    <w:rsid w:val="76521EAA"/>
    <w:rsid w:val="7671661D"/>
    <w:rsid w:val="76944148"/>
    <w:rsid w:val="76991197"/>
    <w:rsid w:val="76A61254"/>
    <w:rsid w:val="76B92C06"/>
    <w:rsid w:val="76D53F03"/>
    <w:rsid w:val="76F02D8C"/>
    <w:rsid w:val="77040543"/>
    <w:rsid w:val="77826811"/>
    <w:rsid w:val="779D37A7"/>
    <w:rsid w:val="77A861FF"/>
    <w:rsid w:val="77D172C3"/>
    <w:rsid w:val="77DB53BF"/>
    <w:rsid w:val="77E27E2C"/>
    <w:rsid w:val="77EB32B5"/>
    <w:rsid w:val="7860707C"/>
    <w:rsid w:val="78A47D24"/>
    <w:rsid w:val="78B05A8B"/>
    <w:rsid w:val="78E25741"/>
    <w:rsid w:val="79492020"/>
    <w:rsid w:val="795F0931"/>
    <w:rsid w:val="79604B46"/>
    <w:rsid w:val="7991705F"/>
    <w:rsid w:val="799F545B"/>
    <w:rsid w:val="799F716E"/>
    <w:rsid w:val="79B74E50"/>
    <w:rsid w:val="79D97E52"/>
    <w:rsid w:val="79E812FB"/>
    <w:rsid w:val="7A2B0902"/>
    <w:rsid w:val="7A8D1653"/>
    <w:rsid w:val="7A981C53"/>
    <w:rsid w:val="7AF26AC0"/>
    <w:rsid w:val="7B1F2540"/>
    <w:rsid w:val="7B483848"/>
    <w:rsid w:val="7B755F64"/>
    <w:rsid w:val="7BA052EA"/>
    <w:rsid w:val="7BC46F93"/>
    <w:rsid w:val="7BCE10A9"/>
    <w:rsid w:val="7BEA2338"/>
    <w:rsid w:val="7C4315C2"/>
    <w:rsid w:val="7C9E37F8"/>
    <w:rsid w:val="7CEB0DA6"/>
    <w:rsid w:val="7D4132BD"/>
    <w:rsid w:val="7D5A2168"/>
    <w:rsid w:val="7D76103B"/>
    <w:rsid w:val="7D9669F3"/>
    <w:rsid w:val="7DF4792E"/>
    <w:rsid w:val="7E0E7311"/>
    <w:rsid w:val="7E456790"/>
    <w:rsid w:val="7E5A5D0E"/>
    <w:rsid w:val="7E6C09FD"/>
    <w:rsid w:val="7E741D5A"/>
    <w:rsid w:val="7E86468C"/>
    <w:rsid w:val="7F231566"/>
    <w:rsid w:val="7F82628B"/>
    <w:rsid w:val="7FBC5C1E"/>
    <w:rsid w:val="7FC543CA"/>
    <w:rsid w:val="7FC702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16">
    <w:name w:val="Default Paragraph Font"/>
    <w:autoRedefine/>
    <w:qFormat/>
    <w:uiPriority w:val="0"/>
    <w:rPr>
      <w:rFonts w:ascii="Times New Roman" w:hAnsi="Times New Roman" w:eastAsia="宋体" w:cs="Times New Roman"/>
    </w:rPr>
  </w:style>
  <w:style w:type="table" w:default="1" w:styleId="14">
    <w:name w:val="Normal Table"/>
    <w:autoRedefine/>
    <w:qFormat/>
    <w:uiPriority w:val="0"/>
    <w:tblPr>
      <w:tblCellMar>
        <w:top w:w="0" w:type="dxa"/>
        <w:left w:w="108" w:type="dxa"/>
        <w:bottom w:w="0" w:type="dxa"/>
        <w:right w:w="108" w:type="dxa"/>
      </w:tblCellMar>
    </w:tblPr>
  </w:style>
  <w:style w:type="paragraph" w:styleId="2">
    <w:name w:val="Document Map"/>
    <w:basedOn w:val="1"/>
    <w:link w:val="28"/>
    <w:autoRedefine/>
    <w:qFormat/>
    <w:uiPriority w:val="0"/>
    <w:rPr>
      <w:rFonts w:ascii="宋体" w:eastAsia="宋体"/>
      <w:sz w:val="18"/>
      <w:szCs w:val="18"/>
    </w:rPr>
  </w:style>
  <w:style w:type="paragraph" w:styleId="3">
    <w:name w:val="annotation text"/>
    <w:basedOn w:val="1"/>
    <w:autoRedefine/>
    <w:qFormat/>
    <w:uiPriority w:val="0"/>
    <w:pPr>
      <w:jc w:val="left"/>
    </w:pPr>
  </w:style>
  <w:style w:type="paragraph" w:styleId="4">
    <w:name w:val="Body Text"/>
    <w:basedOn w:val="1"/>
    <w:next w:val="1"/>
    <w:autoRedefine/>
    <w:qFormat/>
    <w:uiPriority w:val="0"/>
    <w:rPr>
      <w:sz w:val="24"/>
      <w:szCs w:val="20"/>
    </w:rPr>
  </w:style>
  <w:style w:type="paragraph" w:styleId="5">
    <w:name w:val="Body Text Indent"/>
    <w:basedOn w:val="1"/>
    <w:autoRedefine/>
    <w:qFormat/>
    <w:uiPriority w:val="0"/>
    <w:pPr>
      <w:widowControl/>
      <w:spacing w:line="425" w:lineRule="atLeast"/>
      <w:ind w:firstLine="560" w:firstLineChars="200"/>
      <w:textAlignment w:val="baseline"/>
    </w:pPr>
    <w:rPr>
      <w:rFonts w:eastAsia="宋体"/>
      <w:color w:val="000000"/>
      <w:kern w:val="0"/>
      <w:sz w:val="28"/>
      <w:szCs w:val="20"/>
      <w:u w:color="000000"/>
    </w:rPr>
  </w:style>
  <w:style w:type="paragraph" w:styleId="6">
    <w:name w:val="Plain Text"/>
    <w:basedOn w:val="1"/>
    <w:autoRedefine/>
    <w:qFormat/>
    <w:uiPriority w:val="0"/>
    <w:rPr>
      <w:rFonts w:ascii="宋体" w:hAnsi="Courier New"/>
    </w:rPr>
  </w:style>
  <w:style w:type="paragraph" w:styleId="7">
    <w:name w:val="Balloon Text"/>
    <w:basedOn w:val="1"/>
    <w:autoRedefine/>
    <w:qFormat/>
    <w:uiPriority w:val="0"/>
    <w:rPr>
      <w:rFonts w:eastAsia="宋体"/>
      <w:sz w:val="18"/>
      <w:szCs w:val="18"/>
    </w:rPr>
  </w:style>
  <w:style w:type="paragraph" w:styleId="8">
    <w:name w:val="footer"/>
    <w:basedOn w:val="1"/>
    <w:autoRedefine/>
    <w:qFormat/>
    <w:uiPriority w:val="0"/>
    <w:pPr>
      <w:tabs>
        <w:tab w:val="center" w:pos="4153"/>
        <w:tab w:val="right" w:pos="8306"/>
      </w:tabs>
      <w:snapToGrid w:val="0"/>
      <w:jc w:val="left"/>
    </w:pPr>
    <w:rPr>
      <w:rFonts w:eastAsia="宋体"/>
      <w:sz w:val="18"/>
      <w:szCs w:val="18"/>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rFonts w:eastAsia="宋体"/>
      <w:sz w:val="18"/>
      <w:szCs w:val="18"/>
    </w:rPr>
  </w:style>
  <w:style w:type="paragraph" w:styleId="10">
    <w:name w:val="toc 1"/>
    <w:basedOn w:val="1"/>
    <w:next w:val="1"/>
    <w:autoRedefine/>
    <w:qFormat/>
    <w:uiPriority w:val="0"/>
  </w:style>
  <w:style w:type="paragraph" w:styleId="11">
    <w:name w:val="toc 2"/>
    <w:basedOn w:val="1"/>
    <w:next w:val="1"/>
    <w:autoRedefine/>
    <w:qFormat/>
    <w:uiPriority w:val="0"/>
    <w:pPr>
      <w:ind w:left="420" w:leftChars="200"/>
    </w:pPr>
  </w:style>
  <w:style w:type="paragraph" w:styleId="12">
    <w:name w:val="Normal (Web)"/>
    <w:basedOn w:val="1"/>
    <w:autoRedefine/>
    <w:qFormat/>
    <w:uiPriority w:val="0"/>
    <w:pPr>
      <w:jc w:val="left"/>
    </w:pPr>
    <w:rPr>
      <w:rFonts w:eastAsia="宋体"/>
      <w:kern w:val="0"/>
      <w:sz w:val="24"/>
    </w:rPr>
  </w:style>
  <w:style w:type="paragraph" w:styleId="13">
    <w:name w:val="Body Text First Indent"/>
    <w:basedOn w:val="4"/>
    <w:autoRedefine/>
    <w:qFormat/>
    <w:uiPriority w:val="0"/>
    <w:pPr>
      <w:tabs>
        <w:tab w:val="left" w:pos="720"/>
        <w:tab w:val="left" w:pos="1440"/>
        <w:tab w:val="left" w:pos="2160"/>
        <w:tab w:val="left" w:pos="2880"/>
        <w:tab w:val="left" w:pos="3600"/>
        <w:tab w:val="left" w:pos="4321"/>
        <w:tab w:val="left" w:pos="5041"/>
        <w:tab w:val="left" w:pos="5761"/>
        <w:tab w:val="left" w:pos="6481"/>
        <w:tab w:val="left" w:pos="7201"/>
        <w:tab w:val="left" w:pos="7921"/>
      </w:tabs>
      <w:ind w:firstLine="420" w:firstLineChars="100"/>
    </w:pPr>
    <w:rPr>
      <w:rFonts w:ascii="仿宋" w:hAnsi="仿宋" w:eastAsia="仿宋" w:cs="仿宋"/>
      <w:sz w:val="32"/>
      <w:szCs w:val="32"/>
    </w:rPr>
  </w:style>
  <w:style w:type="table" w:styleId="15">
    <w:name w:val="Table Grid"/>
    <w:basedOn w:val="1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Strong"/>
    <w:autoRedefine/>
    <w:qFormat/>
    <w:uiPriority w:val="0"/>
    <w:rPr>
      <w:rFonts w:ascii="Times New Roman" w:hAnsi="Times New Roman" w:eastAsia="宋体" w:cs="Times New Roman"/>
      <w:b/>
      <w:u w:val="single"/>
    </w:rPr>
  </w:style>
  <w:style w:type="character" w:styleId="18">
    <w:name w:val="page number"/>
    <w:autoRedefine/>
    <w:qFormat/>
    <w:uiPriority w:val="0"/>
    <w:rPr>
      <w:rFonts w:ascii="Times New Roman" w:hAnsi="Times New Roman" w:eastAsia="宋体" w:cs="Times New Roman"/>
    </w:rPr>
  </w:style>
  <w:style w:type="character" w:styleId="19">
    <w:name w:val="FollowedHyperlink"/>
    <w:autoRedefine/>
    <w:qFormat/>
    <w:uiPriority w:val="0"/>
    <w:rPr>
      <w:rFonts w:ascii="Times New Roman" w:hAnsi="Times New Roman" w:eastAsia="宋体" w:cs="Times New Roman"/>
      <w:color w:val="338DE6"/>
      <w:u w:val="none"/>
    </w:rPr>
  </w:style>
  <w:style w:type="character" w:styleId="20">
    <w:name w:val="Emphasis"/>
    <w:autoRedefine/>
    <w:qFormat/>
    <w:uiPriority w:val="0"/>
    <w:rPr>
      <w:rFonts w:ascii="Times New Roman" w:hAnsi="Times New Roman" w:eastAsia="宋体" w:cs="Times New Roman"/>
    </w:rPr>
  </w:style>
  <w:style w:type="character" w:styleId="21">
    <w:name w:val="HTML Definition"/>
    <w:autoRedefine/>
    <w:qFormat/>
    <w:uiPriority w:val="0"/>
    <w:rPr>
      <w:rFonts w:ascii="Times New Roman" w:hAnsi="Times New Roman" w:eastAsia="宋体" w:cs="Times New Roman"/>
    </w:rPr>
  </w:style>
  <w:style w:type="character" w:styleId="22">
    <w:name w:val="HTML Variable"/>
    <w:autoRedefine/>
    <w:qFormat/>
    <w:uiPriority w:val="0"/>
    <w:rPr>
      <w:rFonts w:ascii="Times New Roman" w:hAnsi="Times New Roman" w:eastAsia="宋体" w:cs="Times New Roman"/>
      <w:color w:val="556DA9"/>
    </w:rPr>
  </w:style>
  <w:style w:type="character" w:styleId="23">
    <w:name w:val="Hyperlink"/>
    <w:qFormat/>
    <w:uiPriority w:val="0"/>
    <w:rPr>
      <w:rFonts w:ascii="Times New Roman" w:hAnsi="Times New Roman" w:eastAsia="宋体" w:cs="Times New Roman"/>
      <w:color w:val="338DE6"/>
      <w:u w:val="none"/>
    </w:rPr>
  </w:style>
  <w:style w:type="character" w:styleId="24">
    <w:name w:val="HTML Code"/>
    <w:autoRedefine/>
    <w:qFormat/>
    <w:uiPriority w:val="0"/>
    <w:rPr>
      <w:rFonts w:hint="default" w:ascii="monospace" w:hAnsi="monospace" w:eastAsia="monospace" w:cs="monospace"/>
      <w:sz w:val="21"/>
      <w:szCs w:val="21"/>
    </w:rPr>
  </w:style>
  <w:style w:type="character" w:styleId="25">
    <w:name w:val="HTML Cite"/>
    <w:autoRedefine/>
    <w:qFormat/>
    <w:uiPriority w:val="0"/>
    <w:rPr>
      <w:rFonts w:ascii="Times New Roman" w:hAnsi="Times New Roman" w:eastAsia="宋体" w:cs="Times New Roman"/>
    </w:rPr>
  </w:style>
  <w:style w:type="character" w:styleId="26">
    <w:name w:val="HTML Keyboard"/>
    <w:qFormat/>
    <w:uiPriority w:val="0"/>
    <w:rPr>
      <w:rFonts w:hint="default" w:ascii="monospace" w:hAnsi="monospace" w:eastAsia="monospace" w:cs="monospace"/>
      <w:sz w:val="21"/>
      <w:szCs w:val="21"/>
    </w:rPr>
  </w:style>
  <w:style w:type="character" w:styleId="27">
    <w:name w:val="HTML Sample"/>
    <w:autoRedefine/>
    <w:qFormat/>
    <w:uiPriority w:val="0"/>
    <w:rPr>
      <w:rFonts w:ascii="monospace" w:hAnsi="monospace" w:eastAsia="monospace" w:cs="monospace"/>
      <w:sz w:val="21"/>
      <w:szCs w:val="21"/>
    </w:rPr>
  </w:style>
  <w:style w:type="character" w:customStyle="1" w:styleId="28">
    <w:name w:val="文档结构图 Char"/>
    <w:link w:val="2"/>
    <w:autoRedefine/>
    <w:qFormat/>
    <w:uiPriority w:val="0"/>
    <w:rPr>
      <w:rFonts w:ascii="宋体" w:hAnsi="Times New Roman" w:eastAsia="宋体" w:cs="Times New Roman"/>
      <w:kern w:val="2"/>
      <w:sz w:val="18"/>
      <w:szCs w:val="18"/>
    </w:rPr>
  </w:style>
  <w:style w:type="character" w:customStyle="1" w:styleId="29">
    <w:name w:val="fontborder"/>
    <w:autoRedefine/>
    <w:qFormat/>
    <w:uiPriority w:val="0"/>
    <w:rPr>
      <w:rFonts w:ascii="Times New Roman" w:hAnsi="Times New Roman" w:eastAsia="宋体" w:cs="Times New Roman"/>
      <w:bdr w:val="single" w:color="auto" w:sz="6" w:space="0"/>
    </w:rPr>
  </w:style>
  <w:style w:type="character" w:customStyle="1" w:styleId="30">
    <w:name w:val="page-numbers"/>
    <w:qFormat/>
    <w:uiPriority w:val="0"/>
    <w:rPr>
      <w:rFonts w:ascii="Times New Roman" w:hAnsi="Times New Roman" w:eastAsia="宋体" w:cs="Times New Roman"/>
      <w:b/>
      <w:color w:val="FFFFFF"/>
      <w:shd w:val="clear" w:color="auto" w:fill="CC0000"/>
    </w:rPr>
  </w:style>
  <w:style w:type="character" w:customStyle="1" w:styleId="31">
    <w:name w:val="fontstrikethrough"/>
    <w:autoRedefine/>
    <w:qFormat/>
    <w:uiPriority w:val="0"/>
    <w:rPr>
      <w:rFonts w:ascii="Times New Roman" w:hAnsi="Times New Roman" w:eastAsia="宋体" w:cs="Times New Roman"/>
      <w:strike/>
    </w:rPr>
  </w:style>
  <w:style w:type="character" w:customStyle="1" w:styleId="32">
    <w:name w:val="on"/>
    <w:autoRedefine/>
    <w:qFormat/>
    <w:uiPriority w:val="0"/>
    <w:rPr>
      <w:rFonts w:ascii="Times New Roman" w:hAnsi="Times New Roman" w:eastAsia="宋体" w:cs="Times New Roman"/>
      <w:b/>
      <w:color w:val="000000"/>
      <w:sz w:val="21"/>
      <w:szCs w:val="21"/>
      <w:shd w:val="clear" w:color="auto" w:fill="FFFFFF"/>
    </w:rPr>
  </w:style>
  <w:style w:type="character" w:customStyle="1" w:styleId="33">
    <w:name w:val="font01"/>
    <w:autoRedefine/>
    <w:qFormat/>
    <w:uiPriority w:val="0"/>
    <w:rPr>
      <w:rFonts w:hint="eastAsia" w:ascii="宋体" w:hAnsi="宋体" w:eastAsia="宋体" w:cs="宋体"/>
      <w:color w:val="000000"/>
      <w:sz w:val="16"/>
      <w:szCs w:val="16"/>
      <w:u w:val="none"/>
    </w:rPr>
  </w:style>
  <w:style w:type="character" w:customStyle="1" w:styleId="34">
    <w:name w:val="font11"/>
    <w:autoRedefine/>
    <w:qFormat/>
    <w:uiPriority w:val="0"/>
    <w:rPr>
      <w:rFonts w:hint="eastAsia" w:ascii="宋体" w:hAnsi="宋体" w:eastAsia="宋体" w:cs="宋体"/>
      <w:color w:val="000000"/>
      <w:sz w:val="20"/>
      <w:szCs w:val="20"/>
      <w:u w:val="none"/>
    </w:rPr>
  </w:style>
  <w:style w:type="character" w:customStyle="1" w:styleId="35">
    <w:name w:val="hover13"/>
    <w:autoRedefine/>
    <w:qFormat/>
    <w:uiPriority w:val="0"/>
    <w:rPr>
      <w:rFonts w:ascii="Times New Roman" w:hAnsi="Times New Roman" w:eastAsia="宋体" w:cs="Times New Roman"/>
      <w:color w:val="FFFFFF"/>
      <w:bdr w:val="single" w:color="CC0000" w:sz="6" w:space="0"/>
      <w:shd w:val="clear" w:color="auto" w:fill="CC0000"/>
    </w:rPr>
  </w:style>
  <w:style w:type="character" w:customStyle="1" w:styleId="36">
    <w:name w:val="四号正文 Char"/>
    <w:link w:val="37"/>
    <w:autoRedefine/>
    <w:qFormat/>
    <w:uiPriority w:val="0"/>
    <w:rPr>
      <w:rFonts w:ascii="??" w:hAnsi="??" w:eastAsia="宋体" w:cs="宋体"/>
      <w:color w:val="000000"/>
      <w:sz w:val="28"/>
      <w:szCs w:val="21"/>
      <w:lang w:val="en-US" w:eastAsia="zh-CN" w:bidi="ar-SA"/>
    </w:rPr>
  </w:style>
  <w:style w:type="paragraph" w:customStyle="1" w:styleId="37">
    <w:name w:val="四号正文"/>
    <w:basedOn w:val="1"/>
    <w:link w:val="36"/>
    <w:autoRedefine/>
    <w:qFormat/>
    <w:uiPriority w:val="0"/>
    <w:pPr>
      <w:spacing w:line="360" w:lineRule="auto"/>
    </w:pPr>
    <w:rPr>
      <w:rFonts w:ascii="??" w:hAnsi="??" w:eastAsia="宋体" w:cs="宋体"/>
      <w:color w:val="000000"/>
      <w:kern w:val="0"/>
      <w:sz w:val="28"/>
      <w:szCs w:val="21"/>
    </w:rPr>
  </w:style>
  <w:style w:type="character" w:customStyle="1" w:styleId="38">
    <w:name w:val="now-page"/>
    <w:autoRedefine/>
    <w:qFormat/>
    <w:uiPriority w:val="0"/>
    <w:rPr>
      <w:rFonts w:ascii="Times New Roman" w:hAnsi="Times New Roman" w:eastAsia="宋体" w:cs="Times New Roman"/>
      <w:b/>
      <w:color w:val="FFFFFF"/>
      <w:shd w:val="clear" w:color="auto" w:fill="CC0000"/>
    </w:rPr>
  </w:style>
  <w:style w:type="paragraph" w:customStyle="1" w:styleId="39">
    <w:name w:val="Default"/>
    <w:autoRedefine/>
    <w:qFormat/>
    <w:uiPriority w:val="0"/>
    <w:pPr>
      <w:widowControl w:val="0"/>
      <w:autoSpaceDE w:val="0"/>
      <w:autoSpaceDN w:val="0"/>
      <w:adjustRightInd w:val="0"/>
    </w:pPr>
    <w:rPr>
      <w:rFonts w:ascii="FZHTK" w:hAnsi="Calibri" w:eastAsia="FZHTK" w:cs="FZHTK"/>
      <w:color w:val="000000"/>
      <w:sz w:val="24"/>
      <w:szCs w:val="24"/>
      <w:lang w:val="en-US" w:eastAsia="zh-CN" w:bidi="ar-SA"/>
    </w:rPr>
  </w:style>
  <w:style w:type="paragraph" w:customStyle="1" w:styleId="40">
    <w:name w:val="a"/>
    <w:basedOn w:val="1"/>
    <w:autoRedefine/>
    <w:qFormat/>
    <w:uiPriority w:val="0"/>
    <w:pPr>
      <w:widowControl/>
      <w:spacing w:before="100" w:beforeAutospacing="1" w:after="100" w:afterAutospacing="1"/>
      <w:jc w:val="left"/>
    </w:pPr>
    <w:rPr>
      <w:rFonts w:ascii="宋体" w:hAnsi="宋体" w:eastAsia="宋体" w:cs="宋体"/>
      <w:kern w:val="0"/>
      <w:sz w:val="24"/>
    </w:rPr>
  </w:style>
  <w:style w:type="paragraph" w:styleId="41">
    <w:name w:val="List Paragraph"/>
    <w:basedOn w:val="1"/>
    <w:autoRedefine/>
    <w:qFormat/>
    <w:uiPriority w:val="0"/>
    <w:pPr>
      <w:ind w:firstLine="420" w:firstLineChars="200"/>
    </w:pPr>
    <w:rPr>
      <w:rFonts w:eastAsia="宋体"/>
    </w:rPr>
  </w:style>
  <w:style w:type="paragraph" w:customStyle="1" w:styleId="42">
    <w:name w:val="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43">
    <w:name w:val="È±Ê¡ÎÄ±¾"/>
    <w:basedOn w:val="1"/>
    <w:autoRedefine/>
    <w:qFormat/>
    <w:uiPriority w:val="0"/>
    <w:pPr>
      <w:widowControl/>
      <w:overflowPunct w:val="0"/>
      <w:autoSpaceDE w:val="0"/>
      <w:autoSpaceDN w:val="0"/>
      <w:adjustRightInd w:val="0"/>
      <w:jc w:val="left"/>
      <w:textAlignment w:val="baseline"/>
    </w:pPr>
    <w:rPr>
      <w:rFonts w:eastAsia="宋体"/>
      <w:kern w:val="0"/>
      <w:sz w:val="24"/>
      <w:szCs w:val="20"/>
    </w:rPr>
  </w:style>
  <w:style w:type="paragraph" w:customStyle="1" w:styleId="44">
    <w:name w:val="WPSOffice手动目录 1"/>
    <w:autoRedefine/>
    <w:qFormat/>
    <w:uiPriority w:val="0"/>
    <w:pPr>
      <w:ind w:leftChars="0"/>
    </w:pPr>
    <w:rPr>
      <w:rFonts w:ascii="Times New Roman" w:hAnsi="Times New Roman" w:eastAsia="宋体" w:cs="Times New Roman"/>
      <w:sz w:val="20"/>
      <w:szCs w:val="20"/>
    </w:rPr>
  </w:style>
  <w:style w:type="paragraph" w:customStyle="1" w:styleId="45">
    <w:name w:val="WPSOffice手动目录 2"/>
    <w:autoRedefine/>
    <w:qFormat/>
    <w:uiPriority w:val="0"/>
    <w:pPr>
      <w:ind w:leftChars="200"/>
    </w:pPr>
    <w:rPr>
      <w:rFonts w:ascii="Times New Roman" w:hAnsi="Times New Roman" w:eastAsia="宋体" w:cs="Times New Roman"/>
      <w:sz w:val="20"/>
      <w:szCs w:val="20"/>
    </w:rPr>
  </w:style>
  <w:style w:type="character" w:customStyle="1" w:styleId="46">
    <w:name w:val="font21"/>
    <w:basedOn w:val="16"/>
    <w:autoRedefine/>
    <w:qFormat/>
    <w:uiPriority w:val="0"/>
    <w:rPr>
      <w:rFonts w:hint="eastAsia" w:ascii="仿宋" w:hAnsi="仿宋" w:eastAsia="仿宋" w:cs="仿宋"/>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glossaryDocument" Target="glossary/document.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2" Type="http://schemas.openxmlformats.org/officeDocument/2006/relationships/themeOverride" Target="../theme/themeOverride1.xml"/><Relationship Id="rId1" Type="http://schemas.openxmlformats.org/officeDocument/2006/relationships/oleObject" Target="file:///E:\&#23004;&#31168;&#27905;\2023&#20161;&#21644;&#36130;&#25919;&#23616;\&#32489;&#25928;&#25253;&#21578;-12.14\&#37096;&#38376;--&#26519;&#19994;&#23616;\&#38468;&#20214;1&#65306;&#24471;&#20998;&#34920;--&#21306;&#26519;&#19994;&#23616;.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391614173228347"/>
          <c:y val="0.0643438320209974"/>
          <c:w val="0.942510288065844"/>
          <c:h val="0.714683980740981"/>
        </c:manualLayout>
      </c:layout>
      <c:barChart>
        <c:barDir val="col"/>
        <c:grouping val="clustered"/>
        <c:varyColors val="0"/>
        <c:ser>
          <c:idx val="0"/>
          <c:order val="0"/>
          <c:spPr>
            <a:solidFill>
              <a:srgbClr val="FDC167"/>
            </a:solidFill>
            <a:ln w="25400">
              <a:noFill/>
            </a:ln>
          </c:spPr>
          <c:invertIfNegative val="0"/>
          <c:dPt>
            <c:idx val="0"/>
            <c:invertIfNegative val="0"/>
            <c:bubble3D val="0"/>
            <c:spPr>
              <a:solidFill>
                <a:srgbClr val="1F497D">
                  <a:lumMod val="40000"/>
                  <a:lumOff val="60000"/>
                </a:srgbClr>
              </a:solidFill>
              <a:ln>
                <a:noFill/>
              </a:ln>
              <a:effectLst/>
            </c:spPr>
          </c:dPt>
          <c:dPt>
            <c:idx val="2"/>
            <c:invertIfNegative val="0"/>
            <c:bubble3D val="0"/>
            <c:spPr>
              <a:solidFill>
                <a:srgbClr val="1F497D">
                  <a:lumMod val="40000"/>
                  <a:lumOff val="60000"/>
                </a:srgbClr>
              </a:solidFill>
              <a:ln>
                <a:noFill/>
              </a:ln>
              <a:effectLst/>
            </c:spPr>
          </c:dPt>
          <c:dPt>
            <c:idx val="4"/>
            <c:invertIfNegative val="0"/>
            <c:bubble3D val="0"/>
            <c:spPr>
              <a:solidFill>
                <a:srgbClr val="1F497D">
                  <a:lumMod val="40000"/>
                  <a:lumOff val="60000"/>
                </a:srgbClr>
              </a:solidFill>
              <a:ln>
                <a:noFill/>
              </a:ln>
              <a:effectLst/>
            </c:spPr>
          </c:dPt>
          <c:dPt>
            <c:idx val="6"/>
            <c:invertIfNegative val="0"/>
            <c:bubble3D val="0"/>
            <c:spPr>
              <a:solidFill>
                <a:srgbClr val="1F497D">
                  <a:lumMod val="40000"/>
                  <a:lumOff val="60000"/>
                </a:srgbClr>
              </a:solidFill>
              <a:ln>
                <a:noFill/>
              </a:ln>
              <a:effectLst/>
            </c:spPr>
          </c:dPt>
          <c:dLbls>
            <c:spPr>
              <a:noFill/>
              <a:ln w="25400">
                <a:noFill/>
              </a:ln>
              <a:effectLst/>
            </c:spPr>
            <c:txPr>
              <a:bodyPr rot="0" spcFirstLastPara="0" vertOverflow="ellipsis" vert="horz" wrap="square" lIns="38100" tIns="19050" rIns="38100" bIns="19050" anchor="ctr" anchorCtr="1"/>
              <a:lstStyle/>
              <a:p>
                <a:pPr>
                  <a:defRPr lang="zh-CN" sz="900" b="0" i="0" u="none" strike="noStrike" kern="1200" baseline="0">
                    <a:solidFill>
                      <a:srgbClr val="FFFFFF"/>
                    </a:solidFill>
                    <a:latin typeface="微软雅黑" panose="020B0503020204020204" charset="-122"/>
                    <a:ea typeface="微软雅黑" panose="020B0503020204020204" charset="-122"/>
                    <a:cs typeface="微软雅黑" panose="020B0503020204020204" charset="-122"/>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multiLvlStrRef>
              <c:f>Sheet1!$D$2:$K$3</c:f>
              <c:multiLvlStrCache>
                <c:ptCount val="8"/>
                <c:lvl>
                  <c:pt idx="0">
                    <c:v>标准值</c:v>
                  </c:pt>
                  <c:pt idx="1">
                    <c:v>实际得分</c:v>
                  </c:pt>
                  <c:pt idx="2">
                    <c:v>标准值</c:v>
                  </c:pt>
                  <c:pt idx="3">
                    <c:v>实际得分</c:v>
                  </c:pt>
                  <c:pt idx="4">
                    <c:v>标准值</c:v>
                  </c:pt>
                  <c:pt idx="5">
                    <c:v>实际得分</c:v>
                  </c:pt>
                  <c:pt idx="6">
                    <c:v>标准值</c:v>
                  </c:pt>
                  <c:pt idx="7">
                    <c:v>实际得分</c:v>
                  </c:pt>
                </c:lvl>
                <c:lvl>
                  <c:pt idx="0">
                    <c:v>部门预算管理</c:v>
                  </c:pt>
                  <c:pt idx="2">
                    <c:v>专项预算管理</c:v>
                  </c:pt>
                  <c:pt idx="4">
                    <c:v>绩效结果应用</c:v>
                  </c:pt>
                  <c:pt idx="6">
                    <c:v>合计</c:v>
                  </c:pt>
                </c:lvl>
              </c:multiLvlStrCache>
            </c:multiLvlStrRef>
          </c:cat>
          <c:val>
            <c:numRef>
              <c:f>Sheet1!$D$4:$K$4</c:f>
              <c:numCache>
                <c:formatCode>General</c:formatCode>
                <c:ptCount val="8"/>
                <c:pt idx="0">
                  <c:v>50</c:v>
                </c:pt>
                <c:pt idx="1">
                  <c:v>41</c:v>
                </c:pt>
                <c:pt idx="2">
                  <c:v>26</c:v>
                </c:pt>
                <c:pt idx="3">
                  <c:v>20</c:v>
                </c:pt>
                <c:pt idx="4">
                  <c:v>24</c:v>
                </c:pt>
                <c:pt idx="5">
                  <c:v>23</c:v>
                </c:pt>
                <c:pt idx="6">
                  <c:v>100</c:v>
                </c:pt>
                <c:pt idx="7">
                  <c:v>84</c:v>
                </c:pt>
              </c:numCache>
            </c:numRef>
          </c:val>
        </c:ser>
        <c:dLbls>
          <c:showLegendKey val="0"/>
          <c:showVal val="1"/>
          <c:showCatName val="0"/>
          <c:showSerName val="0"/>
          <c:showPercent val="0"/>
          <c:showBubbleSize val="0"/>
        </c:dLbls>
        <c:gapWidth val="60"/>
        <c:axId val="579486080"/>
        <c:axId val="579487616"/>
      </c:barChart>
      <c:catAx>
        <c:axId val="5794860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rgbClr val="333333"/>
                </a:solidFill>
                <a:latin typeface="微软雅黑" panose="020B0503020204020204" charset="-122"/>
                <a:ea typeface="微软雅黑" panose="020B0503020204020204" charset="-122"/>
                <a:cs typeface="微软雅黑" panose="020B0503020204020204" charset="-122"/>
              </a:defRPr>
            </a:pPr>
          </a:p>
        </c:txPr>
        <c:crossAx val="579487616"/>
        <c:crosses val="autoZero"/>
        <c:auto val="1"/>
        <c:lblAlgn val="ctr"/>
        <c:lblOffset val="100"/>
        <c:noMultiLvlLbl val="0"/>
      </c:catAx>
      <c:valAx>
        <c:axId val="579487616"/>
        <c:scaling>
          <c:orientation val="minMax"/>
        </c:scaling>
        <c:delete val="1"/>
        <c:axPos val="l"/>
        <c:numFmt formatCode="General" sourceLinked="1"/>
        <c:majorTickMark val="out"/>
        <c:minorTickMark val="none"/>
        <c:tickLblPos val="none"/>
        <c:txPr>
          <a:bodyPr rot="-60000000" spcFirstLastPara="0" vertOverflow="ellipsis" vert="horz" wrap="square" anchor="ctr" anchorCtr="1"/>
          <a:lstStyle/>
          <a:p>
            <a:pPr>
              <a:defRPr lang="zh-CN" sz="1000" b="0" i="0" u="none" strike="noStrike" kern="1200" baseline="0">
                <a:solidFill>
                  <a:srgbClr val="000000"/>
                </a:solidFill>
                <a:latin typeface="微软雅黑" panose="020B0503020204020204" charset="-122"/>
                <a:ea typeface="微软雅黑" panose="020B0503020204020204" charset="-122"/>
                <a:cs typeface="微软雅黑" panose="020B0503020204020204" charset="-122"/>
              </a:defRPr>
            </a:pPr>
          </a:p>
        </c:txPr>
        <c:crossAx val="579486080"/>
        <c:crosses val="autoZero"/>
        <c:crossBetween val="between"/>
      </c:valAx>
      <c:spPr>
        <a:noFill/>
        <a:ln w="25400">
          <a:noFill/>
        </a:ln>
      </c:spPr>
    </c:plotArea>
    <c:plotVisOnly val="1"/>
    <c:dispBlanksAs val="gap"/>
    <c:showDLblsOverMax val="0"/>
  </c:chart>
  <c:spPr>
    <a:solidFill>
      <a:srgbClr val="FFFFFF"/>
    </a:solidFill>
    <a:ln w="9525" cap="flat" cmpd="sng" algn="ctr">
      <a:solidFill>
        <a:schemeClr val="bg1">
          <a:lumMod val="85000"/>
        </a:schemeClr>
      </a:solidFill>
      <a:prstDash val="solid"/>
      <a:round/>
    </a:ln>
    <a:effectLst/>
  </c:spPr>
  <c:txPr>
    <a:bodyPr/>
    <a:lstStyle/>
    <a:p>
      <a:pPr>
        <a:defRPr lang="zh-CN" sz="1000" b="0" i="0" u="none" strike="noStrike" baseline="0">
          <a:solidFill>
            <a:srgbClr val="000000"/>
          </a:solidFill>
          <a:latin typeface="微软雅黑" panose="020B0503020204020204" charset="-122"/>
          <a:ea typeface="微软雅黑" panose="020B0503020204020204" charset="-122"/>
          <a:cs typeface="微软雅黑" panose="020B0503020204020204" charset="-122"/>
        </a:defRPr>
      </a:pPr>
    </a:p>
  </c:txPr>
  <c:externalData r:id="rId1">
    <c:autoUpdate val="0"/>
  </c:externalData>
</c:chartSpace>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2905f605-cc80-4dfc-92e3-a08c75ede561}"/>
        <w:style w:val=""/>
        <w:category>
          <w:name w:val="常规"/>
          <w:gallery w:val="placeholder"/>
        </w:category>
        <w:types>
          <w:type w:val="bbPlcHdr"/>
        </w:types>
        <w:behaviors>
          <w:behavior w:val="content"/>
        </w:behaviors>
        <w:description w:val=""/>
        <w:guid w:val="{2905f605-cc80-4dfc-92e3-a08c75ede561}"/>
      </w:docPartPr>
      <w:docPartBody>
        <w:p>
          <w:r>
            <w:rPr>
              <w:color w:val="808080"/>
            </w:rPr>
            <w:t>单击此处输入文字。</w:t>
          </w:r>
        </w:p>
      </w:docPartBody>
    </w:docPart>
    <w:docPart>
      <w:docPartPr>
        <w:name w:val="{48004ee3-a2f1-434d-b5b8-eb6f647a995a}"/>
        <w:style w:val=""/>
        <w:category>
          <w:name w:val="常规"/>
          <w:gallery w:val="placeholder"/>
        </w:category>
        <w:types>
          <w:type w:val="bbPlcHdr"/>
        </w:types>
        <w:behaviors>
          <w:behavior w:val="content"/>
        </w:behaviors>
        <w:description w:val=""/>
        <w:guid w:val="{48004ee3-a2f1-434d-b5b8-eb6f647a995a}"/>
      </w:docPartPr>
      <w:docPartBody>
        <w:p>
          <w:r>
            <w:rPr>
              <w:color w:val="808080"/>
            </w:rPr>
            <w:t>单击此处输入文字。</w:t>
          </w:r>
        </w:p>
      </w:docPartBody>
    </w:docPart>
    <w:docPart>
      <w:docPartPr>
        <w:name w:val="{65083967-aeec-4e55-84ac-b32d55669283}"/>
        <w:style w:val=""/>
        <w:category>
          <w:name w:val="常规"/>
          <w:gallery w:val="placeholder"/>
        </w:category>
        <w:types>
          <w:type w:val="bbPlcHdr"/>
        </w:types>
        <w:behaviors>
          <w:behavior w:val="content"/>
        </w:behaviors>
        <w:description w:val=""/>
        <w:guid w:val="{65083967-aeec-4e55-84ac-b32d55669283}"/>
      </w:docPartPr>
      <w:docPartBody>
        <w:p>
          <w:r>
            <w:rPr>
              <w:color w:val="808080"/>
            </w:rPr>
            <w:t>单击此处输入文字。</w:t>
          </w:r>
        </w:p>
      </w:docPartBody>
    </w:docPart>
    <w:docPart>
      <w:docPartPr>
        <w:name w:val="{65ca8cb1-627a-40c0-b816-919f4a4e4572}"/>
        <w:style w:val=""/>
        <w:category>
          <w:name w:val="常规"/>
          <w:gallery w:val="placeholder"/>
        </w:category>
        <w:types>
          <w:type w:val="bbPlcHdr"/>
        </w:types>
        <w:behaviors>
          <w:behavior w:val="content"/>
        </w:behaviors>
        <w:description w:val=""/>
        <w:guid w:val="{65ca8cb1-627a-40c0-b816-919f4a4e4572}"/>
      </w:docPartPr>
      <w:docPartBody>
        <w:p>
          <w:r>
            <w:rPr>
              <w:color w:val="808080"/>
            </w:rPr>
            <w:t>单击此处输入文字。</w:t>
          </w:r>
        </w:p>
      </w:docPartBody>
    </w:docPart>
    <w:docPart>
      <w:docPartPr>
        <w:name w:val="{d7bda5f8-1b34-43e0-accf-41e2f3f62787}"/>
        <w:style w:val=""/>
        <w:category>
          <w:name w:val="常规"/>
          <w:gallery w:val="placeholder"/>
        </w:category>
        <w:types>
          <w:type w:val="bbPlcHdr"/>
        </w:types>
        <w:behaviors>
          <w:behavior w:val="content"/>
        </w:behaviors>
        <w:description w:val=""/>
        <w:guid w:val="{d7bda5f8-1b34-43e0-accf-41e2f3f62787}"/>
      </w:docPartPr>
      <w:docPartBody>
        <w:p>
          <w:r>
            <w:rPr>
              <w:color w:val="808080"/>
            </w:rPr>
            <w:t>单击此处输入文字。</w:t>
          </w:r>
        </w:p>
      </w:docPartBody>
    </w:docPart>
    <w:docPart>
      <w:docPartPr>
        <w:name w:val="{4bc1077a-4dcc-4693-b19e-04bffd2dc384}"/>
        <w:style w:val=""/>
        <w:category>
          <w:name w:val="常规"/>
          <w:gallery w:val="placeholder"/>
        </w:category>
        <w:types>
          <w:type w:val="bbPlcHdr"/>
        </w:types>
        <w:behaviors>
          <w:behavior w:val="content"/>
        </w:behaviors>
        <w:description w:val=""/>
        <w:guid w:val="{4bc1077a-4dcc-4693-b19e-04bffd2dc384}"/>
      </w:docPartPr>
      <w:docPartBody>
        <w:p>
          <w:r>
            <w:rPr>
              <w:color w:val="808080"/>
            </w:rPr>
            <w:t>单击此处输入文字。</w:t>
          </w:r>
        </w:p>
      </w:docPartBody>
    </w:docPart>
    <w:docPart>
      <w:docPartPr>
        <w:name w:val="{ad7ae23f-7741-4a63-9414-be376bc5c591}"/>
        <w:style w:val=""/>
        <w:category>
          <w:name w:val="常规"/>
          <w:gallery w:val="placeholder"/>
        </w:category>
        <w:types>
          <w:type w:val="bbPlcHdr"/>
        </w:types>
        <w:behaviors>
          <w:behavior w:val="content"/>
        </w:behaviors>
        <w:description w:val=""/>
        <w:guid w:val="{ad7ae23f-7741-4a63-9414-be376bc5c591}"/>
      </w:docPartPr>
      <w:docPartBody>
        <w:p>
          <w:r>
            <w:rPr>
              <w:color w:val="808080"/>
            </w:rPr>
            <w:t>单击此处输入文字。</w:t>
          </w:r>
        </w:p>
      </w:docPartBody>
    </w:docPart>
    <w:docPart>
      <w:docPartPr>
        <w:name w:val="{fe62e44c-352b-47cc-a9c9-23ebb53d5a90}"/>
        <w:style w:val=""/>
        <w:category>
          <w:name w:val="常规"/>
          <w:gallery w:val="placeholder"/>
        </w:category>
        <w:types>
          <w:type w:val="bbPlcHdr"/>
        </w:types>
        <w:behaviors>
          <w:behavior w:val="content"/>
        </w:behaviors>
        <w:description w:val=""/>
        <w:guid w:val="{fe62e44c-352b-47cc-a9c9-23ebb53d5a90}"/>
      </w:docPartPr>
      <w:docPartBody>
        <w:p>
          <w:r>
            <w:rPr>
              <w:color w:val="808080"/>
            </w:rPr>
            <w:t>单击此处输入文字。</w:t>
          </w:r>
        </w:p>
      </w:docPartBody>
    </w:docPart>
    <w:docPart>
      <w:docPartPr>
        <w:name w:val="{4ca21673-0fd7-4616-9273-2ca57787c242}"/>
        <w:style w:val=""/>
        <w:category>
          <w:name w:val="常规"/>
          <w:gallery w:val="placeholder"/>
        </w:category>
        <w:types>
          <w:type w:val="bbPlcHdr"/>
        </w:types>
        <w:behaviors>
          <w:behavior w:val="content"/>
        </w:behaviors>
        <w:description w:val=""/>
        <w:guid w:val="{4ca21673-0fd7-4616-9273-2ca57787c242}"/>
      </w:docPartPr>
      <w:docPartBody>
        <w:p>
          <w:r>
            <w:rPr>
              <w:color w:val="808080"/>
            </w:rPr>
            <w:t>单击此处输入文字。</w:t>
          </w:r>
        </w:p>
      </w:docPartBody>
    </w:docPart>
    <w:docPart>
      <w:docPartPr>
        <w:name w:val="{6a7dbc91-2a4e-493a-bf2a-45be0c0c1530}"/>
        <w:style w:val=""/>
        <w:category>
          <w:name w:val="常规"/>
          <w:gallery w:val="placeholder"/>
        </w:category>
        <w:types>
          <w:type w:val="bbPlcHdr"/>
        </w:types>
        <w:behaviors>
          <w:behavior w:val="content"/>
        </w:behaviors>
        <w:description w:val=""/>
        <w:guid w:val="{6a7dbc91-2a4e-493a-bf2a-45be0c0c1530}"/>
      </w:docPartPr>
      <w:docPartBody>
        <w:p>
          <w:r>
            <w:rPr>
              <w:color w:val="808080"/>
            </w:rPr>
            <w:t>单击此处输入文字。</w:t>
          </w:r>
        </w:p>
      </w:docPartBody>
    </w:docPart>
    <w:docPart>
      <w:docPartPr>
        <w:name w:val="{a2ef8b34-33b4-4867-8ac9-0563489e9fcc}"/>
        <w:style w:val=""/>
        <w:category>
          <w:name w:val="常规"/>
          <w:gallery w:val="placeholder"/>
        </w:category>
        <w:types>
          <w:type w:val="bbPlcHdr"/>
        </w:types>
        <w:behaviors>
          <w:behavior w:val="content"/>
        </w:behaviors>
        <w:description w:val=""/>
        <w:guid w:val="{a2ef8b34-33b4-4867-8ac9-0563489e9fcc}"/>
      </w:docPartPr>
      <w:docPartBody>
        <w:p>
          <w:r>
            <w:rPr>
              <w:color w:val="808080"/>
            </w:rPr>
            <w:t>单击此处输入文字。</w:t>
          </w:r>
        </w:p>
      </w:docPartBody>
    </w:docPart>
    <w:docPart>
      <w:docPartPr>
        <w:name w:val="{5604af9a-2e2f-47be-9149-961e2e3c0827}"/>
        <w:style w:val=""/>
        <w:category>
          <w:name w:val="常规"/>
          <w:gallery w:val="placeholder"/>
        </w:category>
        <w:types>
          <w:type w:val="bbPlcHdr"/>
        </w:types>
        <w:behaviors>
          <w:behavior w:val="content"/>
        </w:behaviors>
        <w:description w:val=""/>
        <w:guid w:val="{5604af9a-2e2f-47be-9149-961e2e3c0827}"/>
      </w:docPartPr>
      <w:docPartBody>
        <w:p>
          <w:r>
            <w:rPr>
              <w:color w:val="808080"/>
            </w:rPr>
            <w:t>单击此处输入文字。</w:t>
          </w:r>
        </w:p>
      </w:docPartBody>
    </w:docPart>
    <w:docPart>
      <w:docPartPr>
        <w:name w:val="{e4bc5888-1695-4cc5-8b43-23aa35279188}"/>
        <w:style w:val=""/>
        <w:category>
          <w:name w:val="常规"/>
          <w:gallery w:val="placeholder"/>
        </w:category>
        <w:types>
          <w:type w:val="bbPlcHdr"/>
        </w:types>
        <w:behaviors>
          <w:behavior w:val="content"/>
        </w:behaviors>
        <w:description w:val=""/>
        <w:guid w:val="{e4bc5888-1695-4cc5-8b43-23aa35279188}"/>
      </w:docPartPr>
      <w:docPartBody>
        <w:p>
          <w:r>
            <w:rPr>
              <w:color w:val="808080"/>
            </w:rPr>
            <w:t>单击此处输入文字。</w:t>
          </w:r>
        </w:p>
      </w:docPartBody>
    </w:docPart>
    <w:docPart>
      <w:docPartPr>
        <w:name w:val="{c49792be-8bf8-4c73-b53b-752b6abc6525}"/>
        <w:style w:val=""/>
        <w:category>
          <w:name w:val="常规"/>
          <w:gallery w:val="placeholder"/>
        </w:category>
        <w:types>
          <w:type w:val="bbPlcHdr"/>
        </w:types>
        <w:behaviors>
          <w:behavior w:val="content"/>
        </w:behaviors>
        <w:description w:val=""/>
        <w:guid w:val="{c49792be-8bf8-4c73-b53b-752b6abc6525}"/>
      </w:docPartPr>
      <w:docPartBody>
        <w:p>
          <w:r>
            <w:rPr>
              <w:color w:val="808080"/>
            </w:rPr>
            <w:t>单击此处输入文字。</w:t>
          </w:r>
        </w:p>
      </w:docPartBody>
    </w:docPart>
    <w:docPart>
      <w:docPartPr>
        <w:name w:val="{3c52a765-ecc3-4c35-a90b-1331375c0d0d}"/>
        <w:style w:val=""/>
        <w:category>
          <w:name w:val="常规"/>
          <w:gallery w:val="placeholder"/>
        </w:category>
        <w:types>
          <w:type w:val="bbPlcHdr"/>
        </w:types>
        <w:behaviors>
          <w:behavior w:val="content"/>
        </w:behaviors>
        <w:description w:val=""/>
        <w:guid w:val="{3c52a765-ecc3-4c35-a90b-1331375c0d0d}"/>
      </w:docPartPr>
      <w:docPartBody>
        <w:p>
          <w:r>
            <w:rPr>
              <w:color w:val="808080"/>
            </w:rPr>
            <w:t>单击此处输入文字。</w:t>
          </w:r>
        </w:p>
      </w:docPartBody>
    </w:docPart>
    <w:docPart>
      <w:docPartPr>
        <w:name w:val="{9eabbd24-1463-4d0a-9bf1-5f0403e1cfdf}"/>
        <w:style w:val=""/>
        <w:category>
          <w:name w:val="常规"/>
          <w:gallery w:val="placeholder"/>
        </w:category>
        <w:types>
          <w:type w:val="bbPlcHdr"/>
        </w:types>
        <w:behaviors>
          <w:behavior w:val="content"/>
        </w:behaviors>
        <w:description w:val=""/>
        <w:guid w:val="{9eabbd24-1463-4d0a-9bf1-5f0403e1cfdf}"/>
      </w:docPartPr>
      <w:docPartBody>
        <w:p>
          <w:r>
            <w:rPr>
              <w:color w:val="808080"/>
            </w:rPr>
            <w:t>单击此处输入文字。</w:t>
          </w:r>
        </w:p>
      </w:docPartBody>
    </w:docPart>
    <w:docPart>
      <w:docPartPr>
        <w:name w:val="{40ac14e9-57d8-41d8-9211-a9cba05e71b2}"/>
        <w:style w:val=""/>
        <w:category>
          <w:name w:val="常规"/>
          <w:gallery w:val="placeholder"/>
        </w:category>
        <w:types>
          <w:type w:val="bbPlcHdr"/>
        </w:types>
        <w:behaviors>
          <w:behavior w:val="content"/>
        </w:behaviors>
        <w:description w:val=""/>
        <w:guid w:val="{40ac14e9-57d8-41d8-9211-a9cba05e71b2}"/>
      </w:docPartPr>
      <w:docPartBody>
        <w:p>
          <w:r>
            <w:rPr>
              <w:color w:val="808080"/>
            </w:rPr>
            <w:t>单击此处输入文字。</w:t>
          </w:r>
        </w:p>
      </w:docPartBody>
    </w:docPart>
    <w:docPart>
      <w:docPartPr>
        <w:name w:val="{e0d5df16-dadb-40e3-943e-20260def4070}"/>
        <w:style w:val=""/>
        <w:category>
          <w:name w:val="常规"/>
          <w:gallery w:val="placeholder"/>
        </w:category>
        <w:types>
          <w:type w:val="bbPlcHdr"/>
        </w:types>
        <w:behaviors>
          <w:behavior w:val="content"/>
        </w:behaviors>
        <w:description w:val=""/>
        <w:guid w:val="{e0d5df16-dadb-40e3-943e-20260def4070}"/>
      </w:docPartPr>
      <w:docPartBody>
        <w:p>
          <w:r>
            <w:rPr>
              <w:color w:val="808080"/>
            </w:rPr>
            <w:t>单击此处输入文字。</w:t>
          </w:r>
        </w:p>
      </w:docPartBody>
    </w:docPart>
    <w:docPart>
      <w:docPartPr>
        <w:name w:val="{275f0040-0f81-49e6-b6df-6ba4d5bad743}"/>
        <w:style w:val=""/>
        <w:category>
          <w:name w:val="常规"/>
          <w:gallery w:val="placeholder"/>
        </w:category>
        <w:types>
          <w:type w:val="bbPlcHdr"/>
        </w:types>
        <w:behaviors>
          <w:behavior w:val="content"/>
        </w:behaviors>
        <w:description w:val=""/>
        <w:guid w:val="{275f0040-0f81-49e6-b6df-6ba4d5bad743}"/>
      </w:docPartPr>
      <w:docPartBody>
        <w:p>
          <w:r>
            <w:rPr>
              <w:color w:val="808080"/>
            </w:rPr>
            <w:t>单击此处输入文字。</w:t>
          </w:r>
        </w:p>
      </w:docPartBody>
    </w:docPart>
    <w:docPart>
      <w:docPartPr>
        <w:name w:val="{8c3a3949-a074-4e59-b69c-3d0330acace5}"/>
        <w:style w:val=""/>
        <w:category>
          <w:name w:val="常规"/>
          <w:gallery w:val="placeholder"/>
        </w:category>
        <w:types>
          <w:type w:val="bbPlcHdr"/>
        </w:types>
        <w:behaviors>
          <w:behavior w:val="content"/>
        </w:behaviors>
        <w:description w:val=""/>
        <w:guid w:val="{8c3a3949-a074-4e59-b69c-3d0330acace5}"/>
      </w:docPartPr>
      <w:docPartBody>
        <w:p>
          <w:r>
            <w:rPr>
              <w:color w:val="808080"/>
            </w:rPr>
            <w:t>单击此处输入文字。</w:t>
          </w:r>
        </w:p>
      </w:docPartBody>
    </w:docPart>
    <w:docPart>
      <w:docPartPr>
        <w:name w:val="{52795057-9253-436c-95aa-d537b082c907}"/>
        <w:style w:val=""/>
        <w:category>
          <w:name w:val="常规"/>
          <w:gallery w:val="placeholder"/>
        </w:category>
        <w:types>
          <w:type w:val="bbPlcHdr"/>
        </w:types>
        <w:behaviors>
          <w:behavior w:val="content"/>
        </w:behaviors>
        <w:description w:val=""/>
        <w:guid w:val="{52795057-9253-436c-95aa-d537b082c907}"/>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0AFF" w:usb1="40007843" w:usb2="00000001" w:usb3="00000000" w:csb0="400001BF" w:csb1="DFF7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word/theme/themeOverride1.xml><?xml version="1.0" encoding="utf-8"?>
<a:themeOverride xmlns:a="http://schemas.openxmlformats.org/drawingml/2006/main">
  <a:clrScheme name="彩色折纸">
    <a:dk1>
      <a:sysClr val="windowText" lastClr="000000"/>
    </a:dk1>
    <a:lt1>
      <a:sysClr val="window" lastClr="FFFFFF"/>
    </a:lt1>
    <a:dk2>
      <a:srgbClr val="44546A"/>
    </a:dk2>
    <a:lt2>
      <a:srgbClr val="E7E6E6"/>
    </a:lt2>
    <a:accent1>
      <a:srgbClr val="0080D9"/>
    </a:accent1>
    <a:accent2>
      <a:srgbClr val="03D1AC"/>
    </a:accent2>
    <a:accent3>
      <a:srgbClr val="FDC167"/>
    </a:accent3>
    <a:accent4>
      <a:srgbClr val="F66956"/>
    </a:accent4>
    <a:accent5>
      <a:srgbClr val="C644EA"/>
    </a:accent5>
    <a:accent6>
      <a:srgbClr val="955CFF"/>
    </a:accent6>
    <a:hlink>
      <a:srgbClr val="0563C1"/>
    </a:hlink>
    <a:folHlink>
      <a:srgbClr val="954F72"/>
    </a:folHlink>
  </a:clrScheme>
  <a:fontScheme name="Office">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526D4F-9B7C-438F-BCCB-9DBBFEA13C48}">
  <ds:schemaRefs/>
</ds:datastoreItem>
</file>

<file path=docProps/app.xml><?xml version="1.0" encoding="utf-8"?>
<Properties xmlns="http://schemas.openxmlformats.org/officeDocument/2006/extended-properties" xmlns:vt="http://schemas.openxmlformats.org/officeDocument/2006/docPropsVTypes">
  <Template>Normal</Template>
  <Company>PSZX</Company>
  <Pages>21</Pages>
  <Words>1643</Words>
  <Characters>9369</Characters>
  <Lines>78</Lines>
  <Paragraphs>21</Paragraphs>
  <TotalTime>12</TotalTime>
  <ScaleCrop>false</ScaleCrop>
  <LinksUpToDate>false</LinksUpToDate>
  <CharactersWithSpaces>10991</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2023-12-16T10:22:00Z</dcterms:created>
  <dc:creator>陈萍</dc:creator>
  <cp:lastModifiedBy>枭懿【安米娜攀枝花招商部】</cp:lastModifiedBy>
  <cp:lastPrinted>2023-12-19T01:07:00Z</cp:lastPrinted>
  <dcterms:modified xsi:type="dcterms:W3CDTF">2024-01-04T01:36:12Z</dcterms:modified>
  <dc:title>区域性就业培训基地建设项目</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C389C6847D86415886ED0C4E8CB18432_13</vt:lpwstr>
  </property>
</Properties>
</file>