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0542E">
      <w:pPr>
        <w:spacing w:line="600" w:lineRule="exact"/>
        <w:jc w:val="center"/>
        <w:outlineLvl w:val="0"/>
        <w:rPr>
          <w:rFonts w:ascii="方正小标宋简体" w:hAnsi="宋体" w:eastAsia="方正小标宋简体"/>
          <w:color w:val="000000"/>
          <w:sz w:val="72"/>
          <w:szCs w:val="72"/>
        </w:rPr>
      </w:pPr>
      <w:bookmarkStart w:id="0" w:name="_Toc15306267"/>
    </w:p>
    <w:p w14:paraId="3AB3EB64">
      <w:pPr>
        <w:adjustRightInd w:val="0"/>
        <w:snapToGrid w:val="0"/>
        <w:spacing w:line="360" w:lineRule="auto"/>
        <w:jc w:val="center"/>
        <w:outlineLvl w:val="0"/>
        <w:rPr>
          <w:rFonts w:ascii="黑体" w:hAnsi="黑体" w:eastAsia="黑体"/>
          <w:color w:val="000000"/>
          <w:sz w:val="72"/>
          <w:szCs w:val="72"/>
        </w:rPr>
      </w:pPr>
      <w:bookmarkStart w:id="1" w:name="_Toc15396475"/>
      <w:bookmarkStart w:id="2" w:name="_Toc15377425"/>
      <w:bookmarkStart w:id="3" w:name="_Toc15396597"/>
      <w:bookmarkStart w:id="4" w:name="_Toc15378441"/>
      <w:bookmarkStart w:id="5" w:name="_Toc15377193"/>
    </w:p>
    <w:p w14:paraId="38FEF32D">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黑体" w:hAnsi="黑体" w:eastAsia="黑体"/>
          <w:color w:val="000000"/>
          <w:sz w:val="72"/>
          <w:szCs w:val="72"/>
        </w:rPr>
        <w:t>2021</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347AED2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194"/>
      <w:bookmarkStart w:id="8" w:name="_Toc15306268"/>
      <w:bookmarkStart w:id="9" w:name="_Toc15396598"/>
      <w:bookmarkStart w:id="10" w:name="_Toc15377426"/>
      <w:bookmarkStart w:id="11" w:name="_Toc15378442"/>
      <w:r>
        <w:rPr>
          <w:rFonts w:hint="eastAsia" w:ascii="方正小标宋简体" w:hAnsi="宋体" w:eastAsia="方正小标宋简体"/>
          <w:color w:val="000000"/>
          <w:sz w:val="72"/>
          <w:szCs w:val="72"/>
        </w:rPr>
        <w:t>攀枝花市仁和区财政局部门决算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14:paraId="0D1AD2E0">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bookmarkStart w:id="12" w:name="_Toc15377196"/>
      <w:bookmarkStart w:id="13" w:name="_Toc15396599"/>
      <w:r>
        <w:rPr>
          <w:rFonts w:hint="eastAsia" w:ascii="黑体" w:hAnsi="黑体" w:eastAsia="黑体"/>
          <w:color w:val="000000"/>
          <w:sz w:val="48"/>
          <w:szCs w:val="48"/>
        </w:rPr>
        <w:t>目录</w:t>
      </w:r>
    </w:p>
    <w:p w14:paraId="6198D6FE">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8244174">
      <w:pPr>
        <w:pStyle w:val="11"/>
      </w:pPr>
      <w:r>
        <w:rPr>
          <w:rFonts w:hint="eastAsia"/>
        </w:rPr>
        <w:t>公开时间：2022年9月 28日</w:t>
      </w:r>
    </w:p>
    <w:p w14:paraId="65D04956"/>
    <w:p w14:paraId="443EC0F7">
      <w:pPr>
        <w:pStyle w:val="11"/>
        <w:rPr>
          <w:rFonts w:cstheme="minorBidi"/>
        </w:rPr>
      </w:pPr>
      <w:r>
        <w:fldChar w:fldCharType="begin"/>
      </w:r>
      <w:r>
        <w:instrText xml:space="preserve"> HYPERLINK \l "_Toc15396599" </w:instrText>
      </w:r>
      <w:r>
        <w:fldChar w:fldCharType="separate"/>
      </w:r>
      <w:r>
        <w:rPr>
          <w:rStyle w:val="16"/>
          <w:rFonts w:hint="eastAsia"/>
        </w:rPr>
        <w:t>第一部分 部门概况</w:t>
      </w:r>
      <w:r>
        <w:tab/>
      </w:r>
      <w:r>
        <w:rPr>
          <w:rFonts w:hint="eastAsia"/>
        </w:rPr>
        <w:t>4</w:t>
      </w:r>
      <w:r>
        <w:rPr>
          <w:rFonts w:hint="eastAsia"/>
        </w:rPr>
        <w:fldChar w:fldCharType="end"/>
      </w:r>
    </w:p>
    <w:p w14:paraId="03FE3F06">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71C050DC">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14:paraId="15659859">
      <w:pPr>
        <w:pStyle w:val="11"/>
      </w:pPr>
      <w:r>
        <w:fldChar w:fldCharType="begin"/>
      </w:r>
      <w:r>
        <w:instrText xml:space="preserve"> HYPERLINK \l "_Toc15396602" </w:instrText>
      </w:r>
      <w:r>
        <w:fldChar w:fldCharType="separate"/>
      </w:r>
      <w:r>
        <w:rPr>
          <w:rStyle w:val="16"/>
          <w:rFonts w:hint="eastAsia"/>
        </w:rPr>
        <w:t>第二部分</w:t>
      </w:r>
      <w:r>
        <w:rPr>
          <w:rStyle w:val="16"/>
        </w:rPr>
        <w:t xml:space="preserve"> 2</w:t>
      </w:r>
      <w:r>
        <w:rPr>
          <w:rStyle w:val="16"/>
          <w:rFonts w:hint="eastAsia"/>
        </w:rPr>
        <w:t>021年度部门决算情况说明</w:t>
      </w:r>
      <w:r>
        <w:tab/>
      </w:r>
      <w:r>
        <w:rPr>
          <w:rFonts w:hint="eastAsia"/>
        </w:rPr>
        <w:t>1</w:t>
      </w:r>
      <w:r>
        <w:rPr>
          <w:rFonts w:hint="eastAsia"/>
        </w:rPr>
        <w:fldChar w:fldCharType="end"/>
      </w:r>
      <w:r>
        <w:rPr>
          <w:rFonts w:hint="eastAsia"/>
        </w:rPr>
        <w:t>1</w:t>
      </w:r>
    </w:p>
    <w:p w14:paraId="057287EB">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14:paraId="5C147B65">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14:paraId="731DB942">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2</w:t>
      </w:r>
    </w:p>
    <w:p w14:paraId="35BDAC62">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6CE418FE">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19B3E113">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16</w:t>
      </w:r>
      <w:r>
        <w:rPr>
          <w:rFonts w:hint="eastAsia" w:ascii="仿宋" w:hAnsi="仿宋" w:eastAsia="仿宋"/>
          <w:sz w:val="28"/>
          <w:szCs w:val="28"/>
        </w:rPr>
        <w:fldChar w:fldCharType="end"/>
      </w:r>
    </w:p>
    <w:p w14:paraId="04118D86">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17</w:t>
      </w:r>
      <w:r>
        <w:rPr>
          <w:rFonts w:hint="eastAsia" w:ascii="仿宋" w:hAnsi="仿宋" w:eastAsia="仿宋"/>
          <w:sz w:val="28"/>
          <w:szCs w:val="28"/>
        </w:rPr>
        <w:fldChar w:fldCharType="end"/>
      </w:r>
    </w:p>
    <w:p w14:paraId="6D0AC8F6">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19</w:t>
      </w:r>
      <w:r>
        <w:rPr>
          <w:rFonts w:hint="eastAsia" w:ascii="仿宋" w:hAnsi="仿宋" w:eastAsia="仿宋"/>
          <w:sz w:val="28"/>
          <w:szCs w:val="28"/>
        </w:rPr>
        <w:fldChar w:fldCharType="end"/>
      </w:r>
    </w:p>
    <w:p w14:paraId="050A9E53">
      <w:pPr>
        <w:pStyle w:val="12"/>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19</w:t>
      </w:r>
      <w:r>
        <w:rPr>
          <w:rFonts w:hint="eastAsia" w:ascii="仿宋" w:hAnsi="仿宋" w:eastAsia="仿宋"/>
          <w:sz w:val="28"/>
          <w:szCs w:val="28"/>
        </w:rPr>
        <w:fldChar w:fldCharType="end"/>
      </w:r>
      <w:r>
        <w:rPr>
          <w:rFonts w:ascii="仿宋" w:hAnsi="仿宋" w:eastAsia="仿宋"/>
          <w:sz w:val="28"/>
          <w:szCs w:val="28"/>
        </w:rPr>
        <w:t xml:space="preserve"> </w:t>
      </w:r>
    </w:p>
    <w:p w14:paraId="4E7FB714">
      <w:pPr>
        <w:pStyle w:val="12"/>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660B6BF1">
      <w:pPr>
        <w:pStyle w:val="11"/>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rPr>
          <w:rFonts w:hint="eastAsia"/>
        </w:rPr>
        <w:t>20</w:t>
      </w:r>
      <w:r>
        <w:rPr>
          <w:rFonts w:hint="eastAsia"/>
        </w:rPr>
        <w:fldChar w:fldCharType="end"/>
      </w:r>
    </w:p>
    <w:p w14:paraId="2E2FD5E5">
      <w:pPr>
        <w:pStyle w:val="11"/>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 附件</w:t>
      </w:r>
      <w:r>
        <w:tab/>
      </w:r>
      <w:r>
        <w:rPr>
          <w:rFonts w:hint="eastAsia"/>
        </w:rPr>
        <w:t>24</w:t>
      </w:r>
      <w:r>
        <w:rPr>
          <w:rFonts w:hint="eastAsia"/>
        </w:rPr>
        <w:fldChar w:fldCharType="end"/>
      </w:r>
    </w:p>
    <w:p w14:paraId="1B1A9E7D">
      <w:pPr>
        <w:pStyle w:val="11"/>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 附表</w:t>
      </w:r>
      <w:r>
        <w:tab/>
      </w:r>
      <w:r>
        <w:rPr>
          <w:rFonts w:hint="eastAsia"/>
        </w:rPr>
        <w:t>33</w:t>
      </w:r>
      <w:r>
        <w:rPr>
          <w:rFonts w:hint="eastAsia"/>
        </w:rPr>
        <w:fldChar w:fldCharType="end"/>
      </w:r>
    </w:p>
    <w:p w14:paraId="0C6F4D1F">
      <w:pPr>
        <w:pStyle w:val="12"/>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70FD3F8B">
      <w:pPr>
        <w:pStyle w:val="12"/>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66318974">
      <w:pPr>
        <w:pStyle w:val="12"/>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7851536D">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077F7DDE">
      <w:pPr>
        <w:pStyle w:val="12"/>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2DA7E2D4">
      <w:pPr>
        <w:pStyle w:val="12"/>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54D28BCA">
      <w:pPr>
        <w:pStyle w:val="12"/>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7DDE1110">
      <w:pPr>
        <w:pStyle w:val="12"/>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1C3048FD">
      <w:pPr>
        <w:pStyle w:val="12"/>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49A9C3F7">
      <w:pPr>
        <w:pStyle w:val="12"/>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7A018020">
      <w:pPr>
        <w:pStyle w:val="12"/>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4AC5320C">
      <w:pPr>
        <w:pStyle w:val="12"/>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政府性基金预算财政拨款“三公”经费支出决算表(本表无数据)</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270FE6A8">
      <w:pPr>
        <w:pStyle w:val="12"/>
        <w:rPr>
          <w:rFonts w:ascii="仿宋" w:hAnsi="仿宋" w:eastAsia="仿宋"/>
          <w:sz w:val="28"/>
          <w:szCs w:val="28"/>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国有资本经营预算财政拨款收入支出决算表(本表无数据)</w:t>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29A80A61">
      <w:pPr>
        <w:pStyle w:val="12"/>
        <w:rPr>
          <w:rFonts w:ascii="仿宋" w:hAnsi="仿宋" w:eastAsia="仿宋" w:cstheme="minorBidi"/>
          <w:sz w:val="24"/>
        </w:rPr>
      </w:pPr>
      <w:r>
        <w:rPr>
          <w:rFonts w:hint="eastAsia" w:ascii="仿宋" w:hAnsi="仿宋" w:eastAsia="仿宋"/>
          <w:sz w:val="28"/>
          <w:szCs w:val="28"/>
        </w:rPr>
        <w:t>十四、</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国有资本经营预算财政拨款支出决算表(本表无数据)</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33</w:t>
      </w:r>
      <w:r>
        <w:rPr>
          <w:rFonts w:hint="eastAsia" w:ascii="仿宋" w:hAnsi="仿宋" w:eastAsia="仿宋"/>
          <w:sz w:val="28"/>
          <w:szCs w:val="28"/>
        </w:rPr>
        <w:fldChar w:fldCharType="end"/>
      </w:r>
    </w:p>
    <w:p w14:paraId="36E8C17B"/>
    <w:p w14:paraId="29133C09">
      <w:pPr>
        <w:widowControl/>
        <w:jc w:val="center"/>
        <w:rPr>
          <w:rFonts w:ascii="仿宋" w:hAnsi="仿宋" w:eastAsia="仿宋"/>
          <w:color w:val="FF0000"/>
          <w:sz w:val="24"/>
        </w:rPr>
      </w:pPr>
      <w:r>
        <w:rPr>
          <w:rFonts w:ascii="仿宋" w:hAnsi="仿宋" w:eastAsia="仿宋"/>
          <w:color w:val="000000"/>
          <w:sz w:val="24"/>
        </w:rPr>
        <w:fldChar w:fldCharType="end"/>
      </w:r>
    </w:p>
    <w:p w14:paraId="4BE5DF00">
      <w:pPr>
        <w:widowControl/>
        <w:spacing w:line="440" w:lineRule="exact"/>
        <w:jc w:val="left"/>
        <w:rPr>
          <w:rFonts w:ascii="仿宋" w:hAnsi="仿宋" w:eastAsia="仿宋"/>
          <w:bCs/>
          <w:kern w:val="44"/>
          <w:sz w:val="24"/>
        </w:rPr>
      </w:pPr>
      <w:r>
        <w:rPr>
          <w:rFonts w:ascii="仿宋" w:hAnsi="仿宋" w:eastAsia="仿宋"/>
          <w:b/>
          <w:sz w:val="24"/>
        </w:rPr>
        <w:br w:type="page"/>
      </w:r>
    </w:p>
    <w:p w14:paraId="740CDB21">
      <w:pPr>
        <w:pStyle w:val="2"/>
        <w:jc w:val="center"/>
        <w:rPr>
          <w:rFonts w:ascii="黑体" w:eastAsia="黑体"/>
          <w:color w:val="000000"/>
          <w:sz w:val="32"/>
          <w:szCs w:val="32"/>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76FC6D44">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14:paraId="0DBAFF82">
      <w:pPr>
        <w:pStyle w:val="6"/>
        <w:adjustRightInd w:val="0"/>
        <w:snapToGrid w:val="0"/>
        <w:spacing w:before="93" w:line="600" w:lineRule="exact"/>
        <w:ind w:firstLine="675" w:firstLineChars="210"/>
        <w:outlineLvl w:val="2"/>
        <w:rPr>
          <w:rFonts w:ascii="楷体" w:hAnsi="楷体" w:eastAsia="楷体"/>
          <w:b/>
          <w:bCs/>
          <w:color w:val="000000"/>
          <w:sz w:val="32"/>
          <w:szCs w:val="32"/>
        </w:rPr>
      </w:pPr>
      <w:bookmarkStart w:id="16" w:name="_Toc15378445"/>
      <w:bookmarkStart w:id="17" w:name="_Toc15377198"/>
      <w:r>
        <w:rPr>
          <w:rFonts w:hint="eastAsia" w:ascii="楷体" w:hAnsi="楷体" w:eastAsia="楷体"/>
          <w:b/>
          <w:bCs/>
          <w:color w:val="000000"/>
          <w:sz w:val="32"/>
          <w:szCs w:val="32"/>
        </w:rPr>
        <w:t>（一）主要职能</w:t>
      </w:r>
      <w:bookmarkEnd w:id="16"/>
      <w:bookmarkEnd w:id="17"/>
      <w:bookmarkStart w:id="18" w:name="_Toc15377199"/>
      <w:bookmarkStart w:id="19" w:name="_Toc15378446"/>
    </w:p>
    <w:p w14:paraId="4865B3DE">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区财政局贯彻落实党中央关于财经工作、国有资产管理工作和金融工作的方针政策和省、市、区委的决策部署，在履行职责过程中坚持和加强党对财政工作的集中统一领导。主要职责是：</w:t>
      </w:r>
    </w:p>
    <w:p w14:paraId="3015DDA0">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拟订全区财税发展战略、规划、政策和改革方案并组织实施。分析预测宏观经济形势，参与制定各项经济政策，提出运用财税政策实施宏观调控和综合平衡社会财力的建议。拟订区与乡(镇)政府、政府与企业的分配政策，完善鼓励公益事业发展的财税政策。</w:t>
      </w:r>
    </w:p>
    <w:p w14:paraId="663DBC38">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2、贯彻执行财政、税收、财务、会计管理的法律法规和规章。负责组织起草地方性财政政策、规范性文件和规章制度并组织实施。按照管理权限管理全区税政事项。承办国务院关税税则委员会办公室要求区一级承担的工作。</w:t>
      </w:r>
    </w:p>
    <w:p w14:paraId="67D835C1">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3、负责管理各项财政收支。编制年度区级预决算草案并组织执行。组织制定经费开支标准、定额，审核批复部门(单位)年度预决算。受区政府委托，向区人大及其常委会报告财政预算、执行和决算等情况。负责政府建立的各类基金、风险金、分险金的监督管理。负责区级预决算公开。负责全面实施预算绩效管理。</w:t>
      </w:r>
    </w:p>
    <w:p w14:paraId="51078CBA">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4、按分工负责政府非税收入管理。负责政府性基金管理，按规定管理行政事业性收费等其他非税收入。管理财政票据。执行彩票管理政策，按规定管理彩票资金。</w:t>
      </w:r>
    </w:p>
    <w:p w14:paraId="6D678C04">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5、组织制定全区国库管理制度、国库集中收付制度，指导和监督国库业务，开展国库现金管理工作。贯彻执行政府财务报告编制办法并组织实施。监督管理全区政府采购工作。</w:t>
      </w:r>
    </w:p>
    <w:p w14:paraId="699AF3F8">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6、贯彻执行地方政府债务管理制度和政策，制定具体管理办法，编制地方政府债余额限额计划，统一管理政府外债，防范财政风险。</w:t>
      </w:r>
    </w:p>
    <w:p w14:paraId="7239E0A7">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7、牵头编制全区国有资产管理情况报告。根据区政府授权，集中统一履行区级国有金融资本出资人职责。制定区级国有金融资本管理制度。拟订全区行政事业单位国有资产管理制度并组织实施。制定和监督执行统一规定的开支标准和支出政策。</w:t>
      </w:r>
    </w:p>
    <w:p w14:paraId="7C2096D1">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8、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14:paraId="6675CF7D">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9、负责审核并汇总编制全区社会保险基金预决算草案，会同有关部门拟订有关资金(基金)财务管理制度，承担社会保险基金财政监管工作。</w:t>
      </w:r>
    </w:p>
    <w:p w14:paraId="2049F1AC">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10、负责办理和监督区级财政的经济发展支出、区级政府性投资项目的财政拨款，负责投资评审管理工作，参与拟订区级基建投资有关政策，监督执行基建财务管理制度。负责政府性投资项目竣工决算、结算管理工作。</w:t>
      </w:r>
    </w:p>
    <w:p w14:paraId="7DDAEC6D">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11、管理外国政府和国际金融机构贷(赠)款项目的有关业务，参与财经领域的国际交流与合作。</w:t>
      </w:r>
    </w:p>
    <w:p w14:paraId="6CCCE28E">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12、负责管理全区会计工作，监督和规范会计行为，组织实施国家统一的会计制度，指导社会审计。依法管理资产评估有关工作。</w:t>
      </w:r>
    </w:p>
    <w:p w14:paraId="3D2299BF">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13、拟定和执行国有资产管理的政策法规、规章制度和管理办法；负责全区行政事业单位国有资产及国有资产经营收益管理工作；组织实施行政事业单位、国有资产及区属企业资产的清产核资和绩效评价工作；组织实施区级行政事业单位及企业国有产权界定、企业国有资产产权界定和转让工作，监缴国有资产收益；负责国有资产及区属国有企业资产的统计、分析；指导和监督行政事业单位、区属国有企业资产的产权界定、清查登记等工作；指导和监督办理执行《企业财务通则》和相关财务会计制度，参与拟定企业国有资产管理相关制度。</w:t>
      </w:r>
    </w:p>
    <w:p w14:paraId="22B919C0">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14、负责联系协调全区金融机构，推动地方政府与金融机构合作交流，防控金融风险、深化金融改革。负责全区小额贷款公司、融资担保公司、典当行、融资租赁公司等监管；维护地方金融秩序，牵头会同有关部门防范、化解和处置地方金融风险；牵头处置非法集资、协调配合有关部门打击其他非法金融活动；推进全区金融知识宣传普及工作。</w:t>
      </w:r>
    </w:p>
    <w:p w14:paraId="0DA94508">
      <w:pPr>
        <w:autoSpaceDE w:val="0"/>
        <w:autoSpaceDN w:val="0"/>
        <w:adjustRightInd w:val="0"/>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15、负责职责范围内的安全生产和职业健康、生态环境保护、审批服务便民化等工作。按省、市要求，指导推进相对集中行政许可权改革。</w:t>
      </w:r>
    </w:p>
    <w:p w14:paraId="18E367EF">
      <w:pPr>
        <w:autoSpaceDE w:val="0"/>
        <w:autoSpaceDN w:val="0"/>
        <w:adjustRightInd w:val="0"/>
        <w:ind w:left="199" w:leftChars="95" w:firstLine="648" w:firstLineChars="200"/>
        <w:jc w:val="left"/>
        <w:rPr>
          <w:color w:val="000000"/>
          <w:spacing w:val="2"/>
          <w:sz w:val="32"/>
          <w:szCs w:val="32"/>
        </w:rPr>
      </w:pPr>
      <w:r>
        <w:rPr>
          <w:rFonts w:hint="eastAsia"/>
          <w:color w:val="000000"/>
          <w:spacing w:val="2"/>
          <w:sz w:val="32"/>
          <w:szCs w:val="32"/>
        </w:rPr>
        <w:t>16、完成区委、区政府交办的其他任务。</w:t>
      </w:r>
    </w:p>
    <w:p w14:paraId="3A7FBDCF">
      <w:pPr>
        <w:ind w:firstLine="643" w:firstLineChars="200"/>
        <w:rPr>
          <w:rFonts w:ascii="楷体_GB2312" w:eastAsia="楷体_GB2312"/>
          <w:b/>
          <w:sz w:val="32"/>
          <w:szCs w:val="32"/>
        </w:rPr>
      </w:pPr>
      <w:r>
        <w:rPr>
          <w:rFonts w:hint="eastAsia" w:ascii="楷体_GB2312" w:eastAsia="楷体_GB2312"/>
          <w:b/>
          <w:sz w:val="32"/>
          <w:szCs w:val="32"/>
        </w:rPr>
        <w:t>（二）</w:t>
      </w:r>
      <w:r>
        <w:rPr>
          <w:rFonts w:ascii="楷体_GB2312" w:eastAsia="楷体_GB2312"/>
          <w:b/>
          <w:sz w:val="32"/>
          <w:szCs w:val="32"/>
        </w:rPr>
        <w:t>20</w:t>
      </w:r>
      <w:r>
        <w:rPr>
          <w:rFonts w:hint="eastAsia" w:ascii="楷体_GB2312" w:eastAsia="楷体_GB2312"/>
          <w:b/>
          <w:sz w:val="32"/>
          <w:szCs w:val="32"/>
        </w:rPr>
        <w:t>21年重点工作完成情况</w:t>
      </w:r>
      <w:bookmarkEnd w:id="18"/>
      <w:bookmarkEnd w:id="19"/>
    </w:p>
    <w:p w14:paraId="5A90951E">
      <w:pPr>
        <w:ind w:firstLine="640" w:firstLineChars="200"/>
        <w:rPr>
          <w:rFonts w:ascii="楷体" w:hAnsi="楷体" w:eastAsia="楷体"/>
          <w:b/>
          <w:bCs/>
          <w:color w:val="000000"/>
          <w:sz w:val="32"/>
          <w:szCs w:val="32"/>
        </w:rPr>
      </w:pPr>
      <w:r>
        <w:rPr>
          <w:rFonts w:hint="eastAsia" w:eastAsia="仿宋_GB2312"/>
          <w:sz w:val="32"/>
          <w:szCs w:val="32"/>
        </w:rPr>
        <w:t>2021</w:t>
      </w:r>
      <w:r>
        <w:rPr>
          <w:rFonts w:eastAsia="仿宋_GB2312"/>
          <w:sz w:val="32"/>
          <w:szCs w:val="32"/>
        </w:rPr>
        <w:t>年，</w:t>
      </w:r>
      <w:r>
        <w:rPr>
          <w:rFonts w:hint="eastAsia" w:eastAsia="仿宋_GB2312"/>
          <w:sz w:val="32"/>
          <w:szCs w:val="32"/>
        </w:rPr>
        <w:t>区财政局</w:t>
      </w:r>
      <w:r>
        <w:rPr>
          <w:rFonts w:eastAsia="仿宋_GB2312"/>
          <w:sz w:val="32"/>
          <w:szCs w:val="32"/>
        </w:rPr>
        <w:t>全面贯彻执行</w:t>
      </w:r>
      <w:r>
        <w:rPr>
          <w:rFonts w:hint="eastAsia" w:eastAsia="仿宋_GB2312"/>
          <w:sz w:val="32"/>
          <w:szCs w:val="32"/>
        </w:rPr>
        <w:t>新</w:t>
      </w:r>
      <w:r>
        <w:rPr>
          <w:rFonts w:eastAsia="仿宋_GB2312"/>
          <w:sz w:val="32"/>
          <w:szCs w:val="32"/>
        </w:rPr>
        <w:t>《预算法》，全面落实减税降费政策，抢抓国务院基础设施领域补短板政策</w:t>
      </w:r>
      <w:r>
        <w:rPr>
          <w:rFonts w:hint="eastAsia" w:eastAsia="仿宋_GB2312"/>
          <w:sz w:val="32"/>
          <w:szCs w:val="32"/>
        </w:rPr>
        <w:t>机遇</w:t>
      </w:r>
      <w:r>
        <w:rPr>
          <w:rFonts w:eastAsia="仿宋_GB2312"/>
          <w:sz w:val="32"/>
          <w:szCs w:val="32"/>
        </w:rPr>
        <w:t>，树立过紧日子的思想，较好地发挥了财政对经济社会发展的支撑和保障作用。</w:t>
      </w:r>
    </w:p>
    <w:p w14:paraId="6BFF98DE">
      <w:pPr>
        <w:adjustRightInd w:val="0"/>
        <w:snapToGrid w:val="0"/>
        <w:ind w:firstLine="643" w:firstLineChars="200"/>
        <w:rPr>
          <w:rFonts w:ascii="楷体_GB2312" w:eastAsia="楷体_GB2312"/>
          <w:b/>
          <w:sz w:val="32"/>
          <w:szCs w:val="32"/>
        </w:rPr>
      </w:pPr>
      <w:bookmarkStart w:id="20" w:name="_Toc15377200"/>
      <w:bookmarkStart w:id="21" w:name="_Toc15396601"/>
      <w:r>
        <w:rPr>
          <w:rFonts w:hint="eastAsia" w:ascii="楷体_GB2312" w:eastAsia="楷体_GB2312"/>
          <w:b/>
          <w:sz w:val="32"/>
          <w:szCs w:val="32"/>
        </w:rPr>
        <w:t>1、持续落实全面从严治党</w:t>
      </w:r>
    </w:p>
    <w:p w14:paraId="67567A9E">
      <w:pPr>
        <w:autoSpaceDE w:val="0"/>
        <w:autoSpaceDN w:val="0"/>
        <w:adjustRightInd w:val="0"/>
        <w:spacing w:line="560" w:lineRule="exact"/>
        <w:ind w:left="199" w:leftChars="95" w:firstLine="648" w:firstLineChars="200"/>
        <w:jc w:val="left"/>
        <w:rPr>
          <w:rFonts w:eastAsia="仿宋_GB2312"/>
          <w:color w:val="000000"/>
          <w:spacing w:val="2"/>
          <w:sz w:val="32"/>
          <w:szCs w:val="32"/>
        </w:rPr>
      </w:pPr>
      <w:r>
        <w:rPr>
          <w:rFonts w:hint="eastAsia" w:eastAsia="仿宋_GB2312"/>
          <w:color w:val="000000"/>
          <w:spacing w:val="2"/>
          <w:sz w:val="32"/>
          <w:szCs w:val="32"/>
        </w:rPr>
        <w:t>一是坚持将党的全面领导贯穿财政管理全过程，要把政治建设摆在首位，持之以恒落实中央八项规定，认真履行监督职责，落实</w:t>
      </w:r>
      <w:r>
        <w:rPr>
          <w:rFonts w:hint="eastAsia" w:eastAsia="仿宋_GB2312"/>
          <w:color w:val="000000"/>
          <w:spacing w:val="2"/>
          <w:sz w:val="32"/>
          <w:szCs w:val="32"/>
          <w:lang w:val="en-US" w:eastAsia="zh-CN"/>
        </w:rPr>
        <w:t>全面</w:t>
      </w:r>
      <w:r>
        <w:rPr>
          <w:rFonts w:hint="eastAsia" w:eastAsia="仿宋_GB2312"/>
          <w:color w:val="000000"/>
          <w:spacing w:val="2"/>
          <w:sz w:val="32"/>
          <w:szCs w:val="32"/>
        </w:rPr>
        <w:t>从严治党的要求；二是把党风廉政建设与部门职能有机结合，融入到财政业务工作中，全面压实</w:t>
      </w:r>
      <w:r>
        <w:rPr>
          <w:rFonts w:eastAsia="仿宋_GB2312"/>
          <w:color w:val="000000"/>
          <w:spacing w:val="2"/>
          <w:sz w:val="32"/>
          <w:szCs w:val="32"/>
        </w:rPr>
        <w:t>“</w:t>
      </w:r>
      <w:r>
        <w:rPr>
          <w:rFonts w:hint="eastAsia" w:eastAsia="仿宋_GB2312"/>
          <w:color w:val="000000"/>
          <w:spacing w:val="2"/>
          <w:sz w:val="32"/>
          <w:szCs w:val="32"/>
        </w:rPr>
        <w:t>两个责任</w:t>
      </w:r>
      <w:r>
        <w:rPr>
          <w:rFonts w:eastAsia="仿宋_GB2312"/>
          <w:color w:val="000000"/>
          <w:spacing w:val="2"/>
          <w:sz w:val="32"/>
          <w:szCs w:val="32"/>
        </w:rPr>
        <w:t>”</w:t>
      </w:r>
      <w:r>
        <w:rPr>
          <w:rFonts w:hint="eastAsia" w:eastAsia="仿宋_GB2312"/>
          <w:color w:val="000000"/>
          <w:spacing w:val="2"/>
          <w:sz w:val="32"/>
          <w:szCs w:val="32"/>
        </w:rPr>
        <w:t>，依规依纪管党治党，强化财政权利监督制约；三是切实加强机关作风整顿，加强财政干部队伍建设，切实增强财政部门及财政干部的政治素养，加强理想信念教育、纪律规矩教育、职业素养教育。</w:t>
      </w:r>
    </w:p>
    <w:p w14:paraId="1F2344E3">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2、强化统筹，全力推动财政稳健运行</w:t>
      </w:r>
    </w:p>
    <w:p w14:paraId="1FEF64B4">
      <w:pPr>
        <w:pBdr>
          <w:bottom w:val="single" w:color="FFFFFF" w:sz="4" w:space="30"/>
        </w:pBdr>
        <w:adjustRightInd w:val="0"/>
        <w:snapToGrid w:val="0"/>
        <w:spacing w:line="560" w:lineRule="exact"/>
        <w:ind w:right="210" w:rightChars="100" w:firstLine="627" w:firstLineChars="196"/>
        <w:rPr>
          <w:rFonts w:eastAsia="仿宋_GB2312"/>
          <w:sz w:val="32"/>
          <w:szCs w:val="32"/>
        </w:rPr>
      </w:pPr>
      <w:r>
        <w:rPr>
          <w:rFonts w:hint="eastAsia" w:eastAsia="仿宋_GB2312"/>
          <w:sz w:val="32"/>
          <w:szCs w:val="32"/>
        </w:rPr>
        <w:t>一是</w:t>
      </w:r>
      <w:r>
        <w:rPr>
          <w:rFonts w:eastAsia="仿宋_GB2312"/>
          <w:sz w:val="32"/>
          <w:szCs w:val="32"/>
        </w:rPr>
        <w:t>全力组织财政收入，确保全年目标任务完成。</w:t>
      </w:r>
      <w:r>
        <w:rPr>
          <w:rFonts w:hint="eastAsia" w:eastAsia="仿宋_GB2312"/>
          <w:sz w:val="32"/>
          <w:szCs w:val="32"/>
        </w:rPr>
        <w:t>二是</w:t>
      </w:r>
      <w:r>
        <w:rPr>
          <w:rFonts w:eastAsia="仿宋_GB2312"/>
          <w:sz w:val="32"/>
          <w:szCs w:val="32"/>
        </w:rPr>
        <w:t>加大检查和清缴力度，及时跟进和组织非税收入入库，完成非税收入任务。</w:t>
      </w:r>
      <w:r>
        <w:rPr>
          <w:rFonts w:hint="eastAsia" w:eastAsia="仿宋_GB2312"/>
          <w:sz w:val="32"/>
          <w:szCs w:val="32"/>
        </w:rPr>
        <w:t>三是大力调整优化财政支出结构，坚决做到从严从紧预算管理，建立能增能减、有保有压的预算安排机制，</w:t>
      </w:r>
      <w:r>
        <w:rPr>
          <w:rFonts w:eastAsia="仿宋_GB2312"/>
          <w:sz w:val="32"/>
          <w:szCs w:val="32"/>
        </w:rPr>
        <w:t>严控一般性支出，兜实兜牢“三保”底线</w:t>
      </w:r>
      <w:r>
        <w:rPr>
          <w:rFonts w:hint="eastAsia" w:eastAsia="仿宋_GB2312"/>
          <w:sz w:val="32"/>
          <w:szCs w:val="32"/>
        </w:rPr>
        <w:t>，切实提高财政资源配置效率和资金使用效益。四是</w:t>
      </w:r>
      <w:r>
        <w:rPr>
          <w:rFonts w:eastAsia="仿宋_GB2312"/>
          <w:sz w:val="32"/>
          <w:szCs w:val="32"/>
        </w:rPr>
        <w:t>加大专项资金争取力度，全力做好均衡性转移支付、县级基本财力保障等财力性补助的争取工作，缓解本级财政困难。</w:t>
      </w:r>
    </w:p>
    <w:p w14:paraId="14598154">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3、加强保障，扎实推进民生民本改善</w:t>
      </w:r>
    </w:p>
    <w:p w14:paraId="4D8BB880">
      <w:pPr>
        <w:pBdr>
          <w:bottom w:val="single" w:color="FFFFFF" w:sz="4" w:space="30"/>
        </w:pBdr>
        <w:adjustRightInd w:val="0"/>
        <w:snapToGrid w:val="0"/>
        <w:spacing w:line="560" w:lineRule="exact"/>
        <w:ind w:right="210" w:rightChars="100" w:firstLine="630" w:firstLineChars="196"/>
        <w:rPr>
          <w:rFonts w:eastAsia="仿宋_GB2312"/>
          <w:sz w:val="32"/>
          <w:szCs w:val="32"/>
        </w:rPr>
      </w:pPr>
      <w:r>
        <w:rPr>
          <w:rFonts w:hint="eastAsia" w:eastAsia="仿宋_GB2312"/>
          <w:b/>
          <w:sz w:val="32"/>
          <w:szCs w:val="32"/>
        </w:rPr>
        <w:t>一是</w:t>
      </w:r>
      <w:r>
        <w:rPr>
          <w:rFonts w:eastAsia="仿宋_GB2312"/>
          <w:sz w:val="32"/>
          <w:szCs w:val="32"/>
        </w:rPr>
        <w:t>优化教育资源，支持教育综合改革，落实普惠性幼儿园奖补，推动普通高中发展，促进教育质量提升。</w:t>
      </w:r>
      <w:r>
        <w:rPr>
          <w:rFonts w:hint="eastAsia" w:eastAsia="仿宋_GB2312"/>
          <w:b/>
          <w:sz w:val="32"/>
          <w:szCs w:val="32"/>
        </w:rPr>
        <w:t>二是</w:t>
      </w:r>
      <w:r>
        <w:rPr>
          <w:rFonts w:eastAsia="仿宋_GB2312"/>
          <w:sz w:val="32"/>
          <w:szCs w:val="32"/>
        </w:rPr>
        <w:t>支持“健康仁和”发展，深化医疗卫生体制改革，落实基本医疗保障补助政策，健全公共卫生经费保障机制，提升医疗卫生资源供给水平。</w:t>
      </w:r>
      <w:r>
        <w:rPr>
          <w:rFonts w:hint="eastAsia" w:eastAsia="仿宋_GB2312"/>
          <w:b/>
          <w:sz w:val="32"/>
          <w:szCs w:val="32"/>
        </w:rPr>
        <w:t>三是</w:t>
      </w:r>
      <w:r>
        <w:rPr>
          <w:rFonts w:hint="eastAsia" w:eastAsia="仿宋_GB2312"/>
          <w:sz w:val="32"/>
          <w:szCs w:val="32"/>
        </w:rPr>
        <w:t>巩固</w:t>
      </w:r>
      <w:r>
        <w:rPr>
          <w:rFonts w:eastAsia="仿宋_GB2312"/>
          <w:sz w:val="32"/>
          <w:szCs w:val="32"/>
        </w:rPr>
        <w:t>脱贫攻坚</w:t>
      </w:r>
      <w:r>
        <w:rPr>
          <w:rFonts w:hint="eastAsia" w:eastAsia="仿宋_GB2312"/>
          <w:sz w:val="32"/>
          <w:szCs w:val="32"/>
        </w:rPr>
        <w:t>成果</w:t>
      </w:r>
      <w:r>
        <w:rPr>
          <w:rFonts w:eastAsia="仿宋_GB2312"/>
          <w:sz w:val="32"/>
          <w:szCs w:val="32"/>
        </w:rPr>
        <w:t>，落实产业、就业、教育、住房、低保兜底等领域扶贫政策，</w:t>
      </w:r>
      <w:r>
        <w:rPr>
          <w:rFonts w:hint="eastAsia" w:eastAsia="仿宋_GB2312"/>
          <w:sz w:val="32"/>
          <w:szCs w:val="32"/>
        </w:rPr>
        <w:t>防止返贫现象发生</w:t>
      </w:r>
      <w:r>
        <w:rPr>
          <w:rFonts w:eastAsia="仿宋_GB2312"/>
          <w:sz w:val="32"/>
          <w:szCs w:val="32"/>
        </w:rPr>
        <w:t>。</w:t>
      </w:r>
      <w:r>
        <w:rPr>
          <w:rFonts w:hint="eastAsia" w:eastAsia="仿宋_GB2312"/>
          <w:b/>
          <w:sz w:val="32"/>
          <w:szCs w:val="32"/>
        </w:rPr>
        <w:t>四是</w:t>
      </w:r>
      <w:r>
        <w:rPr>
          <w:rFonts w:eastAsia="仿宋_GB2312"/>
          <w:sz w:val="32"/>
          <w:szCs w:val="32"/>
        </w:rPr>
        <w:t>推动实施乡村振兴战略，建立多元投入机制，全面整合财政涉农资金，加快推进</w:t>
      </w:r>
      <w:r>
        <w:rPr>
          <w:rFonts w:hint="eastAsia" w:eastAsia="仿宋_GB2312"/>
          <w:sz w:val="32"/>
          <w:szCs w:val="32"/>
        </w:rPr>
        <w:t>现代特色农业发展</w:t>
      </w:r>
      <w:r>
        <w:rPr>
          <w:rFonts w:eastAsia="仿宋_GB2312"/>
          <w:sz w:val="32"/>
          <w:szCs w:val="32"/>
        </w:rPr>
        <w:t>。2022年创建乡村振兴先进县资金筹措相关工作</w:t>
      </w:r>
      <w:r>
        <w:rPr>
          <w:rFonts w:hint="eastAsia" w:eastAsia="仿宋_GB2312"/>
          <w:sz w:val="32"/>
          <w:szCs w:val="32"/>
        </w:rPr>
        <w:t>。</w:t>
      </w:r>
      <w:r>
        <w:rPr>
          <w:rFonts w:hint="eastAsia" w:eastAsia="仿宋_GB2312"/>
          <w:b/>
          <w:sz w:val="32"/>
          <w:szCs w:val="32"/>
        </w:rPr>
        <w:t>五是</w:t>
      </w:r>
      <w:r>
        <w:rPr>
          <w:rFonts w:hint="eastAsia" w:eastAsia="仿宋_GB2312"/>
          <w:sz w:val="32"/>
          <w:szCs w:val="32"/>
        </w:rPr>
        <w:t>支持做好疫情常态化防控工作，严格落实“外防输入、内防反弹”各项措施，着力抓好重点人群免费接种新冠疫苗工作。</w:t>
      </w:r>
      <w:r>
        <w:rPr>
          <w:rFonts w:hint="eastAsia" w:eastAsia="仿宋_GB2312"/>
          <w:b/>
          <w:sz w:val="32"/>
          <w:szCs w:val="32"/>
        </w:rPr>
        <w:t>六是</w:t>
      </w:r>
      <w:r>
        <w:rPr>
          <w:rFonts w:hint="eastAsia" w:eastAsia="仿宋_GB2312"/>
          <w:sz w:val="32"/>
          <w:szCs w:val="32"/>
        </w:rPr>
        <w:t>积极做好防治减灾救灾及森林草原防灭火相关工作，推动健全森林草原防灭火财政投入稳定保障机制。</w:t>
      </w:r>
      <w:r>
        <w:rPr>
          <w:rFonts w:hint="eastAsia" w:eastAsia="仿宋_GB2312"/>
          <w:b/>
          <w:sz w:val="32"/>
          <w:szCs w:val="32"/>
        </w:rPr>
        <w:t>七是</w:t>
      </w:r>
      <w:r>
        <w:rPr>
          <w:rFonts w:eastAsia="仿宋_GB2312"/>
          <w:sz w:val="32"/>
          <w:szCs w:val="32"/>
        </w:rPr>
        <w:t>推进宜居环境建设，支持生态环境治理和人居环境改善。</w:t>
      </w:r>
      <w:r>
        <w:rPr>
          <w:rFonts w:hint="eastAsia" w:eastAsia="仿宋_GB2312"/>
          <w:sz w:val="32"/>
          <w:szCs w:val="32"/>
        </w:rPr>
        <w:t>八是</w:t>
      </w:r>
      <w:r>
        <w:rPr>
          <w:rFonts w:eastAsia="仿宋_GB2312"/>
          <w:sz w:val="32"/>
          <w:szCs w:val="32"/>
        </w:rPr>
        <w:t>积极筹措资金保障“五大会战”“三项行动”工作。</w:t>
      </w:r>
    </w:p>
    <w:p w14:paraId="173138E7">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4、坚守底线，防范化解财政风险</w:t>
      </w:r>
    </w:p>
    <w:p w14:paraId="63D06869">
      <w:pPr>
        <w:pBdr>
          <w:bottom w:val="single" w:color="FFFFFF" w:sz="4" w:space="30"/>
        </w:pBdr>
        <w:adjustRightInd w:val="0"/>
        <w:snapToGrid w:val="0"/>
        <w:spacing w:line="560" w:lineRule="exact"/>
        <w:ind w:right="210" w:rightChars="100" w:firstLine="627" w:firstLineChars="196"/>
        <w:rPr>
          <w:rFonts w:eastAsia="仿宋_GB2312"/>
          <w:sz w:val="32"/>
          <w:szCs w:val="32"/>
        </w:rPr>
      </w:pPr>
      <w:r>
        <w:rPr>
          <w:rFonts w:hint="eastAsia" w:eastAsia="仿宋_GB2312"/>
          <w:sz w:val="32"/>
          <w:szCs w:val="32"/>
        </w:rPr>
        <w:t>始终坚持底线思维，牢固树立风险意识，扎实将各项举措落地落实，牢牢守住不发生系统性、区域性风险底线。</w:t>
      </w:r>
      <w:r>
        <w:rPr>
          <w:rFonts w:hint="eastAsia" w:eastAsia="仿宋_GB2312"/>
          <w:b/>
          <w:sz w:val="32"/>
          <w:szCs w:val="32"/>
        </w:rPr>
        <w:t>一是</w:t>
      </w:r>
      <w:r>
        <w:rPr>
          <w:rFonts w:hint="eastAsia" w:eastAsia="仿宋_GB2312"/>
          <w:sz w:val="32"/>
          <w:szCs w:val="32"/>
        </w:rPr>
        <w:t>重点围绕政府债务和隐性债务、县级“三保”支出保障、基层国库资金运行、政府采购、严肃财经纪律等方面，逐一制定防范化解具体行动方案。</w:t>
      </w:r>
      <w:r>
        <w:rPr>
          <w:rFonts w:hint="eastAsia" w:eastAsia="仿宋_GB2312"/>
          <w:b/>
          <w:sz w:val="32"/>
          <w:szCs w:val="32"/>
        </w:rPr>
        <w:t>二是</w:t>
      </w:r>
      <w:r>
        <w:rPr>
          <w:rFonts w:eastAsia="仿宋_GB2312"/>
          <w:sz w:val="32"/>
          <w:szCs w:val="32"/>
        </w:rPr>
        <w:t>加强政府债务管理工作，落实各项化债措施，切实做到化债任务明确，化债思路清晰，化债措施有效。</w:t>
      </w:r>
      <w:r>
        <w:rPr>
          <w:rFonts w:hint="eastAsia" w:eastAsia="仿宋_GB2312"/>
          <w:sz w:val="32"/>
          <w:szCs w:val="32"/>
        </w:rPr>
        <w:t>三是加强库款运行调度监测，完善库款运行动态监控机制，扎实推进防范化解基层国库资金运行风险两年行动，</w:t>
      </w:r>
      <w:r>
        <w:rPr>
          <w:rFonts w:eastAsia="仿宋_GB2312"/>
          <w:sz w:val="32"/>
          <w:szCs w:val="32"/>
        </w:rPr>
        <w:t>加快清理消化财政暂付款</w:t>
      </w:r>
      <w:r>
        <w:rPr>
          <w:rFonts w:hint="eastAsia" w:eastAsia="仿宋_GB2312"/>
          <w:sz w:val="32"/>
          <w:szCs w:val="32"/>
        </w:rPr>
        <w:t>。</w:t>
      </w:r>
    </w:p>
    <w:p w14:paraId="7070D6EF">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5、突出关键，持续推进财税体制改革</w:t>
      </w:r>
    </w:p>
    <w:p w14:paraId="26A92085">
      <w:pPr>
        <w:pBdr>
          <w:bottom w:val="single" w:color="FFFFFF" w:sz="4" w:space="30"/>
        </w:pBdr>
        <w:adjustRightInd w:val="0"/>
        <w:snapToGrid w:val="0"/>
        <w:spacing w:line="560" w:lineRule="exact"/>
        <w:ind w:right="210" w:rightChars="100" w:firstLine="630" w:firstLineChars="196"/>
        <w:rPr>
          <w:rFonts w:eastAsia="仿宋_GB2312"/>
          <w:sz w:val="32"/>
          <w:szCs w:val="32"/>
        </w:rPr>
      </w:pPr>
      <w:r>
        <w:rPr>
          <w:rFonts w:hint="eastAsia" w:eastAsia="仿宋_GB2312"/>
          <w:b/>
          <w:sz w:val="32"/>
          <w:szCs w:val="32"/>
        </w:rPr>
        <w:t>一是</w:t>
      </w:r>
      <w:r>
        <w:rPr>
          <w:rFonts w:hint="eastAsia" w:eastAsia="仿宋_GB2312"/>
          <w:sz w:val="32"/>
          <w:szCs w:val="32"/>
        </w:rPr>
        <w:t>不断完善预算管理制度，加强收入统筹，规范支出管理，</w:t>
      </w:r>
      <w:r>
        <w:rPr>
          <w:rFonts w:eastAsia="仿宋_GB2312"/>
          <w:sz w:val="32"/>
          <w:szCs w:val="32"/>
        </w:rPr>
        <w:t>完善全口径政府预算管理体系</w:t>
      </w:r>
      <w:r>
        <w:rPr>
          <w:rFonts w:hint="eastAsia" w:eastAsia="仿宋_GB2312"/>
          <w:sz w:val="32"/>
          <w:szCs w:val="32"/>
        </w:rPr>
        <w:t>；</w:t>
      </w:r>
      <w:r>
        <w:rPr>
          <w:rFonts w:eastAsia="仿宋_GB2312"/>
          <w:sz w:val="32"/>
          <w:szCs w:val="32"/>
        </w:rPr>
        <w:t>科学编制中期财政规划，健全三年滚动实施预算项目库，提高财政规划的计划性和预见性</w:t>
      </w:r>
      <w:r>
        <w:rPr>
          <w:rFonts w:hint="eastAsia" w:eastAsia="仿宋_GB2312"/>
          <w:sz w:val="32"/>
          <w:szCs w:val="32"/>
        </w:rPr>
        <w:t>；强化预算控制和约束，推进预算管理一体化改革，加快建立全面规范透明、标准科学、约束有力的现代预算制度。</w:t>
      </w:r>
      <w:r>
        <w:rPr>
          <w:rFonts w:hint="eastAsia" w:eastAsia="仿宋_GB2312"/>
          <w:b/>
          <w:sz w:val="32"/>
          <w:szCs w:val="32"/>
        </w:rPr>
        <w:t>二是</w:t>
      </w:r>
      <w:r>
        <w:rPr>
          <w:rFonts w:hint="eastAsia" w:eastAsia="仿宋_GB2312"/>
          <w:sz w:val="32"/>
          <w:szCs w:val="32"/>
        </w:rPr>
        <w:t>深化预算绩效管理改革，加快实现绩效与预算一体化融合，全面实施绩效动态监控，优化全过程绩效结果应用机制，出台绩效结果与预算挂钩细则。</w:t>
      </w:r>
      <w:r>
        <w:rPr>
          <w:rFonts w:hint="eastAsia" w:eastAsia="仿宋_GB2312"/>
          <w:b/>
          <w:sz w:val="32"/>
          <w:szCs w:val="32"/>
        </w:rPr>
        <w:t>三是</w:t>
      </w:r>
      <w:r>
        <w:rPr>
          <w:rFonts w:eastAsia="仿宋_GB2312"/>
          <w:sz w:val="32"/>
          <w:szCs w:val="32"/>
        </w:rPr>
        <w:t>提升财政投资评审质量，提高评审项目范围、规模和标准，进一步压减预算（控制价）评审时限，加强助审机构库管理，推进财政投资评审提质提效。</w:t>
      </w:r>
      <w:r>
        <w:rPr>
          <w:rFonts w:hint="eastAsia" w:eastAsia="仿宋_GB2312"/>
          <w:b/>
          <w:sz w:val="32"/>
          <w:szCs w:val="32"/>
        </w:rPr>
        <w:t>四是</w:t>
      </w:r>
      <w:r>
        <w:rPr>
          <w:rFonts w:eastAsia="仿宋_GB2312"/>
          <w:sz w:val="32"/>
          <w:szCs w:val="32"/>
        </w:rPr>
        <w:t>优化政府购买服务管理，明确政府购买服务实施范围，落实政府购买服务绩效评价，提高公共服务质量和水平。</w:t>
      </w:r>
    </w:p>
    <w:p w14:paraId="6373D71A">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6、积极谋划，高质量编制好财政“十四五”规划</w:t>
      </w:r>
    </w:p>
    <w:p w14:paraId="34A8D97F">
      <w:pPr>
        <w:pBdr>
          <w:bottom w:val="single" w:color="FFFFFF" w:sz="4" w:space="30"/>
        </w:pBdr>
        <w:adjustRightInd w:val="0"/>
        <w:snapToGrid w:val="0"/>
        <w:spacing w:line="560" w:lineRule="exact"/>
        <w:ind w:right="210" w:rightChars="100" w:firstLine="627" w:firstLineChars="196"/>
        <w:rPr>
          <w:rFonts w:eastAsia="仿宋_GB2312"/>
          <w:sz w:val="32"/>
          <w:szCs w:val="32"/>
        </w:rPr>
      </w:pPr>
      <w:r>
        <w:rPr>
          <w:rFonts w:hint="eastAsia" w:eastAsia="仿宋_GB2312"/>
          <w:sz w:val="32"/>
          <w:szCs w:val="32"/>
        </w:rPr>
        <w:t>切实把思想统一到中央、省、市、区对经济和社会发展的正确判断上来，牢牢树立上下“一盘棋”思想，</w:t>
      </w:r>
      <w:r>
        <w:rPr>
          <w:rFonts w:eastAsia="仿宋_GB2312"/>
          <w:sz w:val="32"/>
          <w:szCs w:val="32"/>
        </w:rPr>
        <w:t>积极对接和关注上级财政</w:t>
      </w:r>
      <w:r>
        <w:rPr>
          <w:rFonts w:hint="eastAsia" w:eastAsia="仿宋_GB2312"/>
          <w:sz w:val="32"/>
          <w:szCs w:val="32"/>
        </w:rPr>
        <w:t>规划</w:t>
      </w:r>
      <w:r>
        <w:rPr>
          <w:rFonts w:eastAsia="仿宋_GB2312"/>
          <w:sz w:val="32"/>
          <w:szCs w:val="32"/>
        </w:rPr>
        <w:t>编制</w:t>
      </w:r>
      <w:r>
        <w:rPr>
          <w:rFonts w:hint="eastAsia" w:eastAsia="仿宋_GB2312"/>
          <w:sz w:val="32"/>
          <w:szCs w:val="32"/>
        </w:rPr>
        <w:t>方向、要求和</w:t>
      </w:r>
      <w:r>
        <w:rPr>
          <w:rFonts w:eastAsia="仿宋_GB2312"/>
          <w:sz w:val="32"/>
          <w:szCs w:val="32"/>
        </w:rPr>
        <w:t>内容，</w:t>
      </w:r>
      <w:r>
        <w:rPr>
          <w:rFonts w:hint="eastAsia" w:eastAsia="仿宋_GB2312"/>
          <w:sz w:val="32"/>
          <w:szCs w:val="32"/>
        </w:rPr>
        <w:t>要与上级财政“十四五”规划、全区国民经济和社会发展“十四五”规划紧密衔接，认真谋篇布局、细化部署落实，把握好重点与全局、短期与长远的关系，切实提高规划编制的准确性、科学性、有效性。</w:t>
      </w:r>
    </w:p>
    <w:p w14:paraId="16EAF68D">
      <w:pPr>
        <w:pBdr>
          <w:bottom w:val="single" w:color="FFFFFF" w:sz="4" w:space="30"/>
        </w:pBdr>
        <w:adjustRightInd w:val="0"/>
        <w:snapToGrid w:val="0"/>
        <w:spacing w:line="560" w:lineRule="exact"/>
        <w:ind w:right="210" w:rightChars="100" w:firstLine="630" w:firstLineChars="196"/>
        <w:rPr>
          <w:rFonts w:ascii="楷体_GB2312" w:eastAsia="楷体_GB2312"/>
          <w:b/>
          <w:sz w:val="32"/>
          <w:szCs w:val="32"/>
        </w:rPr>
      </w:pPr>
      <w:r>
        <w:rPr>
          <w:rFonts w:hint="eastAsia" w:ascii="楷体_GB2312" w:eastAsia="楷体_GB2312"/>
          <w:b/>
          <w:sz w:val="32"/>
          <w:szCs w:val="32"/>
        </w:rPr>
        <w:t>7、严肃纪律，依法规范财政管理监督</w:t>
      </w:r>
    </w:p>
    <w:p w14:paraId="79BE1067">
      <w:pPr>
        <w:pBdr>
          <w:bottom w:val="single" w:color="FFFFFF" w:sz="4" w:space="30"/>
        </w:pBdr>
        <w:adjustRightInd w:val="0"/>
        <w:snapToGrid w:val="0"/>
        <w:spacing w:line="560" w:lineRule="exact"/>
        <w:ind w:right="210" w:rightChars="100" w:firstLine="630" w:firstLineChars="196"/>
        <w:rPr>
          <w:rFonts w:eastAsia="仿宋_GB2312"/>
          <w:sz w:val="32"/>
          <w:szCs w:val="32"/>
        </w:rPr>
      </w:pPr>
      <w:r>
        <w:rPr>
          <w:rFonts w:hint="eastAsia" w:eastAsia="仿宋_GB2312"/>
          <w:b/>
          <w:sz w:val="32"/>
          <w:szCs w:val="32"/>
        </w:rPr>
        <w:t>一是</w:t>
      </w:r>
      <w:r>
        <w:rPr>
          <w:rFonts w:hint="eastAsia" w:eastAsia="仿宋_GB2312"/>
          <w:sz w:val="32"/>
          <w:szCs w:val="32"/>
        </w:rPr>
        <w:t>深入学习贯彻习近平法治思想，认真谋划推进财政“八五”普法工作。</w:t>
      </w:r>
      <w:r>
        <w:rPr>
          <w:rFonts w:hint="eastAsia" w:eastAsia="仿宋_GB2312"/>
          <w:b/>
          <w:sz w:val="32"/>
          <w:szCs w:val="32"/>
        </w:rPr>
        <w:t>二是</w:t>
      </w:r>
      <w:r>
        <w:rPr>
          <w:rFonts w:hint="eastAsia" w:eastAsia="仿宋_GB2312"/>
          <w:sz w:val="32"/>
          <w:szCs w:val="32"/>
        </w:rPr>
        <w:t>认真履行出资人职责，加强国有资本管理。三是</w:t>
      </w:r>
      <w:r>
        <w:rPr>
          <w:rFonts w:eastAsia="仿宋_GB2312"/>
          <w:sz w:val="32"/>
          <w:szCs w:val="32"/>
        </w:rPr>
        <w:t>开展2022年度专项资金重点绩效评价和严肃财经纪律及财务管理风险排查工作。</w:t>
      </w:r>
      <w:r>
        <w:rPr>
          <w:rFonts w:hint="eastAsia" w:eastAsia="仿宋_GB2312"/>
          <w:sz w:val="32"/>
          <w:szCs w:val="32"/>
        </w:rPr>
        <w:t>四</w:t>
      </w:r>
      <w:r>
        <w:rPr>
          <w:rFonts w:hint="eastAsia" w:eastAsia="仿宋_GB2312"/>
          <w:b/>
          <w:sz w:val="32"/>
          <w:szCs w:val="32"/>
        </w:rPr>
        <w:t>是</w:t>
      </w:r>
      <w:r>
        <w:rPr>
          <w:rFonts w:hint="eastAsia" w:eastAsia="仿宋_GB2312"/>
          <w:sz w:val="32"/>
          <w:szCs w:val="32"/>
        </w:rPr>
        <w:t>进一步强化财政监督，做好财会监督与党内监督以及其他各类监督的贯通协同，严肃查处违法违纪违规行为。五是</w:t>
      </w:r>
      <w:r>
        <w:rPr>
          <w:rFonts w:eastAsia="仿宋_GB2312"/>
          <w:sz w:val="32"/>
          <w:szCs w:val="32"/>
        </w:rPr>
        <w:t>开展直达资金监控系统指标分配下达、支付关联工作，并督促项目单位加快直达资金的支付进度。</w:t>
      </w:r>
    </w:p>
    <w:p w14:paraId="1190EC81">
      <w:pPr>
        <w:pStyle w:val="3"/>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14:paraId="0061CE0A">
      <w:pPr>
        <w:widowControl/>
        <w:ind w:firstLine="640" w:firstLineChars="200"/>
        <w:jc w:val="left"/>
        <w:rPr>
          <w:rFonts w:eastAsia="仿宋_GB2312"/>
          <w:sz w:val="32"/>
          <w:szCs w:val="32"/>
        </w:rPr>
      </w:pPr>
      <w:r>
        <w:rPr>
          <w:rFonts w:hint="eastAsia" w:eastAsia="仿宋_GB2312"/>
          <w:sz w:val="32"/>
          <w:szCs w:val="32"/>
        </w:rPr>
        <w:t>仁和区财政局</w:t>
      </w:r>
      <w:r>
        <w:rPr>
          <w:rFonts w:hint="eastAsia" w:ascii="仿宋" w:hAnsi="仿宋" w:eastAsia="仿宋"/>
          <w:sz w:val="32"/>
          <w:szCs w:val="32"/>
        </w:rPr>
        <w:t>属于一级预算单位,下设9个科室，1个驻局纪检监察组，</w:t>
      </w:r>
      <w:r>
        <w:rPr>
          <w:rFonts w:hint="eastAsia" w:eastAsia="仿宋_GB2312"/>
          <w:sz w:val="32"/>
          <w:szCs w:val="32"/>
        </w:rPr>
        <w:t>独立编制的2个参照公务员法管理的事业单位和2个其他事业单位。仁和区财政局财务统一管理，无单独核算的</w:t>
      </w:r>
      <w:r>
        <w:rPr>
          <w:rFonts w:hint="eastAsia" w:eastAsia="仿宋_GB2312"/>
          <w:sz w:val="32"/>
          <w:szCs w:val="32"/>
          <w:lang w:eastAsia="zh-CN"/>
        </w:rPr>
        <w:t>二</w:t>
      </w:r>
      <w:r>
        <w:rPr>
          <w:rFonts w:hint="eastAsia" w:eastAsia="仿宋_GB2312"/>
          <w:sz w:val="32"/>
          <w:szCs w:val="32"/>
        </w:rPr>
        <w:t>级预算单位。</w:t>
      </w:r>
    </w:p>
    <w:p w14:paraId="7EBAEED3">
      <w:pPr>
        <w:widowControl/>
        <w:ind w:firstLine="640" w:firstLineChars="200"/>
        <w:jc w:val="left"/>
        <w:rPr>
          <w:rFonts w:eastAsia="仿宋_GB2312"/>
          <w:sz w:val="32"/>
          <w:szCs w:val="32"/>
        </w:rPr>
      </w:pPr>
      <w:r>
        <w:rPr>
          <w:rFonts w:hint="eastAsia" w:eastAsia="仿宋_GB2312"/>
          <w:sz w:val="32"/>
          <w:szCs w:val="32"/>
        </w:rPr>
        <w:t>纳入仁和区财政局202</w:t>
      </w:r>
      <w:r>
        <w:rPr>
          <w:rFonts w:hint="eastAsia" w:eastAsia="仿宋_GB2312"/>
          <w:sz w:val="32"/>
          <w:szCs w:val="32"/>
          <w:lang w:val="en-US" w:eastAsia="zh-CN"/>
        </w:rPr>
        <w:t>1</w:t>
      </w:r>
      <w:r>
        <w:rPr>
          <w:rFonts w:hint="eastAsia" w:eastAsia="仿宋_GB2312"/>
          <w:sz w:val="32"/>
          <w:szCs w:val="32"/>
        </w:rPr>
        <w:t>年度部门决算编制范围的二级单位包括：</w:t>
      </w:r>
      <w:r>
        <w:rPr>
          <w:rFonts w:eastAsia="仿宋_GB2312"/>
          <w:sz w:val="32"/>
          <w:szCs w:val="32"/>
        </w:rPr>
        <w:t xml:space="preserve"> </w:t>
      </w:r>
    </w:p>
    <w:p w14:paraId="727D6E65">
      <w:pPr>
        <w:widowControl/>
        <w:numPr>
          <w:ilvl w:val="0"/>
          <w:numId w:val="1"/>
        </w:numPr>
        <w:jc w:val="left"/>
        <w:rPr>
          <w:rFonts w:eastAsia="仿宋_GB2312"/>
          <w:sz w:val="32"/>
          <w:szCs w:val="32"/>
        </w:rPr>
      </w:pPr>
      <w:bookmarkStart w:id="22" w:name="_Toc15306276"/>
      <w:bookmarkStart w:id="23" w:name="_Toc15377202"/>
      <w:bookmarkStart w:id="24" w:name="_Toc15377433"/>
      <w:bookmarkStart w:id="25" w:name="_Toc15378449"/>
      <w:r>
        <w:rPr>
          <w:rFonts w:hint="eastAsia" w:eastAsia="仿宋_GB2312"/>
          <w:sz w:val="32"/>
          <w:szCs w:val="32"/>
        </w:rPr>
        <w:t>仁和区财政国库支付中心</w:t>
      </w:r>
      <w:bookmarkEnd w:id="22"/>
      <w:bookmarkEnd w:id="23"/>
      <w:bookmarkEnd w:id="24"/>
      <w:bookmarkEnd w:id="25"/>
    </w:p>
    <w:p w14:paraId="6770CE30">
      <w:pPr>
        <w:widowControl/>
        <w:numPr>
          <w:ilvl w:val="0"/>
          <w:numId w:val="1"/>
        </w:numPr>
        <w:jc w:val="left"/>
        <w:rPr>
          <w:rFonts w:eastAsia="仿宋_GB2312"/>
          <w:sz w:val="32"/>
          <w:szCs w:val="32"/>
        </w:rPr>
      </w:pPr>
      <w:r>
        <w:rPr>
          <w:rFonts w:hint="eastAsia" w:eastAsia="仿宋_GB2312"/>
          <w:sz w:val="32"/>
          <w:szCs w:val="32"/>
        </w:rPr>
        <w:t>仁和区财政绩效评价中心</w:t>
      </w:r>
    </w:p>
    <w:p w14:paraId="4E61E22B">
      <w:pPr>
        <w:widowControl/>
        <w:numPr>
          <w:ilvl w:val="0"/>
          <w:numId w:val="1"/>
        </w:numPr>
        <w:jc w:val="left"/>
        <w:rPr>
          <w:rFonts w:eastAsia="仿宋_GB2312"/>
          <w:sz w:val="32"/>
          <w:szCs w:val="32"/>
        </w:rPr>
      </w:pPr>
      <w:r>
        <w:rPr>
          <w:rFonts w:hint="eastAsia" w:eastAsia="仿宋_GB2312"/>
          <w:sz w:val="32"/>
          <w:szCs w:val="32"/>
        </w:rPr>
        <w:t>仁和区政府债务风险防控中心</w:t>
      </w:r>
    </w:p>
    <w:p w14:paraId="271F880A">
      <w:pPr>
        <w:widowControl/>
        <w:numPr>
          <w:ilvl w:val="0"/>
          <w:numId w:val="1"/>
        </w:numPr>
        <w:jc w:val="left"/>
        <w:rPr>
          <w:rFonts w:eastAsia="仿宋_GB2312"/>
          <w:sz w:val="32"/>
          <w:szCs w:val="32"/>
        </w:rPr>
      </w:pPr>
      <w:r>
        <w:rPr>
          <w:rFonts w:hint="eastAsia" w:eastAsia="仿宋_GB2312"/>
          <w:sz w:val="32"/>
          <w:szCs w:val="32"/>
        </w:rPr>
        <w:t>仁和区财政投资评审中心</w:t>
      </w:r>
    </w:p>
    <w:p w14:paraId="7E7BEF73">
      <w:pPr>
        <w:widowControl/>
        <w:ind w:left="1152"/>
        <w:jc w:val="left"/>
        <w:rPr>
          <w:rFonts w:eastAsia="仿宋_GB2312"/>
          <w:sz w:val="32"/>
          <w:szCs w:val="32"/>
        </w:rPr>
      </w:pPr>
    </w:p>
    <w:p w14:paraId="5EEEF282">
      <w:pPr>
        <w:pStyle w:val="2"/>
        <w:ind w:right="440"/>
        <w:jc w:val="right"/>
        <w:rPr>
          <w:rFonts w:ascii="黑体" w:hAnsi="黑体" w:eastAsia="黑体"/>
          <w:b w:val="0"/>
          <w:color w:val="000000"/>
        </w:rPr>
      </w:pPr>
      <w:bookmarkStart w:id="26" w:name="_Toc15377204"/>
      <w:bookmarkStart w:id="27" w:name="_Toc15396602"/>
    </w:p>
    <w:p w14:paraId="628F4022">
      <w:pPr>
        <w:pStyle w:val="2"/>
        <w:ind w:right="440"/>
        <w:jc w:val="right"/>
        <w:rPr>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2021年度部门决算情况说明</w:t>
      </w:r>
      <w:bookmarkEnd w:id="26"/>
      <w:bookmarkEnd w:id="27"/>
    </w:p>
    <w:p w14:paraId="78EBA247">
      <w:pPr>
        <w:pStyle w:val="24"/>
        <w:numPr>
          <w:ilvl w:val="0"/>
          <w:numId w:val="2"/>
        </w:numPr>
        <w:spacing w:line="600" w:lineRule="exact"/>
        <w:ind w:firstLineChars="0"/>
        <w:outlineLvl w:val="1"/>
        <w:rPr>
          <w:rStyle w:val="26"/>
          <w:rFonts w:ascii="黑体" w:hAnsi="黑体" w:eastAsia="黑体"/>
          <w:b w:val="0"/>
        </w:rPr>
      </w:pPr>
      <w:bookmarkStart w:id="28" w:name="_Toc15396603"/>
      <w:bookmarkStart w:id="29"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8"/>
      <w:bookmarkEnd w:id="29"/>
    </w:p>
    <w:p w14:paraId="5356182E">
      <w:pPr>
        <w:ind w:firstLine="709"/>
        <w:rPr>
          <w:rFonts w:ascii="仿宋_GB2312" w:hAnsi="仿宋" w:eastAsia="仿宋_GB2312" w:cs="仿宋"/>
          <w:color w:val="000000"/>
          <w:sz w:val="32"/>
          <w:szCs w:val="32"/>
        </w:rPr>
      </w:pPr>
      <w:r>
        <w:rPr>
          <w:rFonts w:hint="eastAsia" w:ascii="仿宋" w:hAnsi="仿宋" w:eastAsia="仿宋"/>
          <w:color w:val="000000"/>
          <w:sz w:val="32"/>
          <w:szCs w:val="32"/>
        </w:rPr>
        <w:t>2021年度收、支总计1563.84万元。与2020年1822.18万元相比，收、支总计各减少258.34万元，</w:t>
      </w:r>
      <w:r>
        <w:rPr>
          <w:rFonts w:hint="eastAsia" w:ascii="仿宋" w:hAnsi="仿宋" w:eastAsia="仿宋"/>
          <w:sz w:val="32"/>
          <w:szCs w:val="32"/>
        </w:rPr>
        <w:t>减少14.18</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s="仿宋"/>
          <w:color w:val="000000"/>
          <w:sz w:val="32"/>
          <w:szCs w:val="32"/>
        </w:rPr>
        <w:t>人员经费政策调整及实施项目的减少，节约开支。</w:t>
      </w:r>
    </w:p>
    <w:p w14:paraId="6AFA6964">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344C170C">
      <w:pPr>
        <w:spacing w:line="600" w:lineRule="exact"/>
        <w:ind w:firstLine="640" w:firstLineChars="200"/>
        <w:rPr>
          <w:rFonts w:ascii="仿宋" w:hAnsi="仿宋" w:eastAsia="仿宋"/>
          <w:color w:val="000000" w:themeColor="text1"/>
          <w:sz w:val="32"/>
          <w:szCs w:val="32"/>
        </w:rPr>
      </w:pPr>
    </w:p>
    <w:p w14:paraId="34B9551A">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409575</wp:posOffset>
            </wp:positionH>
            <wp:positionV relativeFrom="paragraph">
              <wp:posOffset>-95250</wp:posOffset>
            </wp:positionV>
            <wp:extent cx="4972050" cy="3810000"/>
            <wp:effectExtent l="19050" t="0" r="19050" b="0"/>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424F266C">
      <w:pPr>
        <w:spacing w:line="600" w:lineRule="exact"/>
        <w:ind w:firstLine="640" w:firstLineChars="200"/>
        <w:rPr>
          <w:rFonts w:ascii="仿宋" w:hAnsi="仿宋" w:eastAsia="仿宋"/>
          <w:color w:val="000000" w:themeColor="text1"/>
          <w:sz w:val="32"/>
          <w:szCs w:val="32"/>
        </w:rPr>
      </w:pPr>
    </w:p>
    <w:p w14:paraId="5E9400B0">
      <w:pPr>
        <w:spacing w:line="600" w:lineRule="exact"/>
        <w:ind w:firstLine="640" w:firstLineChars="200"/>
        <w:rPr>
          <w:rFonts w:ascii="仿宋" w:hAnsi="仿宋" w:eastAsia="仿宋"/>
          <w:color w:val="000000" w:themeColor="text1"/>
          <w:sz w:val="32"/>
          <w:szCs w:val="32"/>
        </w:rPr>
      </w:pPr>
    </w:p>
    <w:p w14:paraId="3FC5982E">
      <w:pPr>
        <w:spacing w:line="600" w:lineRule="exact"/>
        <w:ind w:firstLine="640" w:firstLineChars="200"/>
        <w:rPr>
          <w:rFonts w:ascii="仿宋" w:hAnsi="仿宋" w:eastAsia="仿宋"/>
          <w:color w:val="000000" w:themeColor="text1"/>
          <w:sz w:val="32"/>
          <w:szCs w:val="32"/>
        </w:rPr>
      </w:pPr>
    </w:p>
    <w:p w14:paraId="66F9DBE3">
      <w:pPr>
        <w:spacing w:line="600" w:lineRule="exact"/>
        <w:ind w:firstLine="640" w:firstLineChars="200"/>
        <w:rPr>
          <w:rFonts w:ascii="仿宋" w:hAnsi="仿宋" w:eastAsia="仿宋"/>
          <w:color w:val="000000" w:themeColor="text1"/>
          <w:sz w:val="32"/>
          <w:szCs w:val="32"/>
        </w:rPr>
      </w:pPr>
    </w:p>
    <w:p w14:paraId="02097384">
      <w:pPr>
        <w:spacing w:line="600" w:lineRule="exact"/>
        <w:ind w:firstLine="640" w:firstLineChars="200"/>
        <w:rPr>
          <w:rFonts w:ascii="仿宋" w:hAnsi="仿宋" w:eastAsia="仿宋"/>
          <w:color w:val="000000" w:themeColor="text1"/>
          <w:sz w:val="32"/>
          <w:szCs w:val="32"/>
        </w:rPr>
      </w:pPr>
    </w:p>
    <w:p w14:paraId="7B3C5E19">
      <w:pPr>
        <w:spacing w:line="600" w:lineRule="exact"/>
        <w:ind w:firstLine="640" w:firstLineChars="200"/>
        <w:rPr>
          <w:rFonts w:ascii="仿宋" w:hAnsi="仿宋" w:eastAsia="仿宋"/>
          <w:color w:val="000000" w:themeColor="text1"/>
          <w:sz w:val="32"/>
          <w:szCs w:val="32"/>
        </w:rPr>
      </w:pPr>
    </w:p>
    <w:p w14:paraId="585D3CED">
      <w:pPr>
        <w:spacing w:line="600" w:lineRule="exact"/>
        <w:ind w:firstLine="640" w:firstLineChars="200"/>
        <w:rPr>
          <w:rFonts w:ascii="仿宋" w:hAnsi="仿宋" w:eastAsia="仿宋"/>
          <w:color w:val="000000" w:themeColor="text1"/>
          <w:sz w:val="32"/>
          <w:szCs w:val="32"/>
        </w:rPr>
      </w:pPr>
    </w:p>
    <w:p w14:paraId="2326EDCF">
      <w:pPr>
        <w:spacing w:line="600" w:lineRule="exact"/>
        <w:ind w:firstLine="640" w:firstLineChars="200"/>
        <w:rPr>
          <w:rFonts w:ascii="仿宋" w:hAnsi="仿宋" w:eastAsia="仿宋"/>
          <w:color w:val="000000" w:themeColor="text1"/>
          <w:sz w:val="32"/>
          <w:szCs w:val="32"/>
        </w:rPr>
      </w:pPr>
    </w:p>
    <w:p w14:paraId="267F2546">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7467600</wp:posOffset>
            </wp:positionH>
            <wp:positionV relativeFrom="paragraph">
              <wp:posOffset>323850</wp:posOffset>
            </wp:positionV>
            <wp:extent cx="5080000" cy="3810000"/>
            <wp:effectExtent l="19050" t="0" r="25400" b="0"/>
            <wp:wrapNone/>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7E3E623">
      <w:pPr>
        <w:pStyle w:val="24"/>
        <w:numPr>
          <w:ilvl w:val="0"/>
          <w:numId w:val="2"/>
        </w:numPr>
        <w:spacing w:line="600" w:lineRule="exact"/>
        <w:ind w:firstLineChars="0"/>
        <w:outlineLvl w:val="1"/>
        <w:rPr>
          <w:rStyle w:val="26"/>
          <w:rFonts w:ascii="黑体" w:hAnsi="黑体" w:eastAsia="黑体"/>
          <w:b w:val="0"/>
        </w:rPr>
      </w:pPr>
      <w:bookmarkStart w:id="30" w:name="_Toc15396604"/>
      <w:bookmarkStart w:id="31"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30"/>
      <w:bookmarkEnd w:id="31"/>
    </w:p>
    <w:p w14:paraId="4E068158">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21年本年收入合计</w:t>
      </w:r>
      <w:r>
        <w:rPr>
          <w:rFonts w:hint="eastAsia" w:ascii="仿宋_GB2312" w:hAnsi="仿宋" w:eastAsia="仿宋_GB2312"/>
          <w:sz w:val="32"/>
          <w:szCs w:val="32"/>
        </w:rPr>
        <w:t>1,426.21</w:t>
      </w:r>
      <w:r>
        <w:rPr>
          <w:rFonts w:hint="eastAsia" w:ascii="仿宋" w:hAnsi="仿宋" w:eastAsia="仿宋"/>
          <w:color w:val="000000"/>
          <w:sz w:val="32"/>
          <w:szCs w:val="32"/>
        </w:rPr>
        <w:t>万元，其中：一般公共预算财政拨款收入</w:t>
      </w:r>
      <w:r>
        <w:rPr>
          <w:rFonts w:hint="eastAsia" w:ascii="仿宋_GB2312" w:hAnsi="仿宋" w:eastAsia="仿宋_GB2312"/>
          <w:sz w:val="32"/>
          <w:szCs w:val="32"/>
        </w:rPr>
        <w:t>1,425.21</w:t>
      </w:r>
      <w:r>
        <w:rPr>
          <w:rFonts w:hint="eastAsia" w:ascii="仿宋" w:hAnsi="仿宋" w:eastAsia="仿宋"/>
          <w:color w:val="000000"/>
          <w:sz w:val="32"/>
          <w:szCs w:val="32"/>
        </w:rPr>
        <w:t>元，占99.93</w:t>
      </w:r>
      <w:r>
        <w:rPr>
          <w:rFonts w:ascii="仿宋" w:hAnsi="仿宋" w:eastAsia="仿宋"/>
          <w:color w:val="000000"/>
          <w:sz w:val="32"/>
          <w:szCs w:val="32"/>
        </w:rPr>
        <w:t>%</w:t>
      </w:r>
      <w:r>
        <w:rPr>
          <w:rFonts w:hint="eastAsia" w:ascii="仿宋" w:hAnsi="仿宋" w:eastAsia="仿宋"/>
          <w:color w:val="000000"/>
          <w:sz w:val="32"/>
          <w:szCs w:val="32"/>
        </w:rPr>
        <w:t>；政府性基金预算财政拨款0万，占0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；其他收入1万元，占0.07</w:t>
      </w:r>
      <w:r>
        <w:rPr>
          <w:rFonts w:ascii="仿宋" w:hAnsi="仿宋" w:eastAsia="仿宋"/>
          <w:color w:val="000000"/>
          <w:sz w:val="32"/>
          <w:szCs w:val="32"/>
        </w:rPr>
        <w:t>%</w:t>
      </w:r>
      <w:r>
        <w:rPr>
          <w:rFonts w:hint="eastAsia" w:ascii="仿宋" w:hAnsi="仿宋" w:eastAsia="仿宋"/>
          <w:color w:val="000000"/>
          <w:sz w:val="32"/>
          <w:szCs w:val="32"/>
        </w:rPr>
        <w:t>。</w:t>
      </w:r>
    </w:p>
    <w:p w14:paraId="01C72885">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（图2：收入决算结构图）（饼状图）</w:t>
      </w:r>
    </w:p>
    <w:p w14:paraId="00B864CC">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180975</wp:posOffset>
            </wp:positionH>
            <wp:positionV relativeFrom="paragraph">
              <wp:posOffset>57150</wp:posOffset>
            </wp:positionV>
            <wp:extent cx="5057775" cy="2924175"/>
            <wp:effectExtent l="19050" t="0" r="9525" b="0"/>
            <wp:wrapNone/>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26B11E1">
      <w:pPr>
        <w:spacing w:line="600" w:lineRule="exact"/>
        <w:ind w:firstLine="640" w:firstLineChars="200"/>
        <w:rPr>
          <w:rFonts w:ascii="仿宋_GB2312" w:eastAsia="仿宋_GB2312"/>
          <w:color w:val="FF0000"/>
          <w:sz w:val="32"/>
          <w:szCs w:val="32"/>
        </w:rPr>
      </w:pPr>
    </w:p>
    <w:p w14:paraId="093C71CB">
      <w:pPr>
        <w:spacing w:line="600" w:lineRule="exact"/>
        <w:ind w:firstLine="640" w:firstLineChars="200"/>
        <w:rPr>
          <w:rFonts w:ascii="仿宋_GB2312" w:eastAsia="仿宋_GB2312"/>
          <w:color w:val="FF0000"/>
          <w:sz w:val="32"/>
          <w:szCs w:val="32"/>
        </w:rPr>
      </w:pPr>
    </w:p>
    <w:p w14:paraId="6A79F12C">
      <w:pPr>
        <w:spacing w:line="600" w:lineRule="exact"/>
        <w:ind w:firstLine="640" w:firstLineChars="200"/>
        <w:rPr>
          <w:rFonts w:ascii="仿宋_GB2312" w:eastAsia="仿宋_GB2312"/>
          <w:color w:val="FF0000"/>
          <w:sz w:val="32"/>
          <w:szCs w:val="32"/>
        </w:rPr>
      </w:pPr>
    </w:p>
    <w:p w14:paraId="67E828F2">
      <w:pPr>
        <w:spacing w:line="600" w:lineRule="exact"/>
        <w:ind w:firstLine="640" w:firstLineChars="200"/>
        <w:rPr>
          <w:rFonts w:ascii="仿宋_GB2312" w:eastAsia="仿宋_GB2312"/>
          <w:color w:val="FF0000"/>
          <w:sz w:val="32"/>
          <w:szCs w:val="32"/>
        </w:rPr>
      </w:pPr>
    </w:p>
    <w:p w14:paraId="145C648B">
      <w:pPr>
        <w:spacing w:line="600" w:lineRule="exact"/>
        <w:ind w:firstLine="640" w:firstLineChars="200"/>
        <w:rPr>
          <w:rFonts w:ascii="仿宋_GB2312" w:eastAsia="仿宋_GB2312"/>
          <w:color w:val="FF0000"/>
          <w:sz w:val="32"/>
          <w:szCs w:val="32"/>
        </w:rPr>
      </w:pPr>
    </w:p>
    <w:p w14:paraId="4756D7CA">
      <w:pPr>
        <w:spacing w:line="600" w:lineRule="exact"/>
        <w:rPr>
          <w:rFonts w:ascii="仿宋_GB2312" w:eastAsia="仿宋_GB2312"/>
          <w:color w:val="FF0000"/>
          <w:sz w:val="32"/>
          <w:szCs w:val="32"/>
        </w:rPr>
      </w:pPr>
    </w:p>
    <w:p w14:paraId="2EE90EFA">
      <w:pPr>
        <w:spacing w:line="600" w:lineRule="exact"/>
        <w:ind w:left="710"/>
        <w:outlineLvl w:val="1"/>
        <w:rPr>
          <w:rStyle w:val="26"/>
          <w:rFonts w:ascii="黑体" w:hAnsi="黑体" w:eastAsia="黑体"/>
          <w:b w:val="0"/>
        </w:rPr>
      </w:pPr>
    </w:p>
    <w:p w14:paraId="650D8CFE">
      <w:pPr>
        <w:spacing w:line="600" w:lineRule="exact"/>
        <w:ind w:left="710"/>
        <w:outlineLvl w:val="1"/>
        <w:rPr>
          <w:rStyle w:val="26"/>
          <w:rFonts w:ascii="黑体" w:hAnsi="黑体" w:eastAsia="黑体"/>
          <w:b w:val="0"/>
        </w:rPr>
      </w:pPr>
      <w:r>
        <w:rPr>
          <w:rStyle w:val="26"/>
          <w:rFonts w:hint="eastAsia" w:ascii="黑体" w:hAnsi="黑体" w:eastAsia="黑体"/>
          <w:b w:val="0"/>
        </w:rPr>
        <w:t>三、</w:t>
      </w:r>
      <w:r>
        <w:rPr>
          <w:rFonts w:hint="eastAsia" w:ascii="黑体" w:hAnsi="黑体" w:eastAsia="黑体"/>
          <w:color w:val="000000"/>
          <w:sz w:val="32"/>
          <w:szCs w:val="32"/>
        </w:rPr>
        <w:t>支</w:t>
      </w:r>
      <w:r>
        <w:rPr>
          <w:rStyle w:val="26"/>
          <w:rFonts w:hint="eastAsia" w:ascii="黑体" w:hAnsi="黑体" w:eastAsia="黑体"/>
          <w:b w:val="0"/>
        </w:rPr>
        <w:t>出决算情况说明</w:t>
      </w:r>
    </w:p>
    <w:p w14:paraId="61575373">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21年本年支出合计1,562.54万元，其中：基本支出</w:t>
      </w:r>
    </w:p>
    <w:p w14:paraId="0A8C71F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996.93万元，占63.8</w:t>
      </w:r>
      <w:r>
        <w:rPr>
          <w:rFonts w:ascii="仿宋" w:hAnsi="仿宋" w:eastAsia="仿宋"/>
          <w:color w:val="000000"/>
          <w:sz w:val="32"/>
          <w:szCs w:val="32"/>
        </w:rPr>
        <w:t>%</w:t>
      </w:r>
      <w:r>
        <w:rPr>
          <w:rFonts w:hint="eastAsia" w:ascii="仿宋" w:hAnsi="仿宋" w:eastAsia="仿宋"/>
          <w:color w:val="000000"/>
          <w:sz w:val="32"/>
          <w:szCs w:val="32"/>
        </w:rPr>
        <w:t>；项目支出565.61万元，占36.2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24A24082">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45E66FD5">
      <w:pPr>
        <w:pStyle w:val="5"/>
        <w:spacing w:line="600" w:lineRule="exact"/>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2336" behindDoc="0" locked="0" layoutInCell="1" allowOverlap="1">
            <wp:simplePos x="0" y="0"/>
            <wp:positionH relativeFrom="column">
              <wp:posOffset>247650</wp:posOffset>
            </wp:positionH>
            <wp:positionV relativeFrom="paragraph">
              <wp:posOffset>76200</wp:posOffset>
            </wp:positionV>
            <wp:extent cx="4714875" cy="2395855"/>
            <wp:effectExtent l="19050" t="0" r="9525" b="4445"/>
            <wp:wrapNone/>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4C9B8F9">
      <w:pPr>
        <w:spacing w:line="600" w:lineRule="exact"/>
        <w:rPr>
          <w:rFonts w:ascii="仿宋_GB2312" w:eastAsia="仿宋_GB2312"/>
          <w:color w:val="FF0000"/>
          <w:sz w:val="32"/>
          <w:szCs w:val="32"/>
        </w:rPr>
      </w:pPr>
    </w:p>
    <w:p w14:paraId="6FC9B3FD">
      <w:pPr>
        <w:spacing w:line="600" w:lineRule="exact"/>
        <w:ind w:firstLine="640" w:firstLineChars="200"/>
        <w:rPr>
          <w:rFonts w:ascii="仿宋_GB2312" w:eastAsia="仿宋_GB2312"/>
          <w:color w:val="FF0000"/>
          <w:sz w:val="32"/>
          <w:szCs w:val="32"/>
        </w:rPr>
      </w:pPr>
    </w:p>
    <w:p w14:paraId="640EE0C5">
      <w:pPr>
        <w:spacing w:line="600" w:lineRule="exact"/>
        <w:ind w:firstLine="640" w:firstLineChars="200"/>
        <w:rPr>
          <w:rFonts w:ascii="仿宋_GB2312" w:eastAsia="仿宋_GB2312"/>
          <w:color w:val="FF0000"/>
          <w:sz w:val="32"/>
          <w:szCs w:val="32"/>
        </w:rPr>
      </w:pPr>
    </w:p>
    <w:p w14:paraId="01BD33D8">
      <w:pPr>
        <w:spacing w:line="600" w:lineRule="exact"/>
        <w:ind w:firstLine="640" w:firstLineChars="200"/>
        <w:rPr>
          <w:rFonts w:ascii="仿宋_GB2312" w:eastAsia="仿宋_GB2312"/>
          <w:color w:val="FF0000"/>
          <w:sz w:val="32"/>
          <w:szCs w:val="32"/>
        </w:rPr>
      </w:pPr>
    </w:p>
    <w:p w14:paraId="33BBC125">
      <w:pPr>
        <w:spacing w:line="600" w:lineRule="exact"/>
        <w:ind w:firstLine="640" w:firstLineChars="200"/>
        <w:rPr>
          <w:rFonts w:ascii="仿宋_GB2312" w:eastAsia="仿宋_GB2312"/>
          <w:color w:val="FF0000"/>
          <w:sz w:val="32"/>
          <w:szCs w:val="32"/>
        </w:rPr>
      </w:pPr>
    </w:p>
    <w:p w14:paraId="12487B04">
      <w:pPr>
        <w:spacing w:line="600" w:lineRule="exact"/>
        <w:rPr>
          <w:rFonts w:ascii="仿宋_GB2312" w:eastAsia="仿宋_GB2312"/>
          <w:color w:val="FF0000"/>
          <w:sz w:val="32"/>
          <w:szCs w:val="32"/>
        </w:rPr>
      </w:pPr>
    </w:p>
    <w:p w14:paraId="799F72E5">
      <w:pPr>
        <w:spacing w:line="600" w:lineRule="exact"/>
        <w:ind w:firstLine="640" w:firstLineChars="200"/>
        <w:outlineLvl w:val="1"/>
        <w:rPr>
          <w:rStyle w:val="26"/>
          <w:rFonts w:ascii="黑体" w:hAnsi="黑体" w:eastAsia="黑体"/>
          <w:b w:val="0"/>
        </w:rPr>
      </w:pPr>
      <w:bookmarkStart w:id="32" w:name="_Toc15377208"/>
      <w:bookmarkStart w:id="33"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2"/>
      <w:bookmarkEnd w:id="33"/>
    </w:p>
    <w:p w14:paraId="6ED049E3">
      <w:pPr>
        <w:ind w:firstLine="709"/>
        <w:rPr>
          <w:rFonts w:ascii="仿宋_GB2312" w:hAnsi="仿宋" w:eastAsia="仿宋_GB2312" w:cs="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21年财政拨款收、支总计1,511.84万元。与</w:t>
      </w:r>
      <w:r>
        <w:rPr>
          <w:rFonts w:ascii="仿宋" w:hAnsi="仿宋" w:eastAsia="仿宋"/>
          <w:color w:val="000000"/>
          <w:sz w:val="32"/>
          <w:szCs w:val="32"/>
        </w:rPr>
        <w:t>20</w:t>
      </w:r>
      <w:r>
        <w:rPr>
          <w:rFonts w:hint="eastAsia" w:ascii="仿宋" w:hAnsi="仿宋" w:eastAsia="仿宋"/>
          <w:color w:val="000000"/>
          <w:sz w:val="32"/>
          <w:szCs w:val="32"/>
        </w:rPr>
        <w:t>20年1686.22万元相比，</w:t>
      </w:r>
      <w:r>
        <w:rPr>
          <w:rFonts w:hint="eastAsia" w:ascii="仿宋" w:hAnsi="仿宋" w:eastAsia="仿宋"/>
          <w:sz w:val="32"/>
          <w:szCs w:val="32"/>
        </w:rPr>
        <w:t>财政拨款收、支总计各减少174.38万元，减少10.34</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s="仿宋"/>
          <w:color w:val="000000"/>
          <w:sz w:val="32"/>
          <w:szCs w:val="32"/>
        </w:rPr>
        <w:t>人员经费政策调整及实施项目的减少。</w:t>
      </w:r>
    </w:p>
    <w:p w14:paraId="3008B963">
      <w:pPr>
        <w:spacing w:line="600" w:lineRule="exact"/>
        <w:ind w:firstLine="160" w:firstLineChars="50"/>
        <w:rPr>
          <w:rFonts w:ascii="仿宋" w:hAnsi="仿宋" w:eastAsia="仿宋"/>
          <w:b/>
          <w:color w:val="00B050"/>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247650</wp:posOffset>
            </wp:positionH>
            <wp:positionV relativeFrom="paragraph">
              <wp:posOffset>368300</wp:posOffset>
            </wp:positionV>
            <wp:extent cx="5143500" cy="3095625"/>
            <wp:effectExtent l="19050" t="0" r="19050" b="0"/>
            <wp:wrapNone/>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rPr>
        <w:t>（图4：财政拨款收、支决算总计变动情况）（柱状图）</w:t>
      </w:r>
    </w:p>
    <w:p w14:paraId="79AF1A55">
      <w:pPr>
        <w:spacing w:line="600" w:lineRule="exact"/>
        <w:ind w:firstLine="640"/>
        <w:rPr>
          <w:rFonts w:ascii="仿宋" w:hAnsi="仿宋" w:eastAsia="仿宋"/>
          <w:b/>
          <w:color w:val="00B050"/>
          <w:sz w:val="32"/>
          <w:szCs w:val="32"/>
        </w:rPr>
      </w:pPr>
    </w:p>
    <w:p w14:paraId="3DEFCA57">
      <w:pPr>
        <w:spacing w:line="600" w:lineRule="exact"/>
        <w:ind w:firstLine="640"/>
        <w:rPr>
          <w:rFonts w:ascii="仿宋" w:hAnsi="仿宋" w:eastAsia="仿宋"/>
          <w:b/>
          <w:color w:val="00B050"/>
          <w:sz w:val="32"/>
          <w:szCs w:val="32"/>
        </w:rPr>
      </w:pPr>
    </w:p>
    <w:p w14:paraId="5134EF4D">
      <w:pPr>
        <w:spacing w:line="600" w:lineRule="exact"/>
        <w:ind w:firstLine="640"/>
        <w:rPr>
          <w:rFonts w:ascii="仿宋" w:hAnsi="仿宋" w:eastAsia="仿宋"/>
          <w:b/>
          <w:color w:val="00B050"/>
          <w:sz w:val="32"/>
          <w:szCs w:val="32"/>
        </w:rPr>
      </w:pPr>
    </w:p>
    <w:p w14:paraId="39CE86D3">
      <w:pPr>
        <w:spacing w:line="600" w:lineRule="exact"/>
        <w:ind w:firstLine="640"/>
        <w:rPr>
          <w:rFonts w:ascii="仿宋" w:hAnsi="仿宋" w:eastAsia="仿宋"/>
          <w:b/>
          <w:color w:val="00B050"/>
          <w:sz w:val="32"/>
          <w:szCs w:val="32"/>
        </w:rPr>
      </w:pPr>
    </w:p>
    <w:p w14:paraId="04061E9C">
      <w:pPr>
        <w:spacing w:line="600" w:lineRule="exact"/>
        <w:ind w:firstLine="640"/>
        <w:rPr>
          <w:rFonts w:ascii="仿宋" w:hAnsi="仿宋" w:eastAsia="仿宋"/>
          <w:b/>
          <w:color w:val="00B050"/>
          <w:sz w:val="32"/>
          <w:szCs w:val="32"/>
        </w:rPr>
      </w:pPr>
    </w:p>
    <w:p w14:paraId="50DB0D0C">
      <w:pPr>
        <w:spacing w:line="600" w:lineRule="exact"/>
        <w:ind w:firstLine="640"/>
        <w:rPr>
          <w:rFonts w:ascii="仿宋" w:hAnsi="仿宋" w:eastAsia="仿宋"/>
          <w:b/>
          <w:color w:val="00B050"/>
          <w:sz w:val="32"/>
          <w:szCs w:val="32"/>
        </w:rPr>
      </w:pPr>
    </w:p>
    <w:p w14:paraId="79E9CBDB">
      <w:pPr>
        <w:spacing w:line="600" w:lineRule="exact"/>
        <w:ind w:firstLine="640" w:firstLineChars="200"/>
        <w:outlineLvl w:val="1"/>
        <w:rPr>
          <w:rFonts w:ascii="黑体" w:hAnsi="黑体" w:eastAsia="黑体"/>
          <w:color w:val="000000"/>
          <w:sz w:val="32"/>
          <w:szCs w:val="32"/>
        </w:rPr>
      </w:pPr>
      <w:bookmarkStart w:id="34" w:name="_Toc15377210"/>
    </w:p>
    <w:p w14:paraId="179CF9B5">
      <w:pPr>
        <w:spacing w:line="600" w:lineRule="exact"/>
        <w:ind w:firstLine="640" w:firstLineChars="200"/>
        <w:outlineLvl w:val="1"/>
        <w:rPr>
          <w:rFonts w:ascii="黑体" w:hAnsi="黑体" w:eastAsia="黑体"/>
          <w:color w:val="000000"/>
          <w:sz w:val="32"/>
          <w:szCs w:val="32"/>
        </w:rPr>
      </w:pPr>
    </w:p>
    <w:p w14:paraId="3972B01C">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p>
    <w:p w14:paraId="203B90ED">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bookmarkEnd w:id="34"/>
    </w:p>
    <w:p w14:paraId="67F7F91E">
      <w:pPr>
        <w:ind w:firstLine="709"/>
        <w:rPr>
          <w:rFonts w:ascii="仿宋_GB2312" w:hAnsi="仿宋" w:eastAsia="仿宋_GB2312" w:cs="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21年一般公共预算财政拨款支出1,491.84万元，占本年支出合计1,562.54万元的95.48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20年1,581.58相比，一般公共预算财政拨款减少89.74万元</w:t>
      </w:r>
      <w:r>
        <w:rPr>
          <w:rFonts w:hint="eastAsia" w:ascii="仿宋" w:hAnsi="仿宋" w:eastAsia="仿宋"/>
          <w:sz w:val="32"/>
          <w:szCs w:val="32"/>
        </w:rPr>
        <w:t>，减少5.67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主要变动原因是贯彻执行厉行节约政策、节约公用经费及减少项目经费。</w:t>
      </w:r>
    </w:p>
    <w:p w14:paraId="79C130D6">
      <w:pPr>
        <w:spacing w:line="600" w:lineRule="exact"/>
        <w:ind w:firstLine="320" w:firstLineChars="1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5941DB95">
      <w:pPr>
        <w:spacing w:line="600" w:lineRule="exact"/>
        <w:ind w:firstLine="320" w:firstLineChars="100"/>
        <w:rPr>
          <w:rFonts w:ascii="仿宋" w:hAnsi="仿宋" w:eastAsia="仿宋"/>
          <w:color w:val="000000" w:themeColor="text1"/>
          <w:sz w:val="32"/>
          <w:szCs w:val="32"/>
        </w:rPr>
      </w:pPr>
    </w:p>
    <w:p w14:paraId="4C661307">
      <w:pPr>
        <w:spacing w:line="600" w:lineRule="exact"/>
        <w:ind w:firstLine="320" w:firstLineChars="100"/>
        <w:rPr>
          <w:rFonts w:ascii="仿宋" w:hAnsi="仿宋" w:eastAsia="仿宋"/>
          <w:color w:val="000000" w:themeColor="text1"/>
          <w:sz w:val="32"/>
          <w:szCs w:val="32"/>
        </w:rPr>
      </w:pPr>
    </w:p>
    <w:p w14:paraId="3EE94D33">
      <w:pPr>
        <w:spacing w:line="600" w:lineRule="exact"/>
        <w:ind w:firstLine="320" w:firstLineChars="100"/>
        <w:rPr>
          <w:rFonts w:ascii="仿宋" w:hAnsi="仿宋" w:eastAsia="仿宋"/>
          <w:color w:val="000000" w:themeColor="text1"/>
          <w:sz w:val="32"/>
          <w:szCs w:val="32"/>
        </w:rPr>
      </w:pPr>
    </w:p>
    <w:p w14:paraId="4DEC526C">
      <w:pPr>
        <w:spacing w:line="600" w:lineRule="exact"/>
        <w:ind w:firstLine="320" w:firstLineChars="100"/>
        <w:rPr>
          <w:rFonts w:ascii="仿宋" w:hAnsi="仿宋" w:eastAsia="仿宋"/>
          <w:color w:val="000000" w:themeColor="text1"/>
          <w:sz w:val="32"/>
          <w:szCs w:val="32"/>
        </w:rPr>
      </w:pPr>
    </w:p>
    <w:p w14:paraId="23A15C00">
      <w:pPr>
        <w:spacing w:line="600" w:lineRule="exact"/>
        <w:ind w:firstLine="643" w:firstLineChars="200"/>
        <w:outlineLvl w:val="2"/>
        <w:rPr>
          <w:rFonts w:ascii="仿宋" w:hAnsi="仿宋" w:eastAsia="仿宋"/>
          <w:b/>
          <w:color w:val="000000"/>
          <w:sz w:val="32"/>
          <w:szCs w:val="32"/>
        </w:rPr>
      </w:pPr>
    </w:p>
    <w:p w14:paraId="6D3F6392">
      <w:pPr>
        <w:spacing w:line="600" w:lineRule="exact"/>
        <w:ind w:firstLine="643" w:firstLineChars="200"/>
        <w:outlineLvl w:val="2"/>
        <w:rPr>
          <w:rFonts w:ascii="仿宋" w:hAnsi="仿宋" w:eastAsia="仿宋"/>
          <w:b/>
          <w:color w:val="000000"/>
          <w:sz w:val="32"/>
          <w:szCs w:val="32"/>
        </w:rPr>
      </w:pPr>
    </w:p>
    <w:p w14:paraId="366F979B">
      <w:pPr>
        <w:spacing w:line="600" w:lineRule="exact"/>
        <w:ind w:firstLine="643" w:firstLineChars="200"/>
        <w:outlineLvl w:val="2"/>
        <w:rPr>
          <w:rFonts w:ascii="仿宋" w:hAnsi="仿宋" w:eastAsia="仿宋"/>
          <w:b/>
          <w:color w:val="000000"/>
          <w:sz w:val="32"/>
          <w:szCs w:val="32"/>
        </w:rPr>
      </w:pPr>
      <w:r>
        <w:rPr>
          <w:rFonts w:ascii="仿宋" w:hAnsi="仿宋" w:eastAsia="仿宋"/>
          <w:b/>
          <w:color w:val="000000"/>
          <w:sz w:val="32"/>
          <w:szCs w:val="32"/>
        </w:rPr>
        <w:drawing>
          <wp:anchor distT="0" distB="0" distL="114300" distR="114300" simplePos="0" relativeHeight="251664384" behindDoc="0" locked="0" layoutInCell="1" allowOverlap="1">
            <wp:simplePos x="0" y="0"/>
            <wp:positionH relativeFrom="column">
              <wp:posOffset>-85725</wp:posOffset>
            </wp:positionH>
            <wp:positionV relativeFrom="paragraph">
              <wp:posOffset>-723900</wp:posOffset>
            </wp:positionV>
            <wp:extent cx="5095875" cy="2876550"/>
            <wp:effectExtent l="19050" t="0" r="9525" b="0"/>
            <wp:wrapNone/>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0DE05A7">
      <w:pPr>
        <w:spacing w:line="600" w:lineRule="exact"/>
        <w:ind w:firstLine="643" w:firstLineChars="200"/>
        <w:outlineLvl w:val="2"/>
        <w:rPr>
          <w:rFonts w:ascii="仿宋" w:hAnsi="仿宋" w:eastAsia="仿宋"/>
          <w:b/>
          <w:color w:val="000000"/>
          <w:sz w:val="32"/>
          <w:szCs w:val="32"/>
        </w:rPr>
      </w:pPr>
    </w:p>
    <w:p w14:paraId="2C609C76">
      <w:pPr>
        <w:spacing w:line="600" w:lineRule="exact"/>
        <w:ind w:firstLine="643" w:firstLineChars="200"/>
        <w:outlineLvl w:val="2"/>
        <w:rPr>
          <w:rFonts w:ascii="仿宋" w:hAnsi="仿宋" w:eastAsia="仿宋"/>
          <w:b/>
          <w:color w:val="000000"/>
          <w:sz w:val="32"/>
          <w:szCs w:val="32"/>
        </w:rPr>
      </w:pPr>
    </w:p>
    <w:p w14:paraId="5190E436">
      <w:pPr>
        <w:spacing w:line="600" w:lineRule="exact"/>
        <w:ind w:firstLine="643" w:firstLineChars="200"/>
        <w:outlineLvl w:val="2"/>
        <w:rPr>
          <w:rFonts w:ascii="仿宋" w:hAnsi="仿宋" w:eastAsia="仿宋"/>
          <w:b/>
          <w:color w:val="000000"/>
          <w:sz w:val="32"/>
          <w:szCs w:val="32"/>
        </w:rPr>
      </w:pPr>
    </w:p>
    <w:p w14:paraId="412AED0D">
      <w:pPr>
        <w:spacing w:line="600" w:lineRule="exact"/>
        <w:ind w:firstLine="643" w:firstLineChars="200"/>
        <w:outlineLvl w:val="2"/>
        <w:rPr>
          <w:rFonts w:ascii="仿宋" w:hAnsi="仿宋" w:eastAsia="仿宋"/>
          <w:b/>
          <w:color w:val="000000"/>
          <w:sz w:val="32"/>
          <w:szCs w:val="32"/>
        </w:rPr>
      </w:pPr>
    </w:p>
    <w:p w14:paraId="66EAA2C9">
      <w:pPr>
        <w:spacing w:line="600" w:lineRule="exact"/>
        <w:ind w:firstLine="643" w:firstLineChars="200"/>
        <w:outlineLvl w:val="2"/>
        <w:rPr>
          <w:rFonts w:ascii="仿宋" w:hAnsi="仿宋" w:eastAsia="仿宋"/>
          <w:b/>
          <w:color w:val="000000"/>
          <w:sz w:val="32"/>
          <w:szCs w:val="32"/>
        </w:rPr>
      </w:pPr>
      <w:bookmarkStart w:id="35" w:name="_Toc15377211"/>
    </w:p>
    <w:p w14:paraId="682A7B60">
      <w:pPr>
        <w:spacing w:line="600" w:lineRule="exact"/>
        <w:ind w:firstLine="469" w:firstLineChars="146"/>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14:paraId="2BC8F84B">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21年一般公共预算财</w:t>
      </w:r>
      <w:r>
        <w:rPr>
          <w:rFonts w:hint="eastAsia" w:ascii="仿宋" w:hAnsi="仿宋" w:eastAsia="仿宋"/>
          <w:color w:val="000000" w:themeColor="text1"/>
          <w:sz w:val="32"/>
          <w:szCs w:val="32"/>
        </w:rPr>
        <w:t>政拨款支出1,491.84万元，主要用于以下方面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支出1,225.05万元，占82.12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支出125.81万元，占8.43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7B4D36F5">
      <w:pPr>
        <w:spacing w:line="600" w:lineRule="exact"/>
        <w:rPr>
          <w:rFonts w:ascii="仿宋" w:hAnsi="仿宋" w:eastAsia="仿宋"/>
          <w:color w:val="000000" w:themeColor="text1"/>
          <w:sz w:val="32"/>
          <w:szCs w:val="32"/>
        </w:rPr>
      </w:pP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52.80万元，占3.54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住房保障支出</w:t>
      </w:r>
      <w:r>
        <w:rPr>
          <w:rFonts w:hint="eastAsia" w:ascii="仿宋" w:hAnsi="仿宋" w:eastAsia="仿宋"/>
          <w:color w:val="000000" w:themeColor="text1"/>
          <w:sz w:val="32"/>
          <w:szCs w:val="32"/>
        </w:rPr>
        <w:t>88.19万元，占5.91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 xml:space="preserve"> </w:t>
      </w:r>
    </w:p>
    <w:p w14:paraId="532FF11C">
      <w:pPr>
        <w:spacing w:line="600" w:lineRule="exact"/>
        <w:ind w:firstLine="480" w:firstLineChars="150"/>
        <w:jc w:val="left"/>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18B41137">
      <w:pPr>
        <w:spacing w:line="600" w:lineRule="exact"/>
        <w:ind w:firstLine="480" w:firstLineChars="150"/>
        <w:jc w:val="left"/>
        <w:rPr>
          <w:rFonts w:ascii="仿宋" w:hAnsi="仿宋" w:eastAsia="仿宋"/>
          <w:color w:val="000000"/>
          <w:sz w:val="32"/>
          <w:szCs w:val="32"/>
        </w:rPr>
      </w:pPr>
      <w:r>
        <w:rPr>
          <w:rFonts w:ascii="仿宋" w:hAnsi="仿宋" w:eastAsia="仿宋"/>
          <w:color w:val="000000"/>
          <w:sz w:val="32"/>
          <w:szCs w:val="32"/>
        </w:rPr>
        <w:drawing>
          <wp:anchor distT="0" distB="0" distL="0" distR="0" simplePos="0" relativeHeight="251665408" behindDoc="0" locked="0" layoutInCell="1" allowOverlap="1">
            <wp:simplePos x="0" y="0"/>
            <wp:positionH relativeFrom="column">
              <wp:posOffset>457200</wp:posOffset>
            </wp:positionH>
            <wp:positionV relativeFrom="paragraph">
              <wp:posOffset>34290</wp:posOffset>
            </wp:positionV>
            <wp:extent cx="4829175" cy="2743200"/>
            <wp:effectExtent l="19050" t="0" r="9525" b="0"/>
            <wp:wrapNone/>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067A3EB">
      <w:pPr>
        <w:spacing w:line="600" w:lineRule="exact"/>
        <w:ind w:firstLine="643" w:firstLineChars="200"/>
        <w:outlineLvl w:val="2"/>
        <w:rPr>
          <w:rFonts w:ascii="仿宋" w:hAnsi="仿宋" w:eastAsia="仿宋"/>
          <w:b/>
          <w:color w:val="000000"/>
          <w:sz w:val="32"/>
          <w:szCs w:val="32"/>
        </w:rPr>
      </w:pPr>
    </w:p>
    <w:p w14:paraId="54415669">
      <w:pPr>
        <w:spacing w:line="600" w:lineRule="exact"/>
        <w:ind w:firstLine="643" w:firstLineChars="200"/>
        <w:outlineLvl w:val="2"/>
        <w:rPr>
          <w:rFonts w:ascii="仿宋" w:hAnsi="仿宋" w:eastAsia="仿宋"/>
          <w:b/>
          <w:color w:val="000000"/>
          <w:sz w:val="32"/>
          <w:szCs w:val="32"/>
        </w:rPr>
      </w:pPr>
    </w:p>
    <w:p w14:paraId="79AC6E16">
      <w:pPr>
        <w:spacing w:line="600" w:lineRule="exact"/>
        <w:ind w:firstLine="643" w:firstLineChars="200"/>
        <w:outlineLvl w:val="2"/>
        <w:rPr>
          <w:rFonts w:ascii="仿宋" w:hAnsi="仿宋" w:eastAsia="仿宋"/>
          <w:b/>
          <w:color w:val="000000"/>
          <w:sz w:val="32"/>
          <w:szCs w:val="32"/>
        </w:rPr>
      </w:pPr>
    </w:p>
    <w:p w14:paraId="1D944A36">
      <w:pPr>
        <w:spacing w:line="600" w:lineRule="exact"/>
        <w:ind w:firstLine="643" w:firstLineChars="200"/>
        <w:outlineLvl w:val="2"/>
        <w:rPr>
          <w:rFonts w:ascii="仿宋" w:hAnsi="仿宋" w:eastAsia="仿宋"/>
          <w:b/>
          <w:color w:val="000000"/>
          <w:sz w:val="32"/>
          <w:szCs w:val="32"/>
        </w:rPr>
      </w:pPr>
    </w:p>
    <w:p w14:paraId="63AC2B28">
      <w:pPr>
        <w:spacing w:line="600" w:lineRule="exact"/>
        <w:ind w:firstLine="643" w:firstLineChars="200"/>
        <w:outlineLvl w:val="2"/>
        <w:rPr>
          <w:rFonts w:ascii="仿宋" w:hAnsi="仿宋" w:eastAsia="仿宋"/>
          <w:b/>
          <w:color w:val="000000"/>
          <w:sz w:val="32"/>
          <w:szCs w:val="32"/>
        </w:rPr>
      </w:pPr>
    </w:p>
    <w:p w14:paraId="3EEB1DFC">
      <w:pPr>
        <w:spacing w:line="600" w:lineRule="exact"/>
        <w:ind w:firstLine="643" w:firstLineChars="200"/>
        <w:outlineLvl w:val="2"/>
        <w:rPr>
          <w:rFonts w:ascii="仿宋" w:hAnsi="仿宋" w:eastAsia="仿宋"/>
          <w:b/>
          <w:color w:val="000000"/>
          <w:sz w:val="32"/>
          <w:szCs w:val="32"/>
        </w:rPr>
      </w:pPr>
    </w:p>
    <w:p w14:paraId="4DF026B4">
      <w:pPr>
        <w:spacing w:line="600" w:lineRule="exact"/>
        <w:ind w:firstLine="643" w:firstLineChars="200"/>
        <w:outlineLvl w:val="2"/>
        <w:rPr>
          <w:rFonts w:ascii="仿宋" w:hAnsi="仿宋" w:eastAsia="仿宋"/>
          <w:b/>
          <w:color w:val="000000"/>
          <w:sz w:val="32"/>
          <w:szCs w:val="32"/>
        </w:rPr>
      </w:pPr>
    </w:p>
    <w:p w14:paraId="3EE5CF9B">
      <w:pPr>
        <w:spacing w:line="600" w:lineRule="exact"/>
        <w:ind w:firstLine="643" w:firstLineChars="200"/>
        <w:outlineLvl w:val="2"/>
        <w:rPr>
          <w:rFonts w:ascii="仿宋" w:hAnsi="仿宋" w:eastAsia="仿宋"/>
          <w:b/>
          <w:color w:val="000000"/>
          <w:sz w:val="32"/>
          <w:szCs w:val="32"/>
        </w:rPr>
      </w:pPr>
    </w:p>
    <w:p w14:paraId="0D7A95A9">
      <w:pPr>
        <w:spacing w:line="600" w:lineRule="exact"/>
        <w:outlineLvl w:val="2"/>
        <w:rPr>
          <w:rFonts w:ascii="仿宋" w:hAnsi="仿宋" w:eastAsia="仿宋"/>
          <w:b/>
          <w:color w:val="000000"/>
          <w:sz w:val="32"/>
          <w:szCs w:val="32"/>
        </w:rPr>
      </w:pPr>
    </w:p>
    <w:p w14:paraId="55B5A67E">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797EFF9F">
      <w:pPr>
        <w:spacing w:line="600" w:lineRule="exact"/>
        <w:ind w:firstLine="640" w:firstLineChars="200"/>
        <w:outlineLvl w:val="2"/>
        <w:rPr>
          <w:rStyle w:val="15"/>
          <w:bCs/>
          <w:color w:val="000000"/>
        </w:rPr>
      </w:pPr>
      <w:bookmarkStart w:id="37" w:name="_Toc15377213"/>
      <w:bookmarkStart w:id="38" w:name="_Toc15378460"/>
      <w:bookmarkStart w:id="39" w:name="_Toc15377444"/>
      <w:r>
        <w:rPr>
          <w:rStyle w:val="15"/>
          <w:rFonts w:hint="eastAsia" w:ascii="仿宋" w:hAnsi="仿宋" w:eastAsia="仿宋"/>
          <w:b w:val="0"/>
          <w:bCs/>
          <w:color w:val="000000"/>
          <w:sz w:val="32"/>
          <w:szCs w:val="32"/>
        </w:rPr>
        <w:t>2021年一般公共预算支出决算数为1,491.84万元</w:t>
      </w:r>
      <w:r>
        <w:rPr>
          <w:rStyle w:val="15"/>
          <w:rFonts w:hint="eastAsia"/>
          <w:bCs/>
          <w:color w:val="000000"/>
        </w:rPr>
        <w:t>，</w:t>
      </w:r>
      <w:r>
        <w:rPr>
          <w:rStyle w:val="15"/>
          <w:rFonts w:hint="eastAsia" w:ascii="仿宋" w:hAnsi="仿宋" w:eastAsia="仿宋"/>
          <w:b w:val="0"/>
          <w:bCs/>
          <w:color w:val="000000"/>
          <w:sz w:val="32"/>
          <w:szCs w:val="32"/>
        </w:rPr>
        <w:t>完成调整预算的100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。其中：</w:t>
      </w:r>
      <w:bookmarkEnd w:id="37"/>
      <w:bookmarkEnd w:id="38"/>
      <w:bookmarkEnd w:id="39"/>
    </w:p>
    <w:p w14:paraId="3DC16069">
      <w:pPr>
        <w:numPr>
          <w:ilvl w:val="0"/>
          <w:numId w:val="3"/>
        </w:num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一般公共服务（类）财政事务（款）行政运行（项）</w:t>
      </w:r>
      <w:r>
        <w:rPr>
          <w:rStyle w:val="15"/>
          <w:rFonts w:hint="eastAsia" w:ascii="仿宋" w:hAnsi="仿宋" w:eastAsia="仿宋"/>
          <w:b w:val="0"/>
          <w:bCs/>
          <w:color w:val="000000"/>
          <w:sz w:val="32"/>
          <w:szCs w:val="32"/>
        </w:rPr>
        <w:t>2010601</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支出决算为513.32万元，完成调整预算100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C3C5B7D">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一般公共服务（类）财政事务（款）一般行政管理事务（项）2010602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支出决算92.75万元，完成调整预算100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E15B29B">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一般公共服务（类）财政事务（款）信息化建设（项）2010607</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支出决算为37.53万元，完成调整预算100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1C03340E">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一般公共服务（类）财政事务（款）财政委托业务费支出（项）2010608</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支出决算为354.76万元，完成调整预算100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63E6BD6">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一般公共服务（类）财政事务（款）事业运行（项）2010650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支出决算为216.82万元，完成调整预算100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607675A">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一般公共服务（类）财政事务（款）其他财政事务支出（项）2010699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支出决算9.87万元，完成调整预算100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6EB2520E">
      <w:pPr>
        <w:numPr>
          <w:ilvl w:val="0"/>
          <w:numId w:val="3"/>
        </w:numPr>
        <w:spacing w:line="600" w:lineRule="exact"/>
        <w:ind w:firstLine="640" w:firstLineChars="200"/>
        <w:rPr>
          <w:rStyle w:val="15"/>
          <w:bCs/>
        </w:rPr>
      </w:pPr>
      <w:r>
        <w:rPr>
          <w:rStyle w:val="15"/>
          <w:rFonts w:hint="eastAsia" w:ascii="仿宋" w:hAnsi="仿宋" w:eastAsia="仿宋"/>
          <w:b w:val="0"/>
          <w:bCs/>
          <w:color w:val="000000"/>
          <w:sz w:val="32"/>
          <w:szCs w:val="32"/>
        </w:rPr>
        <w:t>社会保障和就业（类）行政事业单位养老支出（款）行政单位离退休（项）2080501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支出决算为40.19万元，完成调整预算100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AF797BE">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社会保障和就业（类）行政事业单位养老支出（款）机关事业单位基本养老保险缴费支出（项）2080505</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支出决算为65.27万元，完成调整预算100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A2177BE">
      <w:pPr>
        <w:numPr>
          <w:ilvl w:val="0"/>
          <w:numId w:val="3"/>
        </w:numPr>
        <w:spacing w:line="600" w:lineRule="exact"/>
        <w:ind w:firstLine="640" w:firstLineChars="200"/>
        <w:rPr>
          <w:rStyle w:val="15"/>
          <w:bCs/>
        </w:rPr>
      </w:pPr>
      <w:r>
        <w:rPr>
          <w:rStyle w:val="15"/>
          <w:rFonts w:hint="eastAsia" w:ascii="仿宋" w:hAnsi="仿宋" w:eastAsia="仿宋"/>
          <w:b w:val="0"/>
          <w:bCs/>
          <w:color w:val="000000"/>
          <w:sz w:val="32"/>
          <w:szCs w:val="32"/>
        </w:rPr>
        <w:t>社会保障和就业（类）行政事业单位养老支出（款）机关事业单位职业年金缴费支出（项）2080506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支出决算为20.35万元，完成调整预算100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6959ABCE">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卫生健康支出（类）行政事业单位医疗（款）行政单位医疗（项）2101101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支出决算为32.48万元，完成调整预算100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77B085F">
      <w:pPr>
        <w:numPr>
          <w:ilvl w:val="0"/>
          <w:numId w:val="3"/>
        </w:num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卫生健康支出（类）行政事业单位医疗（款）事业单位医疗（项）2101102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支出决算为13.98万元，完成调整预算100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C2D8CB3">
      <w:pPr>
        <w:numPr>
          <w:ilvl w:val="0"/>
          <w:numId w:val="3"/>
        </w:numPr>
        <w:spacing w:line="600" w:lineRule="exact"/>
        <w:ind w:firstLine="640" w:firstLineChars="200"/>
        <w:rPr>
          <w:rStyle w:val="15"/>
          <w:bCs/>
        </w:rPr>
      </w:pPr>
      <w:r>
        <w:rPr>
          <w:rStyle w:val="15"/>
          <w:rFonts w:hint="eastAsia" w:ascii="仿宋" w:hAnsi="仿宋" w:eastAsia="仿宋"/>
          <w:b w:val="0"/>
          <w:bCs/>
          <w:color w:val="000000"/>
          <w:sz w:val="32"/>
          <w:szCs w:val="32"/>
        </w:rPr>
        <w:t>卫生健康支出（类）行政事业单位医疗（款）公务员医疗补助（项）2101103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支出决算为6.34万元，完成调整预算100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4FB8C6A">
      <w:pPr>
        <w:numPr>
          <w:ilvl w:val="0"/>
          <w:numId w:val="3"/>
        </w:numPr>
        <w:spacing w:line="600" w:lineRule="exact"/>
        <w:ind w:firstLine="640" w:firstLineChars="200"/>
        <w:rPr>
          <w:rStyle w:val="15"/>
          <w:bCs/>
        </w:rPr>
      </w:pPr>
      <w:r>
        <w:rPr>
          <w:rStyle w:val="15"/>
          <w:rFonts w:hint="eastAsia" w:ascii="仿宋" w:hAnsi="仿宋" w:eastAsia="仿宋"/>
          <w:b w:val="0"/>
          <w:bCs/>
          <w:color w:val="000000"/>
          <w:sz w:val="32"/>
          <w:szCs w:val="32"/>
        </w:rPr>
        <w:t>住房保障支出（类）住房改革支出（款）住房公积金（项）2210201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支出决算为88.19万元，完成调整预算100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4213764">
      <w:pPr>
        <w:tabs>
          <w:tab w:val="right" w:pos="8306"/>
        </w:tabs>
        <w:spacing w:line="600" w:lineRule="exact"/>
        <w:ind w:firstLine="640"/>
        <w:outlineLvl w:val="1"/>
        <w:rPr>
          <w:rFonts w:ascii="黑体" w:hAnsi="黑体" w:eastAsia="黑体"/>
          <w:b/>
          <w:bCs/>
          <w:color w:val="000000"/>
          <w:sz w:val="32"/>
          <w:szCs w:val="32"/>
        </w:rPr>
      </w:pPr>
      <w:bookmarkStart w:id="40" w:name="_Toc15396608"/>
      <w:bookmarkStart w:id="41" w:name="_Toc15377214"/>
      <w:r>
        <w:rPr>
          <w:rFonts w:hint="eastAsia" w:ascii="黑体" w:hAnsi="黑体" w:eastAsia="黑体"/>
          <w:color w:val="000000"/>
          <w:sz w:val="32"/>
          <w:szCs w:val="32"/>
        </w:rPr>
        <w:t>六、一</w:t>
      </w:r>
      <w:r>
        <w:rPr>
          <w:rFonts w:hint="eastAsia" w:ascii="黑体" w:hAnsi="黑体" w:eastAsia="黑体"/>
          <w:bCs/>
          <w:color w:val="000000"/>
          <w:sz w:val="32"/>
          <w:szCs w:val="32"/>
        </w:rPr>
        <w:t>般公共预算财政拨款基本支出决算情况说明</w:t>
      </w:r>
      <w:bookmarkEnd w:id="40"/>
      <w:bookmarkEnd w:id="41"/>
      <w:r>
        <w:rPr>
          <w:rFonts w:ascii="黑体" w:hAnsi="黑体" w:eastAsia="黑体"/>
          <w:bCs/>
          <w:color w:val="000000"/>
          <w:sz w:val="32"/>
          <w:szCs w:val="32"/>
        </w:rPr>
        <w:tab/>
      </w:r>
    </w:p>
    <w:p w14:paraId="717B62E1">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21年一般公共预算财政拨款基本支出996.93万元，其中：</w:t>
      </w:r>
    </w:p>
    <w:p w14:paraId="63C087D4">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911.25万元，主要包括：基本工资207.36万元、津贴补贴188.71万元、奖金143.09万元、绩效工资79.24万元、机关事业单位基本养老保险缴费65.27万元、职业年金缴费20.35万元、职工基本医疗保险缴费46.45万元、公务员医疗补助缴费6.34万元、其他社会保障缴费1.78万元、住房公积金88.19万元、其他工资福利支出26.52万元、生活补助37.95万元。</w:t>
      </w:r>
      <w:r>
        <w:rPr>
          <w:rFonts w:ascii="仿宋" w:hAnsi="仿宋" w:eastAsia="仿宋"/>
          <w:color w:val="000000"/>
          <w:sz w:val="32"/>
          <w:szCs w:val="32"/>
        </w:rPr>
        <w:br w:type="textWrapping"/>
      </w:r>
      <w:r>
        <w:rPr>
          <w:rFonts w:hint="eastAsia" w:ascii="仿宋" w:hAnsi="仿宋" w:eastAsia="仿宋"/>
          <w:color w:val="000000"/>
          <w:sz w:val="32"/>
          <w:szCs w:val="32"/>
        </w:rPr>
        <w:t>　　日常公用经费85.68万元，主要包括：办公费1.14万元、水费0.24万元、电费2.45万元、邮电费3.89万元、差旅费18.63万元、会议费0.06万元、培训费3.64万元、公务接待费0.76万元、工会经费8.13万元、福利费2.26万元、其他交通费30.8万元、其他商品和服务支出13.68万元。</w:t>
      </w:r>
    </w:p>
    <w:p w14:paraId="4F22D10B">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14:paraId="29EE3BE6">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D434016">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21年“三公”经费财政拨款支出决算为0.76万元，完成预算的9.87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。决算数小于预算数的主要原因是节约公务接待费。</w:t>
      </w:r>
    </w:p>
    <w:p w14:paraId="1C917C67">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3E0E9D93">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21年“三公”经费财政拨款支出决算中，因公出国（境）费支出决算0万元，占0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；公务接待费支出决算0.76万元，占100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A2884E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06E8AF4C">
      <w:pPr>
        <w:spacing w:line="600" w:lineRule="exact"/>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6432" behindDoc="0" locked="0" layoutInCell="1" allowOverlap="1">
            <wp:simplePos x="0" y="0"/>
            <wp:positionH relativeFrom="column">
              <wp:posOffset>504825</wp:posOffset>
            </wp:positionH>
            <wp:positionV relativeFrom="paragraph">
              <wp:posOffset>5715</wp:posOffset>
            </wp:positionV>
            <wp:extent cx="4067175" cy="2733675"/>
            <wp:effectExtent l="19050" t="0" r="9525"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996349F">
      <w:pPr>
        <w:spacing w:line="600" w:lineRule="exact"/>
        <w:ind w:firstLine="640"/>
        <w:rPr>
          <w:rFonts w:ascii="仿宋" w:hAnsi="仿宋" w:eastAsia="仿宋"/>
          <w:color w:val="000000"/>
          <w:sz w:val="32"/>
          <w:szCs w:val="32"/>
        </w:rPr>
      </w:pPr>
    </w:p>
    <w:p w14:paraId="4527E0C7">
      <w:pPr>
        <w:spacing w:line="600" w:lineRule="exact"/>
        <w:ind w:firstLine="640"/>
        <w:rPr>
          <w:rFonts w:ascii="仿宋" w:hAnsi="仿宋" w:eastAsia="仿宋"/>
          <w:color w:val="000000"/>
          <w:sz w:val="32"/>
          <w:szCs w:val="32"/>
        </w:rPr>
      </w:pPr>
    </w:p>
    <w:p w14:paraId="2CCD5F1E">
      <w:pPr>
        <w:spacing w:line="600" w:lineRule="exact"/>
        <w:ind w:firstLine="640"/>
        <w:rPr>
          <w:rFonts w:ascii="仿宋" w:hAnsi="仿宋" w:eastAsia="仿宋"/>
          <w:color w:val="000000"/>
          <w:sz w:val="32"/>
          <w:szCs w:val="32"/>
        </w:rPr>
      </w:pPr>
    </w:p>
    <w:p w14:paraId="0010C878">
      <w:pPr>
        <w:spacing w:line="600" w:lineRule="exact"/>
        <w:ind w:firstLine="640"/>
        <w:rPr>
          <w:rFonts w:ascii="仿宋" w:hAnsi="仿宋" w:eastAsia="仿宋"/>
          <w:color w:val="000000"/>
          <w:sz w:val="32"/>
          <w:szCs w:val="32"/>
        </w:rPr>
      </w:pPr>
    </w:p>
    <w:p w14:paraId="5272B402">
      <w:pPr>
        <w:spacing w:line="600" w:lineRule="exact"/>
        <w:ind w:firstLine="640"/>
        <w:rPr>
          <w:rStyle w:val="15"/>
          <w:rFonts w:ascii="仿宋" w:hAnsi="仿宋" w:eastAsia="仿宋"/>
          <w:b w:val="0"/>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 xml:space="preserve"> 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14:paraId="1F71F77D">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 xml:space="preserve"> 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1845105">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0万元。全年按规定更新购置公务用车0辆，其中：轿车0辆、金额0万元，越野车0辆、金额0万元，小型载客汽车0辆、金额0万元，大中型载客汽车0辆、金额0万元，其他车型0辆、金额0万元。截至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月底，本单位共有公务用车0辆，其中：轿车0辆、越野车0辆、小型载客汽车0辆、大中型载客汽车0辆、其他车型0辆。</w:t>
      </w:r>
    </w:p>
    <w:p w14:paraId="3FDA560D">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0764B53A">
      <w:pPr>
        <w:snapToGrid w:val="0"/>
        <w:spacing w:line="520" w:lineRule="exact"/>
        <w:ind w:firstLine="643" w:firstLineChars="200"/>
        <w:rPr>
          <w:rFonts w:ascii="仿宋_GB2312" w:hAnsi="仿宋" w:eastAsia="仿宋_GB2312"/>
          <w:b/>
          <w:i/>
          <w:sz w:val="32"/>
          <w:szCs w:val="32"/>
          <w:highlight w:val="yellow"/>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0.76万元，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20年0.74万元</w:t>
      </w:r>
      <w:r>
        <w:rPr>
          <w:rFonts w:hint="eastAsia" w:ascii="仿宋_GB2312" w:hAnsi="仿宋" w:eastAsia="仿宋_GB2312"/>
          <w:sz w:val="32"/>
          <w:szCs w:val="32"/>
        </w:rPr>
        <w:t>增加</w:t>
      </w:r>
      <w:r>
        <w:rPr>
          <w:rFonts w:hint="eastAsia" w:ascii="仿宋_GB2312" w:eastAsia="仿宋_GB2312"/>
          <w:color w:val="000000"/>
          <w:sz w:val="32"/>
          <w:szCs w:val="32"/>
        </w:rPr>
        <w:t>0.02万元，上升2.7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hAnsi="仿宋" w:eastAsia="仿宋_GB2312"/>
          <w:sz w:val="32"/>
          <w:szCs w:val="32"/>
        </w:rPr>
        <w:t>主要原因为接待人次相比上年度增加。</w:t>
      </w:r>
    </w:p>
    <w:p w14:paraId="0B9AC6CB">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p>
    <w:p w14:paraId="7FF4E116">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0.76</w:t>
      </w:r>
      <w:r>
        <w:rPr>
          <w:rFonts w:hint="eastAsia" w:ascii="仿宋_GB2312" w:eastAsia="仿宋_GB2312"/>
          <w:color w:val="000000"/>
          <w:sz w:val="32"/>
          <w:szCs w:val="32"/>
        </w:rPr>
        <w:t>万元，主要用于执行公务、开展业务活动开支的用餐费。国内公务接待7批次，50人次（不包括陪同人员），共计支出0.76万元，具体内容包括：</w:t>
      </w:r>
    </w:p>
    <w:p w14:paraId="12963E81">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接待直达资金常态化监督督导就餐费0.03万元;</w:t>
      </w:r>
    </w:p>
    <w:p w14:paraId="17776FB8">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接待交流乡镇管理工作及体制就餐费0.05万元;</w:t>
      </w:r>
    </w:p>
    <w:p w14:paraId="2B0D54C4">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接待调研非税收入及财政票据管理就餐费0.08万元;</w:t>
      </w:r>
    </w:p>
    <w:p w14:paraId="56F05D63">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接待全省乡村振兴现场会调研就餐费0.1万元;</w:t>
      </w:r>
    </w:p>
    <w:p w14:paraId="4C1354FD">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接待基层财政建设和治理能力专题调研就餐费0.19万元;</w:t>
      </w:r>
    </w:p>
    <w:p w14:paraId="4E6CF1D0">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接待粮食购销领域专项检查就餐费0.16万元;</w:t>
      </w:r>
    </w:p>
    <w:p w14:paraId="3724AE89">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接待粮食购销领域专项检查就餐费0.15万元;</w:t>
      </w:r>
    </w:p>
    <w:p w14:paraId="4C6D299F">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63727733">
      <w:pPr>
        <w:spacing w:line="600" w:lineRule="exact"/>
        <w:ind w:firstLine="640"/>
        <w:outlineLvl w:val="1"/>
        <w:rPr>
          <w:rStyle w:val="26"/>
          <w:rFonts w:ascii="黑体" w:hAnsi="黑体" w:eastAsia="黑体"/>
        </w:rPr>
      </w:pPr>
      <w:bookmarkStart w:id="46" w:name="_Toc15396610"/>
      <w:bookmarkStart w:id="47" w:name="_Toc15377218"/>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14:paraId="239ABF7C">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21年政府性基金预算拨款支出20万元。</w:t>
      </w:r>
    </w:p>
    <w:p w14:paraId="0C2C8E41">
      <w:pPr>
        <w:numPr>
          <w:ilvl w:val="0"/>
          <w:numId w:val="4"/>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14:paraId="22E3CEEB">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21年国有资本经营预算拨款支出0万元。</w:t>
      </w:r>
    </w:p>
    <w:p w14:paraId="7F5B3E9D">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14:paraId="790E3484">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403C0162">
      <w:pPr>
        <w:spacing w:line="579" w:lineRule="exact"/>
        <w:ind w:firstLine="640"/>
        <w:rPr>
          <w:rFonts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rPr>
        <w:t>21年，仁和区财政局机关运行经费支出85.68万元，比</w:t>
      </w:r>
      <w:r>
        <w:rPr>
          <w:rFonts w:ascii="仿宋_GB2312" w:eastAsia="仿宋_GB2312"/>
          <w:color w:val="000000"/>
          <w:sz w:val="32"/>
          <w:szCs w:val="32"/>
        </w:rPr>
        <w:t>20</w:t>
      </w:r>
      <w:r>
        <w:rPr>
          <w:rFonts w:hint="eastAsia" w:ascii="仿宋_GB2312" w:eastAsia="仿宋_GB2312"/>
          <w:color w:val="000000"/>
          <w:sz w:val="32"/>
          <w:szCs w:val="32"/>
        </w:rPr>
        <w:t>20年93.60万元，减少7.92万元，下降8.46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主要原因是本年度我单位组织的会议、培训次数减少，从而减少水、电、办公用品等支出。</w:t>
      </w:r>
    </w:p>
    <w:p w14:paraId="1691A44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5952208B">
      <w:pPr>
        <w:spacing w:line="600" w:lineRule="exact"/>
        <w:ind w:firstLine="640" w:firstLineChars="200"/>
        <w:rPr>
          <w:rFonts w:ascii="仿宋_GB2312" w:eastAsia="仿宋_GB2312"/>
          <w:color w:val="FF0000"/>
          <w:sz w:val="32"/>
          <w:szCs w:val="32"/>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21年，仁和区财政局政府采购支出总额8.84万元，其中：政府采购货物支出8.84万元，政府采购服务支出0万元。主要用于办公设备的购置</w:t>
      </w:r>
      <w:r>
        <w:rPr>
          <w:rFonts w:hint="eastAsia" w:ascii="仿宋_GB2312" w:eastAsia="仿宋_GB2312"/>
          <w:color w:val="000000"/>
          <w:sz w:val="32"/>
          <w:szCs w:val="32"/>
        </w:rPr>
        <w:t>。</w:t>
      </w:r>
      <w:r>
        <w:rPr>
          <w:rFonts w:hint="eastAsia" w:ascii="仿宋_GB2312" w:eastAsia="仿宋_GB2312"/>
          <w:color w:val="000000" w:themeColor="text1"/>
          <w:sz w:val="32"/>
          <w:szCs w:val="32"/>
        </w:rPr>
        <w:t>授予中小企业合同金额8.84元，占政府采购支出总</w:t>
      </w:r>
      <w:r>
        <w:rPr>
          <w:rFonts w:hint="eastAsia" w:ascii="仿宋_GB2312" w:eastAsia="仿宋_GB2312"/>
          <w:color w:val="000000"/>
          <w:sz w:val="32"/>
          <w:szCs w:val="32"/>
        </w:rPr>
        <w:t>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，其中：授予小微企业合同金额8.84万元，占政府采购支出总额的100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14:paraId="19E46AA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35311CA8">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仁和区财政局共有车辆0辆，其中：副部（省）级及以上领导用车0辆、主要领导干部用车0辆、机要通信用车0辆、应急保障用车0辆、应急保障用车0辆、执法执勤用车0辆、特种专业技术用车0辆、离退休干部用车0辆、其他用车0辆。</w:t>
      </w:r>
    </w:p>
    <w:p w14:paraId="490099D8">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034ED458">
      <w:pPr>
        <w:autoSpaceDE w:val="0"/>
        <w:autoSpaceDN w:val="0"/>
        <w:adjustRightInd w:val="0"/>
        <w:spacing w:line="600" w:lineRule="exact"/>
        <w:ind w:firstLine="643" w:firstLineChars="200"/>
        <w:jc w:val="left"/>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78D6D8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年初预算编制阶段，组织对全金财网网络租赁费、财政指标管理软件运行维护费、地方政府融资全区平台债务和政府中长期支出事项检测平台维护费、区委托代理记账服务费等14个项目开展了预算事前绩效评估，对16个项目编制了绩效目标，预算执行过程中，选取16个项目开展绩效监控，年终执行完毕后，对16个项目开展了绩效目标完成情况自评。同时，本部门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年部门整体开展绩效自评，《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年仁和区财政局部门整体绩效评价报告》见附件（第四部分）。</w:t>
      </w:r>
    </w:p>
    <w:p w14:paraId="109FE829">
      <w:pPr>
        <w:ind w:firstLine="640" w:firstLineChars="200"/>
        <w:rPr>
          <w:rFonts w:ascii="仿宋_GB2312" w:hAnsi="仿宋_GB2312" w:eastAsia="仿宋_GB2312" w:cs="仿宋_GB2312"/>
          <w:i/>
          <w:kern w:val="0"/>
          <w:sz w:val="32"/>
          <w:szCs w:val="32"/>
        </w:rPr>
      </w:pPr>
    </w:p>
    <w:p w14:paraId="1269F3EB">
      <w:pPr>
        <w:spacing w:line="580" w:lineRule="exact"/>
        <w:ind w:firstLine="643" w:firstLineChars="200"/>
        <w:rPr>
          <w:rFonts w:ascii="仿宋_GB2312" w:eastAsia="仿宋_GB2312"/>
          <w:b/>
          <w:color w:val="000000"/>
          <w:sz w:val="32"/>
          <w:szCs w:val="32"/>
        </w:rPr>
      </w:pPr>
    </w:p>
    <w:p w14:paraId="170BB46B">
      <w:pPr>
        <w:numPr>
          <w:ilvl w:val="0"/>
          <w:numId w:val="5"/>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14:paraId="2A73FF32">
      <w:pPr>
        <w:spacing w:line="600" w:lineRule="exact"/>
        <w:jc w:val="left"/>
        <w:rPr>
          <w:rFonts w:ascii="宋体"/>
          <w:b/>
          <w:color w:val="000000"/>
          <w:sz w:val="44"/>
          <w:szCs w:val="44"/>
        </w:rPr>
      </w:pPr>
    </w:p>
    <w:p w14:paraId="222CCB80">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80B3CBB">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0FE98333">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5790E95D">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其他收入：指单位取得的除上述收入以外的各项收入。主要是收青鹏人才支持资金1万元。</w:t>
      </w:r>
    </w:p>
    <w:p w14:paraId="1B9866F1">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 xml:space="preserve"> 使用非财政拨款结余：指事业单位使用以前年度积累的非财政拨款结余弥补当年收支差额的金额。</w:t>
      </w:r>
      <w:r>
        <w:rPr>
          <w:rFonts w:ascii="仿宋_GB2312" w:eastAsia="仿宋_GB2312"/>
          <w:sz w:val="32"/>
          <w:szCs w:val="32"/>
        </w:rPr>
        <w:t xml:space="preserve"> </w:t>
      </w:r>
    </w:p>
    <w:p w14:paraId="48B59F5D">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57F324B">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505CDA4E">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45B6E71A">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一般公共服务（类）财政事务（款）行政运行（项）:指行政单位（包括实行公务员管理的事业单位）的基本支出。</w:t>
      </w:r>
    </w:p>
    <w:p w14:paraId="65C668E2">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一般公共服务（类）财政事务（款）一般行政管理事务（项）: 指行政单位（包括实行公务员管理的事业单位）未单独设置项级科目的其他项目支出。</w:t>
      </w:r>
    </w:p>
    <w:p w14:paraId="4D0B199E">
      <w:pPr>
        <w:ind w:firstLine="640" w:firstLineChars="200"/>
        <w:rPr>
          <w:rFonts w:ascii="仿宋_GB2312" w:eastAsia="仿宋_GB2312"/>
          <w:color w:val="000000"/>
          <w:sz w:val="32"/>
          <w:szCs w:val="32"/>
        </w:rPr>
      </w:pPr>
      <w:r>
        <w:rPr>
          <w:rFonts w:hint="eastAsia" w:ascii="仿宋_GB2312" w:eastAsia="仿宋_GB2312"/>
          <w:color w:val="000000"/>
          <w:sz w:val="32"/>
          <w:szCs w:val="32"/>
        </w:rPr>
        <w:t>11、一般公共服务（类）财政事务（款）信息化建设（项）: 指反映财政部门用于信息化建设方面的支出。</w:t>
      </w:r>
    </w:p>
    <w:p w14:paraId="793808E5">
      <w:pPr>
        <w:ind w:firstLine="640" w:firstLineChars="200"/>
        <w:rPr>
          <w:rFonts w:ascii="仿宋_GB2312" w:eastAsia="仿宋_GB2312"/>
          <w:color w:val="000000"/>
          <w:sz w:val="32"/>
          <w:szCs w:val="32"/>
        </w:rPr>
      </w:pPr>
      <w:r>
        <w:rPr>
          <w:rFonts w:hint="eastAsia" w:ascii="仿宋_GB2312" w:eastAsia="仿宋_GB2312"/>
          <w:color w:val="000000"/>
          <w:sz w:val="32"/>
          <w:szCs w:val="32"/>
        </w:rPr>
        <w:t>12、一般公共服务（类）财政事务（款）财政委托业务支出（项）: 指反映财政委托评审机构进行财政投资评审和委托建设银行等机构代理业务发生的支出。</w:t>
      </w:r>
    </w:p>
    <w:p w14:paraId="34FA94B3">
      <w:pPr>
        <w:ind w:firstLine="640" w:firstLineChars="200"/>
        <w:rPr>
          <w:rFonts w:ascii="仿宋_GB2312" w:eastAsia="仿宋_GB2312"/>
          <w:color w:val="000000"/>
          <w:sz w:val="32"/>
          <w:szCs w:val="32"/>
        </w:rPr>
      </w:pPr>
      <w:r>
        <w:rPr>
          <w:rFonts w:hint="eastAsia" w:ascii="仿宋_GB2312" w:eastAsia="仿宋_GB2312"/>
          <w:color w:val="000000"/>
          <w:sz w:val="32"/>
          <w:szCs w:val="32"/>
        </w:rPr>
        <w:t>13、一般公共服务（类）财政事务（款）事业运行（项）: 指反映事业单位的基本支出，不包括行政单位（包括实行公务员管理的事业单位）后勤服务中心、医务室等附属事业单位。</w:t>
      </w:r>
    </w:p>
    <w:p w14:paraId="2303CB37">
      <w:pPr>
        <w:ind w:firstLine="640" w:firstLineChars="200"/>
        <w:rPr>
          <w:rFonts w:ascii="仿宋_GB2312" w:eastAsia="仿宋_GB2312"/>
          <w:color w:val="000000"/>
          <w:sz w:val="32"/>
          <w:szCs w:val="32"/>
        </w:rPr>
      </w:pPr>
      <w:r>
        <w:rPr>
          <w:rFonts w:hint="eastAsia" w:ascii="仿宋_GB2312" w:eastAsia="仿宋_GB2312"/>
          <w:color w:val="000000"/>
          <w:sz w:val="32"/>
          <w:szCs w:val="32"/>
        </w:rPr>
        <w:t>14、一般公共服务（类）财政事务（款）其他财政事务支出（项）:指反映其他财政事务方面的支出。</w:t>
      </w:r>
    </w:p>
    <w:p w14:paraId="3720DD05">
      <w:pPr>
        <w:ind w:firstLine="640" w:firstLineChars="200"/>
        <w:rPr>
          <w:rFonts w:ascii="仿宋_GB2312" w:eastAsia="仿宋_GB2312"/>
          <w:color w:val="000000"/>
          <w:sz w:val="32"/>
          <w:szCs w:val="32"/>
        </w:rPr>
      </w:pPr>
      <w:r>
        <w:rPr>
          <w:rFonts w:hint="eastAsia" w:ascii="仿宋_GB2312" w:eastAsia="仿宋_GB2312"/>
          <w:color w:val="000000"/>
          <w:sz w:val="32"/>
          <w:szCs w:val="32"/>
        </w:rPr>
        <w:t>15、社会保障和就业（类）行政事业单位养老支出（款）行政单位离退休（项）:指反映行政单位（包括实行公务员管理的事业单位）开支的离退休经费。</w:t>
      </w:r>
    </w:p>
    <w:p w14:paraId="696A55E5">
      <w:pPr>
        <w:ind w:firstLine="640" w:firstLineChars="200"/>
        <w:rPr>
          <w:rFonts w:ascii="仿宋_GB2312" w:eastAsia="仿宋_GB2312"/>
          <w:color w:val="000000"/>
          <w:sz w:val="32"/>
          <w:szCs w:val="32"/>
        </w:rPr>
      </w:pPr>
      <w:r>
        <w:rPr>
          <w:rFonts w:hint="eastAsia" w:ascii="仿宋_GB2312" w:eastAsia="仿宋_GB2312"/>
          <w:color w:val="000000"/>
          <w:sz w:val="32"/>
          <w:szCs w:val="32"/>
        </w:rPr>
        <w:t>16、社会保障和就业（类）行政事业单位养老支出（款）机关事业单位基本养老保险缴费支出（项）: 指反映机关事业单位实施养老保险制度由单位缴纳的基本养老保险费支出。</w:t>
      </w:r>
    </w:p>
    <w:p w14:paraId="26A98AE3">
      <w:pPr>
        <w:ind w:firstLine="640" w:firstLineChars="200"/>
        <w:rPr>
          <w:rFonts w:ascii="仿宋_GB2312" w:eastAsia="仿宋_GB2312"/>
          <w:color w:val="000000"/>
          <w:sz w:val="32"/>
          <w:szCs w:val="32"/>
        </w:rPr>
      </w:pPr>
      <w:r>
        <w:rPr>
          <w:rFonts w:hint="eastAsia" w:ascii="仿宋_GB2312" w:eastAsia="仿宋_GB2312"/>
          <w:color w:val="000000"/>
          <w:sz w:val="32"/>
          <w:szCs w:val="32"/>
        </w:rPr>
        <w:t>17、社会保障和就业（类）行政事业单位养老支出（款）机关事业单位职业年金缴费支出（项）: 指反映机关事业单位实施养老保险制度由单位实际缴纳的职业年金支出。</w:t>
      </w:r>
    </w:p>
    <w:p w14:paraId="1A93668A">
      <w:pPr>
        <w:ind w:firstLine="640" w:firstLineChars="200"/>
        <w:rPr>
          <w:rFonts w:ascii="仿宋_GB2312" w:eastAsia="仿宋_GB2312"/>
          <w:color w:val="000000"/>
          <w:sz w:val="32"/>
          <w:szCs w:val="32"/>
        </w:rPr>
      </w:pPr>
      <w:r>
        <w:rPr>
          <w:rFonts w:hint="eastAsia" w:ascii="仿宋_GB2312" w:eastAsia="仿宋_GB2312"/>
          <w:color w:val="000000"/>
          <w:sz w:val="32"/>
          <w:szCs w:val="32"/>
        </w:rPr>
        <w:t>18、卫生健康支出（类）行政事业单位医疗（款）行政单位医疗（项）:指反映财政部门安排的行政单位（包括实行公务员管理的事业单位，下同）基本医疗保险缴费经费，未参加养老保险的行政单位的公费医疗经费，按国家规定享受离休人员、红军老战士待遇人员的医疗经费。</w:t>
      </w:r>
    </w:p>
    <w:p w14:paraId="4F7DD6D2">
      <w:pPr>
        <w:ind w:firstLine="640" w:firstLineChars="200"/>
        <w:rPr>
          <w:rFonts w:ascii="仿宋_GB2312" w:eastAsia="仿宋_GB2312"/>
          <w:color w:val="000000"/>
          <w:sz w:val="32"/>
          <w:szCs w:val="32"/>
        </w:rPr>
      </w:pPr>
      <w:r>
        <w:rPr>
          <w:rFonts w:hint="eastAsia" w:ascii="仿宋_GB2312" w:eastAsia="仿宋_GB2312"/>
          <w:color w:val="000000"/>
          <w:sz w:val="32"/>
          <w:szCs w:val="32"/>
        </w:rPr>
        <w:t>19、卫生健康支出（类）行政事业单位医疗（款）事业单位医疗（项）: 指反映财政部门安排的事业单位基本医疗保险缴费经费，未参加医疗保险的事业单位的公费医疗经费，按国家规定享受离休人员待遇的医疗经费。</w:t>
      </w:r>
    </w:p>
    <w:p w14:paraId="2C0F3707">
      <w:pPr>
        <w:ind w:firstLine="640" w:firstLineChars="200"/>
        <w:rPr>
          <w:rFonts w:ascii="仿宋_GB2312" w:eastAsia="仿宋_GB2312"/>
          <w:color w:val="000000"/>
          <w:sz w:val="32"/>
          <w:szCs w:val="32"/>
        </w:rPr>
      </w:pPr>
      <w:r>
        <w:rPr>
          <w:rFonts w:hint="eastAsia" w:ascii="仿宋_GB2312" w:eastAsia="仿宋_GB2312"/>
          <w:color w:val="000000"/>
          <w:sz w:val="32"/>
          <w:szCs w:val="32"/>
        </w:rPr>
        <w:t>20、卫生健康支出（类）行政事业单位医疗（款）公务员医疗补助（项）:指反映财政部门安排的公务员医疗补助经费。</w:t>
      </w:r>
    </w:p>
    <w:p w14:paraId="23729B33">
      <w:pPr>
        <w:ind w:firstLine="640" w:firstLineChars="200"/>
        <w:rPr>
          <w:rFonts w:ascii="仿宋_GB2312" w:eastAsia="仿宋_GB2312"/>
          <w:color w:val="000000"/>
          <w:sz w:val="32"/>
          <w:szCs w:val="32"/>
        </w:rPr>
      </w:pPr>
      <w:r>
        <w:rPr>
          <w:rFonts w:hint="eastAsia" w:ascii="仿宋_GB2312" w:eastAsia="仿宋_GB2312"/>
          <w:color w:val="000000"/>
          <w:sz w:val="32"/>
          <w:szCs w:val="32"/>
        </w:rPr>
        <w:t>21、城乡社区支出（类）国有土地使用权出让收入安排的支出（款）土地开发支出（项）:指反映新疆生产建设兵团和地方政府用于前期土地开发性支出以及与前期土地开发相关的费用等支出。</w:t>
      </w:r>
    </w:p>
    <w:p w14:paraId="0F082B54">
      <w:pPr>
        <w:ind w:firstLine="640" w:firstLineChars="200"/>
        <w:rPr>
          <w:rFonts w:ascii="仿宋_GB2312" w:eastAsia="仿宋_GB2312"/>
          <w:color w:val="000000"/>
          <w:sz w:val="32"/>
          <w:szCs w:val="32"/>
        </w:rPr>
      </w:pPr>
      <w:r>
        <w:rPr>
          <w:rFonts w:hint="eastAsia" w:ascii="仿宋_GB2312" w:eastAsia="仿宋_GB2312"/>
          <w:color w:val="000000"/>
          <w:sz w:val="32"/>
          <w:szCs w:val="32"/>
        </w:rPr>
        <w:t>22、住房保障支出（类）住房改革支出（款）住房公积金（项）:指反映行政事业单位按人力资源和社会保障部、财政部规定的基本工资和津贴补贴以及规定比例为职工缴纳的住房公积金。</w:t>
      </w:r>
    </w:p>
    <w:p w14:paraId="4DC07BA9">
      <w:pPr>
        <w:ind w:firstLine="640" w:firstLineChars="200"/>
        <w:rPr>
          <w:rFonts w:ascii="仿宋_GB2312" w:eastAsia="仿宋_GB2312"/>
          <w:color w:val="000000"/>
          <w:sz w:val="32"/>
          <w:szCs w:val="32"/>
        </w:rPr>
      </w:pPr>
      <w:r>
        <w:rPr>
          <w:rFonts w:hint="eastAsia" w:ascii="仿宋_GB2312" w:eastAsia="仿宋_GB2312"/>
          <w:color w:val="000000"/>
          <w:sz w:val="32"/>
          <w:szCs w:val="32"/>
        </w:rPr>
        <w:t>23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2C4EE12C">
      <w:pPr>
        <w:ind w:firstLine="640" w:firstLineChars="200"/>
        <w:rPr>
          <w:rFonts w:ascii="仿宋_GB2312" w:eastAsia="仿宋_GB2312"/>
          <w:color w:val="000000"/>
          <w:sz w:val="32"/>
          <w:szCs w:val="32"/>
        </w:rPr>
      </w:pPr>
      <w:r>
        <w:rPr>
          <w:rFonts w:hint="eastAsia" w:ascii="仿宋_GB2312" w:eastAsia="仿宋_GB2312"/>
          <w:color w:val="000000"/>
          <w:sz w:val="32"/>
          <w:szCs w:val="32"/>
        </w:rPr>
        <w:t>24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09DED4B6">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5C32B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DCAF3A">
      <w:pPr>
        <w:spacing w:line="600" w:lineRule="exact"/>
        <w:jc w:val="center"/>
        <w:outlineLvl w:val="0"/>
        <w:rPr>
          <w:rFonts w:ascii="黑体" w:hAnsi="黑体" w:eastAsia="黑体"/>
          <w:color w:val="000000"/>
          <w:sz w:val="44"/>
          <w:szCs w:val="44"/>
        </w:rPr>
      </w:pPr>
      <w:bookmarkStart w:id="57" w:name="_Toc15396614"/>
      <w:bookmarkStart w:id="58" w:name="_Toc15377226"/>
    </w:p>
    <w:p w14:paraId="7FC79C00">
      <w:pPr>
        <w:spacing w:line="600" w:lineRule="exact"/>
        <w:jc w:val="center"/>
        <w:outlineLvl w:val="0"/>
        <w:rPr>
          <w:rFonts w:ascii="黑体" w:hAnsi="黑体" w:eastAsia="黑体"/>
          <w:color w:val="000000"/>
          <w:sz w:val="44"/>
          <w:szCs w:val="44"/>
        </w:rPr>
      </w:pPr>
    </w:p>
    <w:p w14:paraId="77E04A1F">
      <w:pPr>
        <w:spacing w:line="600" w:lineRule="exact"/>
        <w:jc w:val="center"/>
        <w:outlineLvl w:val="0"/>
        <w:rPr>
          <w:rFonts w:ascii="黑体" w:hAnsi="黑体" w:eastAsia="黑体"/>
          <w:color w:val="000000"/>
          <w:sz w:val="44"/>
          <w:szCs w:val="44"/>
        </w:rPr>
      </w:pPr>
    </w:p>
    <w:p w14:paraId="647620B8">
      <w:pPr>
        <w:spacing w:line="600" w:lineRule="exact"/>
        <w:jc w:val="center"/>
        <w:outlineLvl w:val="0"/>
        <w:rPr>
          <w:rFonts w:ascii="黑体" w:hAnsi="黑体" w:eastAsia="黑体"/>
          <w:color w:val="000000"/>
          <w:sz w:val="44"/>
          <w:szCs w:val="44"/>
        </w:rPr>
      </w:pPr>
    </w:p>
    <w:p w14:paraId="7778EFA1">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14:paraId="55656618">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1F006BA1">
      <w:pPr>
        <w:spacing w:line="580" w:lineRule="exact"/>
        <w:jc w:val="center"/>
        <w:rPr>
          <w:rFonts w:ascii="方正小标宋简体" w:hAnsi="方正小标宋简体" w:eastAsia="方正小标宋简体" w:cs="方正小标宋简体"/>
          <w:sz w:val="44"/>
          <w:szCs w:val="44"/>
        </w:rPr>
      </w:pPr>
    </w:p>
    <w:p w14:paraId="58B27831">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攀枝花市仁和区财政局</w:t>
      </w:r>
    </w:p>
    <w:p w14:paraId="327B43EA">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21</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52CF6936">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1B5874B5">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一、部门概况</w:t>
      </w:r>
    </w:p>
    <w:p w14:paraId="702F92D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11508F17">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区财政局下属财政国库支付中心、仁和区财政绩效评价中心、仁和区财政投资评审中心、仁和区政府债务风险防控中心四个二级部门；设局办公室、预算股、国库股、经济建设股、政策法规.国有资产与会计股、行政事业股、涉农资金管理股、金融与政府债务管理股、财政监督与绩效管理股等9个内部机构，派驻纪检组1个。</w:t>
      </w:r>
    </w:p>
    <w:p w14:paraId="31C7C19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40BD6773">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区财政局贯彻落实党中央关于财经工作、国有资产管理工作和金融工作的方针政策和省、市、区委的决策部署，在履行职责过程中坚持和加强党对财政工作的集中统一领导。主要职责是：</w:t>
      </w:r>
    </w:p>
    <w:p w14:paraId="20DC844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拟订全区财税发展战略、规划、政策和改革方案并组织实施。分析预测宏观经济形势，参与制定各项经济政策，提出运用财税政策实施宏观调控和综合平衡社会财力的建议。拟订区与乡(镇)政府、政府与企业的分配政策，完善鼓励公益事业发展的财税政策。</w:t>
      </w:r>
    </w:p>
    <w:p w14:paraId="2AD6DF21">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贯彻执行财政、税收、财务、会计管理的法律法规和规章。负责组织起草地方性财政政策、规范性文件和规章制度并组织实施。按照管理权限管理全区税政事项。承办国务院关税税则委员会办公室要求区一级承担的工作。</w:t>
      </w:r>
    </w:p>
    <w:p w14:paraId="5D867F45">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负责管理各项财政收支。编制年度区级预决算草案并组织执行。组织制定经费开支标准、定额，审核批复部门(单位)年度预决算。受区政府委托，向区人大及其常委会报告财政预算、执行和决算等情况。负责政府建立的各类基金、风险金、分险金的监督管理。负责区级预决算公开。负责全面实施预算绩效管理。</w:t>
      </w:r>
    </w:p>
    <w:p w14:paraId="39133073">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4、按分工负责政府非税收入管理。负责政府性基金管理，按规定管理行政事业性收费等其他非税收入。管理财政票据。执行彩票管理政策，按规定管理彩票资金。</w:t>
      </w:r>
    </w:p>
    <w:p w14:paraId="59C84B26">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5、组织制定全区国库管理制度、国库集中收付制度，指导和监督国库业务，开展国库现金管理工作。贯彻执行政府财务报告编制办法并组织实施。监督管理全区政府采购工作。</w:t>
      </w:r>
    </w:p>
    <w:p w14:paraId="46086A5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6、贯彻执行地方政府债务管理制度和政策，制定具体管理办法，编制地方政府债余额限额计划，统一管理政府外债，防范财政风险。</w:t>
      </w:r>
    </w:p>
    <w:p w14:paraId="2EFE268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7、牵头编制全区国有资产管理情况报告。根据区政府授权，集中统一履行区级国有金融资本出资人职责。制定区级国有金融资本管理制度。拟订全区行政事业单位国有资产管理制度并组织实施。制定和监督执行统一规定的开支标准和支出政策。</w:t>
      </w:r>
    </w:p>
    <w:p w14:paraId="6B14A711">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8、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14:paraId="3FA4B3A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9、负责审核并汇总编制全区社会保险基金预决算草案，会同有关部门拟订有关资金(基金)财务管理制度，承担社会保险基金财政监管工作。</w:t>
      </w:r>
    </w:p>
    <w:p w14:paraId="504F4DD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10、负责办理和监督区级财政的经济发展支出、区级政府性投资项目的财政拨款，负责投资评审管理工作，参与拟订区级基建投资有关政策，监督执行基建财务管理制度。负责政府性投资项目竣工决算、结算管理工作。</w:t>
      </w:r>
    </w:p>
    <w:p w14:paraId="350E008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11、管理外国政府和国际金融机构贷(赠)款项目的有关业务，参与财经领域的国际交流与合作。</w:t>
      </w:r>
    </w:p>
    <w:p w14:paraId="29EF5B21">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12、负责管理全区会计工作，监督和规范会计行为，组织实施国家统一的会计制度，指导社会审计。依法管理资产评估有关工作。</w:t>
      </w:r>
    </w:p>
    <w:p w14:paraId="7F54B64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13、拟定和执行国有资产管理的政策法规、规章制度和管理办法；负责全区行政事业单位国有资产及国有资产经营收益管理工作；组织实施行政事业单位、国有资产及区属企业资产的清产核资和绩效评价工作；组织实施区级行政事业单位及企业国有产权界定、企业国有资产产权界定和转让工作，监缴国有资产收益；负责国有资产及区属国有企业资产的统计、分析；指导和监督行政事业单位、区属国有企业资产的产权界定、清查登记等工作；指导和监督办理执行《企业财务通则》和相关财务会计制度，参与拟定企业国有资产管理相关制度。</w:t>
      </w:r>
    </w:p>
    <w:p w14:paraId="310D5C65">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14、负责联系协调全区金融机构，推动地方政府与金融机构合作交流，防控金融风险、深化金融改革。负责全区小额贷款公司、融资担保公司、典当行、融资租赁公司等监管；维护地方金融秩序，牵头会同有关部门防范、化解和处置地方金融风险；牵头处置非法集资、协调配合有关部门打击其他非法金融活动；推进全区金融知识宣传普及工作。</w:t>
      </w:r>
    </w:p>
    <w:p w14:paraId="5D8C7C2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15、负责职责范围内的安全生产和职业健康、生态环境保护、审批服务便民化等工作。按省、市要求，指导推进相对集中行政许可权改革。</w:t>
      </w:r>
    </w:p>
    <w:p w14:paraId="7967947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16、完成区委、区政府交办的其他任务。</w:t>
      </w:r>
    </w:p>
    <w:p w14:paraId="0DAFB6A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7C778AAA">
      <w:pPr>
        <w:pStyle w:val="23"/>
        <w:spacing w:line="560" w:lineRule="exact"/>
        <w:ind w:firstLine="640" w:firstLineChars="200"/>
        <w:rPr>
          <w:rFonts w:ascii="黑体" w:hAnsi="宋体" w:eastAsia="黑体" w:cs="Times New Roman"/>
          <w:color w:val="auto"/>
          <w:kern w:val="2"/>
          <w:sz w:val="32"/>
          <w:szCs w:val="32"/>
        </w:rPr>
      </w:pPr>
      <w:r>
        <w:rPr>
          <w:rFonts w:hint="eastAsia" w:ascii="仿宋_GB2312" w:eastAsia="仿宋_GB2312"/>
          <w:sz w:val="32"/>
          <w:szCs w:val="32"/>
        </w:rPr>
        <w:t>截止2021年底，我单位编制人数52人，实有在职财政供养人员49人（含派驻纪检组3人、编内聘用1人）；退休人员31人。</w:t>
      </w:r>
    </w:p>
    <w:p w14:paraId="2D77BCC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二、部门财政资金收支情况</w:t>
      </w:r>
    </w:p>
    <w:p w14:paraId="055F45A7">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（一）部门财政资金收入情况。</w:t>
      </w:r>
    </w:p>
    <w:p w14:paraId="2ED4356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2021年本部门财政拨款收入决算总额1491.84元，其中：一般公共预算财政拨款为1491.84万元；政府性基金预算财政拨款为0万元。</w:t>
      </w:r>
    </w:p>
    <w:p w14:paraId="11A8717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（二）部门财政资金支出情况。</w:t>
      </w:r>
    </w:p>
    <w:p w14:paraId="17F83E3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2021 年本部门财政拨款支出决算总额1511.84万元。其中按功能分类，一般公共服务支出1225.05万元、社会保障和就业支出125.8万元、卫生健康支出52.80万元、城乡社区支出20万元、住房保障支出88.19万元；按支出性质分类，基本支出996.93万元，项目支出514.91万元；按经济分类，工资福利支出873.3万元，商品服务支出576.2万元，个人及家庭补助支出40.01万元，其他资本性支出22.33万元。</w:t>
      </w:r>
    </w:p>
    <w:p w14:paraId="072DF1A6">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三、部门整体预算绩效管理情况</w:t>
      </w:r>
    </w:p>
    <w:p w14:paraId="728A90AD">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（一）部门预算项目绩效管理。</w:t>
      </w:r>
    </w:p>
    <w:p w14:paraId="7D209CB0">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（1）绩效目标制定</w:t>
      </w:r>
    </w:p>
    <w:p w14:paraId="5C33328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根据预算绩效管理的要求，</w:t>
      </w:r>
      <w:r>
        <w:rPr>
          <w:rFonts w:ascii="仿宋_GB2312" w:eastAsia="仿宋_GB2312"/>
          <w:sz w:val="32"/>
          <w:szCs w:val="32"/>
        </w:rPr>
        <w:t>预算安排支出主要用于保障该部门机构正常运转、完成日常工作任务以及本单位承担的</w:t>
      </w:r>
      <w:r>
        <w:rPr>
          <w:rFonts w:hint="eastAsia" w:ascii="仿宋_GB2312" w:eastAsia="仿宋_GB2312"/>
          <w:sz w:val="32"/>
          <w:szCs w:val="32"/>
        </w:rPr>
        <w:t>仁和区财政事业发展</w:t>
      </w:r>
      <w:r>
        <w:rPr>
          <w:rFonts w:ascii="仿宋_GB2312" w:eastAsia="仿宋_GB2312"/>
          <w:sz w:val="32"/>
          <w:szCs w:val="32"/>
        </w:rPr>
        <w:t>工作。</w:t>
      </w:r>
      <w:r>
        <w:rPr>
          <w:rFonts w:hint="eastAsia" w:ascii="仿宋_GB2312" w:eastAsia="仿宋_GB2312"/>
          <w:sz w:val="32"/>
          <w:szCs w:val="32"/>
        </w:rPr>
        <w:t>本单位在年初预算编制阶段，对14个项目编制了绩效目标，预算</w:t>
      </w:r>
      <w:r>
        <w:rPr>
          <w:rFonts w:ascii="Times New Roman" w:hAnsi="Times New Roman" w:eastAsia="仿宋_GB2312" w:cs="Times New Roman"/>
          <w:sz w:val="32"/>
          <w:szCs w:val="32"/>
        </w:rPr>
        <w:t>项目</w:t>
      </w:r>
      <w:r>
        <w:rPr>
          <w:rFonts w:hint="eastAsia" w:ascii="仿宋_GB2312" w:eastAsia="仿宋_GB2312"/>
          <w:sz w:val="32"/>
          <w:szCs w:val="32"/>
        </w:rPr>
        <w:t>金额</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color w:val="000000" w:themeColor="text1"/>
          <w:sz w:val="32"/>
          <w:szCs w:val="32"/>
        </w:rPr>
        <w:t>401.36</w:t>
      </w:r>
      <w:r>
        <w:rPr>
          <w:rFonts w:ascii="Times New Roman" w:hAnsi="Times New Roman" w:eastAsia="仿宋_GB2312" w:cs="Times New Roman"/>
          <w:color w:val="000000" w:themeColor="text1"/>
          <w:sz w:val="32"/>
          <w:szCs w:val="32"/>
        </w:rPr>
        <w:t>万元</w:t>
      </w:r>
      <w:r>
        <w:rPr>
          <w:rFonts w:hint="eastAsia" w:ascii="仿宋_GB2312" w:eastAsia="仿宋_GB2312"/>
          <w:sz w:val="32"/>
          <w:szCs w:val="32"/>
        </w:rPr>
        <w:t>。分别是：1、财政网络及信息化设备运行及维护6万元，2、博思电子票据管理系统V1.0维护费8.4万元，3、财政指标管理系统维护2万元， 4、行政事业单位资产管理系统维护7万元，5、地方政府融资平台和政府中长期支出事项检测平台维护费2.5万元，6、用友财务软件帐套运行维护费21.52万元，7、非税系统软件维护费0.35万元，8、部门预算软件1.0网络版软件维护费2.5万元， 9、金财网网络租赁费9.94万元， 10、财政支出绩效管理费用10万元，11、委托代理记账服务费23.4万元，12、2020年政府投资项目评审及项目结算审核费用300万元，  13、对外援助干部人才补助津贴2.75万元。14、打击和处置非法集资专项经费5万元。 预算编制准确，支出控制合理。部门预算管理无违规情况。</w:t>
      </w:r>
    </w:p>
    <w:p w14:paraId="7BB7E12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（2）目标实现</w:t>
      </w:r>
    </w:p>
    <w:p w14:paraId="163FA768">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人员经费</w:t>
      </w:r>
      <w:r>
        <w:rPr>
          <w:rFonts w:hint="eastAsia" w:ascii="仿宋_GB2312" w:hAnsi="Calibri" w:eastAsia="仿宋_GB2312" w:cs="仿宋"/>
          <w:color w:val="000000"/>
          <w:kern w:val="0"/>
          <w:sz w:val="32"/>
          <w:szCs w:val="32"/>
        </w:rPr>
        <w:t>876.82</w:t>
      </w:r>
      <w:r>
        <w:rPr>
          <w:rFonts w:ascii="仿宋_GB2312" w:hAnsi="Calibri" w:eastAsia="仿宋_GB2312" w:cs="仿宋"/>
          <w:color w:val="000000"/>
          <w:kern w:val="0"/>
          <w:sz w:val="32"/>
          <w:szCs w:val="32"/>
        </w:rPr>
        <w:t>万元，公用经费</w:t>
      </w:r>
      <w:r>
        <w:rPr>
          <w:rFonts w:hint="eastAsia" w:ascii="仿宋_GB2312" w:hAnsi="Calibri" w:eastAsia="仿宋_GB2312" w:cs="仿宋"/>
          <w:color w:val="000000"/>
          <w:kern w:val="0"/>
          <w:sz w:val="32"/>
          <w:szCs w:val="32"/>
        </w:rPr>
        <w:t>100.09</w:t>
      </w:r>
      <w:r>
        <w:rPr>
          <w:rFonts w:ascii="仿宋_GB2312" w:hAnsi="Calibri" w:eastAsia="仿宋_GB2312" w:cs="仿宋"/>
          <w:color w:val="000000"/>
          <w:kern w:val="0"/>
          <w:sz w:val="32"/>
          <w:szCs w:val="32"/>
        </w:rPr>
        <w:t>万元，项目经费</w:t>
      </w:r>
      <w:r>
        <w:rPr>
          <w:rFonts w:hint="eastAsia" w:ascii="仿宋_GB2312" w:hAnsi="Calibri" w:eastAsia="仿宋_GB2312" w:cs="仿宋"/>
          <w:color w:val="000000"/>
          <w:kern w:val="0"/>
          <w:sz w:val="32"/>
          <w:szCs w:val="32"/>
        </w:rPr>
        <w:t>452.82</w:t>
      </w:r>
      <w:r>
        <w:rPr>
          <w:rFonts w:ascii="仿宋_GB2312" w:hAnsi="Calibri" w:eastAsia="仿宋_GB2312" w:cs="仿宋"/>
          <w:color w:val="000000"/>
          <w:kern w:val="0"/>
          <w:sz w:val="32"/>
          <w:szCs w:val="32"/>
        </w:rPr>
        <w:t xml:space="preserve">万元 </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实际完成数</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人员经费</w:t>
      </w:r>
      <w:r>
        <w:rPr>
          <w:rFonts w:hint="eastAsia" w:ascii="仿宋_GB2312" w:hAnsi="Calibri" w:eastAsia="仿宋_GB2312" w:cs="仿宋"/>
          <w:color w:val="000000"/>
          <w:kern w:val="0"/>
          <w:sz w:val="32"/>
          <w:szCs w:val="32"/>
        </w:rPr>
        <w:t>911.25</w:t>
      </w:r>
      <w:r>
        <w:rPr>
          <w:rFonts w:ascii="仿宋_GB2312" w:hAnsi="Calibri" w:eastAsia="仿宋_GB2312" w:cs="仿宋"/>
          <w:color w:val="000000"/>
          <w:kern w:val="0"/>
          <w:sz w:val="32"/>
          <w:szCs w:val="32"/>
        </w:rPr>
        <w:t>万元，公用经费</w:t>
      </w:r>
      <w:r>
        <w:rPr>
          <w:rFonts w:hint="eastAsia" w:ascii="仿宋_GB2312" w:hAnsi="Calibri" w:eastAsia="仿宋_GB2312" w:cs="仿宋"/>
          <w:color w:val="000000"/>
          <w:kern w:val="0"/>
          <w:sz w:val="32"/>
          <w:szCs w:val="32"/>
        </w:rPr>
        <w:t>85.68</w:t>
      </w:r>
      <w:r>
        <w:rPr>
          <w:rFonts w:ascii="仿宋_GB2312" w:hAnsi="Calibri" w:eastAsia="仿宋_GB2312" w:cs="仿宋"/>
          <w:color w:val="000000"/>
          <w:kern w:val="0"/>
          <w:sz w:val="32"/>
          <w:szCs w:val="32"/>
        </w:rPr>
        <w:t>万元，项目经费</w:t>
      </w:r>
      <w:r>
        <w:rPr>
          <w:rFonts w:hint="eastAsia" w:ascii="仿宋_GB2312" w:hAnsi="Calibri" w:eastAsia="仿宋_GB2312" w:cs="仿宋"/>
          <w:color w:val="000000"/>
          <w:kern w:val="0"/>
          <w:sz w:val="32"/>
          <w:szCs w:val="32"/>
        </w:rPr>
        <w:t>442.35</w:t>
      </w:r>
      <w:r>
        <w:rPr>
          <w:rFonts w:ascii="仿宋_GB2312" w:hAnsi="Calibri" w:eastAsia="仿宋_GB2312" w:cs="仿宋"/>
          <w:color w:val="000000"/>
          <w:kern w:val="0"/>
          <w:sz w:val="32"/>
          <w:szCs w:val="32"/>
        </w:rPr>
        <w:t>万元，完成率</w:t>
      </w:r>
      <w:r>
        <w:rPr>
          <w:rFonts w:hint="eastAsia" w:ascii="仿宋_GB2312" w:hAnsi="Calibri" w:eastAsia="仿宋_GB2312" w:cs="仿宋"/>
          <w:color w:val="000000"/>
          <w:kern w:val="0"/>
          <w:sz w:val="32"/>
          <w:szCs w:val="32"/>
        </w:rPr>
        <w:t>分别为103.93%、85.60%、97.69%</w:t>
      </w:r>
      <w:r>
        <w:rPr>
          <w:rFonts w:ascii="仿宋_GB2312" w:hAnsi="Calibri" w:eastAsia="仿宋_GB2312" w:cs="仿宋"/>
          <w:color w:val="000000"/>
          <w:kern w:val="0"/>
          <w:sz w:val="32"/>
          <w:szCs w:val="32"/>
        </w:rPr>
        <w:t>。</w:t>
      </w:r>
    </w:p>
    <w:p w14:paraId="39F9B37C">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2021年在职人员</w:t>
      </w:r>
      <w:r>
        <w:rPr>
          <w:rFonts w:hint="eastAsia" w:ascii="仿宋_GB2312" w:hAnsi="Calibri" w:eastAsia="仿宋_GB2312" w:cs="仿宋"/>
          <w:color w:val="000000"/>
          <w:kern w:val="0"/>
          <w:sz w:val="32"/>
          <w:szCs w:val="32"/>
        </w:rPr>
        <w:t>49</w:t>
      </w:r>
      <w:r>
        <w:rPr>
          <w:rFonts w:ascii="仿宋_GB2312" w:hAnsi="Calibri" w:eastAsia="仿宋_GB2312" w:cs="仿宋"/>
          <w:color w:val="000000"/>
          <w:kern w:val="0"/>
          <w:sz w:val="32"/>
          <w:szCs w:val="32"/>
        </w:rPr>
        <w:t>人，离退休人员</w:t>
      </w:r>
      <w:r>
        <w:rPr>
          <w:rFonts w:hint="eastAsia" w:ascii="仿宋_GB2312" w:hAnsi="Calibri" w:eastAsia="仿宋_GB2312" w:cs="仿宋"/>
          <w:color w:val="000000"/>
          <w:kern w:val="0"/>
          <w:sz w:val="32"/>
          <w:szCs w:val="32"/>
        </w:rPr>
        <w:t>31</w:t>
      </w:r>
      <w:r>
        <w:rPr>
          <w:rFonts w:ascii="仿宋_GB2312" w:hAnsi="Calibri" w:eastAsia="仿宋_GB2312" w:cs="仿宋"/>
          <w:color w:val="000000"/>
          <w:kern w:val="0"/>
          <w:sz w:val="32"/>
          <w:szCs w:val="32"/>
        </w:rPr>
        <w:t>人，项目数1</w:t>
      </w:r>
      <w:r>
        <w:rPr>
          <w:rFonts w:hint="eastAsia" w:ascii="仿宋_GB2312" w:hAnsi="Calibri" w:eastAsia="仿宋_GB2312" w:cs="仿宋"/>
          <w:color w:val="000000"/>
          <w:kern w:val="0"/>
          <w:sz w:val="32"/>
          <w:szCs w:val="32"/>
        </w:rPr>
        <w:t>4</w:t>
      </w:r>
      <w:r>
        <w:rPr>
          <w:rFonts w:ascii="仿宋_GB2312" w:hAnsi="Calibri" w:eastAsia="仿宋_GB2312" w:cs="仿宋"/>
          <w:color w:val="000000"/>
          <w:kern w:val="0"/>
          <w:sz w:val="32"/>
          <w:szCs w:val="32"/>
        </w:rPr>
        <w:t>个。全年按质按量完成</w:t>
      </w:r>
      <w:r>
        <w:rPr>
          <w:rFonts w:hint="eastAsia" w:ascii="仿宋_GB2312" w:hAnsi="Calibri" w:eastAsia="仿宋_GB2312" w:cs="仿宋"/>
          <w:color w:val="000000"/>
          <w:kern w:val="0"/>
          <w:sz w:val="32"/>
          <w:szCs w:val="32"/>
        </w:rPr>
        <w:t>财政</w:t>
      </w:r>
      <w:r>
        <w:rPr>
          <w:rFonts w:ascii="仿宋_GB2312" w:hAnsi="Calibri" w:eastAsia="仿宋_GB2312" w:cs="仿宋"/>
          <w:color w:val="000000"/>
          <w:kern w:val="0"/>
          <w:sz w:val="32"/>
          <w:szCs w:val="32"/>
        </w:rPr>
        <w:t>的各项</w:t>
      </w:r>
      <w:r>
        <w:rPr>
          <w:rFonts w:hint="eastAsia" w:ascii="仿宋_GB2312" w:hAnsi="Calibri" w:eastAsia="仿宋_GB2312" w:cs="仿宋"/>
          <w:color w:val="000000"/>
          <w:kern w:val="0"/>
          <w:sz w:val="32"/>
          <w:szCs w:val="32"/>
        </w:rPr>
        <w:t>任务</w:t>
      </w:r>
      <w:r>
        <w:rPr>
          <w:rFonts w:ascii="仿宋_GB2312" w:hAnsi="Calibri" w:eastAsia="仿宋_GB2312" w:cs="仿宋"/>
          <w:color w:val="000000"/>
          <w:kern w:val="0"/>
          <w:sz w:val="32"/>
          <w:szCs w:val="32"/>
        </w:rPr>
        <w:t>指标。全年收入预算数</w:t>
      </w:r>
      <w:r>
        <w:rPr>
          <w:rFonts w:hint="eastAsia" w:ascii="仿宋_GB2312" w:hAnsi="Calibri" w:eastAsia="仿宋_GB2312" w:cs="仿宋"/>
          <w:color w:val="000000"/>
          <w:kern w:val="0"/>
          <w:sz w:val="32"/>
          <w:szCs w:val="32"/>
        </w:rPr>
        <w:t>1429.74</w:t>
      </w:r>
      <w:r>
        <w:rPr>
          <w:rFonts w:ascii="仿宋_GB2312" w:hAnsi="Calibri" w:eastAsia="仿宋_GB2312" w:cs="仿宋"/>
          <w:color w:val="000000"/>
          <w:kern w:val="0"/>
          <w:sz w:val="32"/>
          <w:szCs w:val="32"/>
        </w:rPr>
        <w:t>万元，相应支出</w:t>
      </w:r>
      <w:r>
        <w:rPr>
          <w:rFonts w:hint="eastAsia" w:ascii="仿宋_GB2312" w:hAnsi="Calibri" w:eastAsia="仿宋_GB2312" w:cs="仿宋"/>
          <w:color w:val="000000"/>
          <w:kern w:val="0"/>
          <w:sz w:val="32"/>
          <w:szCs w:val="32"/>
        </w:rPr>
        <w:t>1439.28</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，完成率100.66%。</w:t>
      </w:r>
    </w:p>
    <w:p w14:paraId="06E2C53A">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2021年区级专项项目1</w:t>
      </w:r>
      <w:r>
        <w:rPr>
          <w:rFonts w:hint="eastAsia" w:ascii="仿宋_GB2312" w:hAnsi="Calibri" w:eastAsia="仿宋_GB2312" w:cs="仿宋"/>
          <w:color w:val="000000"/>
          <w:kern w:val="0"/>
          <w:sz w:val="32"/>
          <w:szCs w:val="32"/>
        </w:rPr>
        <w:t>6</w:t>
      </w:r>
      <w:r>
        <w:rPr>
          <w:rFonts w:ascii="仿宋_GB2312" w:hAnsi="Calibri" w:eastAsia="仿宋_GB2312" w:cs="仿宋"/>
          <w:color w:val="000000"/>
          <w:kern w:val="0"/>
          <w:sz w:val="32"/>
          <w:szCs w:val="32"/>
        </w:rPr>
        <w:t>个分别为：</w:t>
      </w:r>
      <w:r>
        <w:rPr>
          <w:rFonts w:hint="eastAsia" w:ascii="仿宋_GB2312" w:hAnsi="Calibri" w:eastAsia="仿宋_GB2312" w:cs="仿宋"/>
          <w:color w:val="000000"/>
          <w:kern w:val="0"/>
          <w:sz w:val="32"/>
          <w:szCs w:val="32"/>
        </w:rPr>
        <w:t>完成固定资产投资入库及争取资金工作经费22.13万元</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单位运转经费25.62万元</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金财网网络租赁费9.94</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财政指标管理软件运行维护费2</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地方政府融资全区平台债务和政府中长期支出事项检测平台维护费2.5</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、非税系统运行维护费0.35</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、全区网络及信息化设备运行维护费6</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、博思电子票据管理系统维护费6.36</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、用友A++财务软件运行维护服务费</w:t>
      </w:r>
      <w:r>
        <w:rPr>
          <w:rFonts w:ascii="仿宋_GB2312" w:hAnsi="Calibri" w:eastAsia="仿宋_GB2312" w:cs="仿宋"/>
          <w:color w:val="000000"/>
          <w:kern w:val="0"/>
          <w:sz w:val="32"/>
          <w:szCs w:val="32"/>
        </w:rPr>
        <w:t>委托业务费</w:t>
      </w:r>
      <w:r>
        <w:rPr>
          <w:rFonts w:hint="eastAsia" w:ascii="仿宋_GB2312" w:hAnsi="Calibri" w:eastAsia="仿宋_GB2312" w:cs="仿宋"/>
          <w:color w:val="000000"/>
          <w:kern w:val="0"/>
          <w:sz w:val="32"/>
          <w:szCs w:val="32"/>
        </w:rPr>
        <w:t>0.88</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（不含全区单位）</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行政事业单位资产管理信息系统软件运行维护经费7</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、部门预算软件1.0网络版软件维护费2.5</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、政府投资项目评审费及项目结算审核费274.36</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、委托代理记账服务费23.30</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、财政支出绩效预算管理经费7.1</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、资产处置服务评估费50</w:t>
      </w:r>
      <w:r>
        <w:rPr>
          <w:rFonts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rPr>
        <w:t>、对外援助干部人才补助津贴2.31</w:t>
      </w:r>
      <w:r>
        <w:rPr>
          <w:rFonts w:ascii="仿宋_GB2312" w:hAnsi="Calibri" w:eastAsia="仿宋_GB2312" w:cs="仿宋"/>
          <w:color w:val="000000"/>
          <w:kern w:val="0"/>
          <w:sz w:val="32"/>
          <w:szCs w:val="32"/>
        </w:rPr>
        <w:t>万元。</w:t>
      </w:r>
    </w:p>
    <w:p w14:paraId="33B199C7">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（3）</w:t>
      </w:r>
      <w:r>
        <w:rPr>
          <w:rFonts w:ascii="仿宋_GB2312" w:hAnsi="Calibri" w:eastAsia="仿宋_GB2312" w:cs="仿宋"/>
          <w:color w:val="000000"/>
          <w:kern w:val="0"/>
          <w:sz w:val="32"/>
          <w:szCs w:val="32"/>
        </w:rPr>
        <w:t>执行进度情况</w:t>
      </w:r>
    </w:p>
    <w:p w14:paraId="35EE936A">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按《预算法》和财政有关规定，职工工资等人员经费按月发放，公用经费报</w:t>
      </w:r>
      <w:r>
        <w:rPr>
          <w:rFonts w:hint="eastAsia" w:ascii="仿宋_GB2312" w:hAnsi="Calibri" w:eastAsia="仿宋_GB2312" w:cs="仿宋"/>
          <w:color w:val="000000"/>
          <w:kern w:val="0"/>
          <w:sz w:val="32"/>
          <w:szCs w:val="32"/>
        </w:rPr>
        <w:t>销按</w:t>
      </w:r>
      <w:r>
        <w:rPr>
          <w:rFonts w:ascii="仿宋_GB2312" w:hAnsi="Calibri" w:eastAsia="仿宋_GB2312" w:cs="仿宋"/>
          <w:color w:val="000000"/>
          <w:kern w:val="0"/>
          <w:sz w:val="32"/>
          <w:szCs w:val="32"/>
        </w:rPr>
        <w:t>财政行</w:t>
      </w:r>
      <w:r>
        <w:rPr>
          <w:rFonts w:hint="eastAsia" w:ascii="仿宋_GB2312" w:hAnsi="Calibri" w:eastAsia="仿宋_GB2312" w:cs="仿宋"/>
          <w:color w:val="000000"/>
          <w:kern w:val="0"/>
          <w:sz w:val="32"/>
          <w:szCs w:val="32"/>
        </w:rPr>
        <w:t>业务</w:t>
      </w:r>
      <w:r>
        <w:rPr>
          <w:rFonts w:ascii="仿宋_GB2312" w:hAnsi="Calibri" w:eastAsia="仿宋_GB2312" w:cs="仿宋"/>
          <w:color w:val="000000"/>
          <w:kern w:val="0"/>
          <w:sz w:val="32"/>
          <w:szCs w:val="32"/>
        </w:rPr>
        <w:t>股室审核后及时支付，项目经费下达后及时组织</w:t>
      </w:r>
      <w:r>
        <w:rPr>
          <w:rFonts w:hint="eastAsia" w:ascii="仿宋_GB2312" w:hAnsi="Calibri" w:eastAsia="仿宋_GB2312" w:cs="仿宋"/>
          <w:color w:val="000000"/>
          <w:kern w:val="0"/>
          <w:sz w:val="32"/>
          <w:szCs w:val="32"/>
        </w:rPr>
        <w:t>实施并支付。</w:t>
      </w:r>
      <w:r>
        <w:rPr>
          <w:rFonts w:ascii="仿宋_GB2312" w:hAnsi="Calibri" w:eastAsia="仿宋_GB2312" w:cs="仿宋"/>
          <w:color w:val="000000"/>
          <w:kern w:val="0"/>
          <w:sz w:val="32"/>
          <w:szCs w:val="32"/>
        </w:rPr>
        <w:t>在支付方式上，工资实行财政直接支付；其余经费申请授权支付并采取转账支付</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公务卡支付，减少现金支</w:t>
      </w:r>
      <w:r>
        <w:rPr>
          <w:rFonts w:hint="eastAsia" w:ascii="仿宋_GB2312" w:hAnsi="Calibri" w:eastAsia="仿宋_GB2312" w:cs="仿宋"/>
          <w:color w:val="000000"/>
          <w:kern w:val="0"/>
          <w:sz w:val="32"/>
          <w:szCs w:val="32"/>
        </w:rPr>
        <w:t>付方式</w:t>
      </w:r>
      <w:r>
        <w:rPr>
          <w:rFonts w:ascii="仿宋_GB2312" w:hAnsi="Calibri" w:eastAsia="仿宋_GB2312" w:cs="仿宋"/>
          <w:color w:val="000000"/>
          <w:kern w:val="0"/>
          <w:sz w:val="32"/>
          <w:szCs w:val="32"/>
        </w:rPr>
        <w:t>。</w:t>
      </w:r>
    </w:p>
    <w:p w14:paraId="6C41B60D">
      <w:pPr>
        <w:adjustRightInd w:val="0"/>
        <w:snapToGrid w:val="0"/>
        <w:spacing w:line="56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（4）预算</w:t>
      </w:r>
      <w:r>
        <w:rPr>
          <w:rFonts w:ascii="仿宋_GB2312" w:hAnsi="Calibri" w:eastAsia="仿宋_GB2312" w:cs="仿宋"/>
          <w:color w:val="000000"/>
          <w:kern w:val="0"/>
          <w:sz w:val="32"/>
          <w:szCs w:val="32"/>
        </w:rPr>
        <w:t>完成情况</w:t>
      </w:r>
    </w:p>
    <w:p w14:paraId="7CF41100">
      <w:pPr>
        <w:adjustRightInd w:val="0"/>
        <w:snapToGrid w:val="0"/>
        <w:spacing w:line="560" w:lineRule="exact"/>
        <w:ind w:firstLine="72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保证</w:t>
      </w:r>
      <w:r>
        <w:rPr>
          <w:rFonts w:hint="eastAsia" w:ascii="仿宋_GB2312" w:hAnsi="Calibri" w:eastAsia="仿宋_GB2312" w:cs="仿宋"/>
          <w:color w:val="000000"/>
          <w:kern w:val="0"/>
          <w:sz w:val="32"/>
          <w:szCs w:val="32"/>
        </w:rPr>
        <w:t>财政工作</w:t>
      </w:r>
      <w:r>
        <w:rPr>
          <w:rFonts w:ascii="仿宋_GB2312" w:hAnsi="Calibri" w:eastAsia="仿宋_GB2312" w:cs="仿宋"/>
          <w:color w:val="000000"/>
          <w:kern w:val="0"/>
          <w:sz w:val="32"/>
          <w:szCs w:val="32"/>
        </w:rPr>
        <w:t>的正常运转，</w:t>
      </w:r>
      <w:r>
        <w:rPr>
          <w:rFonts w:hint="eastAsia" w:ascii="仿宋_GB2312" w:hAnsi="Calibri" w:eastAsia="仿宋_GB2312" w:cs="仿宋"/>
          <w:color w:val="000000"/>
          <w:kern w:val="0"/>
          <w:sz w:val="32"/>
          <w:szCs w:val="32"/>
        </w:rPr>
        <w:t>有力地推进了项目建设进度，不断强化项目资金的支出监督，切实节约财政资金，提高了财政资金的使用效益，为财政部门逐步建立科学化、制度化、规范化的财政支出管理体系提供了可靠的技术保障和基础服务。确保了全区预算单位网络及信息化维护，本单位设备管理、软件日常维护，保障了财政业务正常开展。保证电子票据开票及票据管理工作顺利开展，提高了财政票据领用和核销管理效率，便于加强财务核算监督。政府投资项目评审有力地推进了项目建设进度，不断强化项目资金的支出监督，切实节约财政资金，提高了财政资金的使用效益，为财政部门逐步建立科学化、制度化、规范化的财政支出管理体系提供了可靠的技术保障和基础服务。采取购买服务方式确定委托代理记账单位，规范委托代理记账工作流程，有效保障了全区行政事业单位代理</w:t>
      </w:r>
      <w:r>
        <w:rPr>
          <w:rFonts w:hint="eastAsia" w:ascii="仿宋_GB2312" w:hAnsi="Calibri" w:eastAsia="仿宋_GB2312" w:cs="仿宋"/>
          <w:color w:val="000000"/>
          <w:kern w:val="0"/>
          <w:sz w:val="32"/>
          <w:szCs w:val="32"/>
          <w:lang w:eastAsia="zh-CN"/>
        </w:rPr>
        <w:t>记账</w:t>
      </w:r>
      <w:r>
        <w:rPr>
          <w:rFonts w:hint="eastAsia" w:ascii="仿宋_GB2312" w:hAnsi="Calibri" w:eastAsia="仿宋_GB2312" w:cs="仿宋"/>
          <w:color w:val="000000"/>
          <w:kern w:val="0"/>
          <w:sz w:val="32"/>
          <w:szCs w:val="32"/>
        </w:rPr>
        <w:t>运行，为代理</w:t>
      </w:r>
      <w:r>
        <w:rPr>
          <w:rFonts w:hint="eastAsia" w:ascii="仿宋_GB2312" w:hAnsi="Calibri" w:eastAsia="仿宋_GB2312" w:cs="仿宋"/>
          <w:color w:val="000000"/>
          <w:kern w:val="0"/>
          <w:sz w:val="32"/>
          <w:szCs w:val="32"/>
          <w:lang w:eastAsia="zh-CN"/>
        </w:rPr>
        <w:t>记</w:t>
      </w:r>
      <w:bookmarkStart w:id="72" w:name="_GoBack"/>
      <w:bookmarkEnd w:id="72"/>
      <w:r>
        <w:rPr>
          <w:rFonts w:hint="eastAsia" w:ascii="仿宋_GB2312" w:hAnsi="Calibri" w:eastAsia="仿宋_GB2312" w:cs="仿宋"/>
          <w:color w:val="000000"/>
          <w:kern w:val="0"/>
          <w:sz w:val="32"/>
          <w:szCs w:val="32"/>
          <w:lang w:eastAsia="zh-CN"/>
        </w:rPr>
        <w:t>账</w:t>
      </w:r>
      <w:r>
        <w:rPr>
          <w:rFonts w:hint="eastAsia" w:ascii="仿宋_GB2312" w:hAnsi="Calibri" w:eastAsia="仿宋_GB2312" w:cs="仿宋"/>
          <w:color w:val="000000"/>
          <w:kern w:val="0"/>
          <w:sz w:val="32"/>
          <w:szCs w:val="32"/>
        </w:rPr>
        <w:t>单位节约人力和财力。严格执行上级建立科学合理的第三方评价机制的相关要求。加大向社会组织购买服务的力度，进一步提高预算绩效评价报告的质量和公信力。加强指导强化培训结合财政工作相关要求，创新培训方式，全年有针对性地开展各类财政、财务培训，一对一帮扶指导，有效提升财务人员服务能力及管理水平。盘活国有固定资产、壮大国有经济，</w:t>
      </w:r>
      <w:r>
        <w:rPr>
          <w:rFonts w:ascii="仿宋_GB2312" w:hAnsi="Calibri" w:eastAsia="仿宋_GB2312" w:cs="仿宋"/>
          <w:color w:val="000000"/>
          <w:kern w:val="0"/>
          <w:sz w:val="32"/>
          <w:szCs w:val="32"/>
        </w:rPr>
        <w:t>做大区属国有企业资产规模，</w:t>
      </w:r>
      <w:r>
        <w:rPr>
          <w:rFonts w:hint="eastAsia" w:ascii="仿宋_GB2312" w:hAnsi="Calibri" w:eastAsia="仿宋_GB2312" w:cs="仿宋"/>
          <w:color w:val="000000"/>
          <w:kern w:val="0"/>
          <w:sz w:val="32"/>
          <w:szCs w:val="32"/>
        </w:rPr>
        <w:t>发挥资产效益，为</w:t>
      </w:r>
      <w:r>
        <w:rPr>
          <w:rFonts w:ascii="仿宋_GB2312" w:hAnsi="Calibri" w:eastAsia="仿宋_GB2312" w:cs="仿宋"/>
          <w:color w:val="000000"/>
          <w:kern w:val="0"/>
          <w:sz w:val="32"/>
          <w:szCs w:val="32"/>
        </w:rPr>
        <w:t>促进仁和区的经济、社会、生态的发展积极建言献策。</w:t>
      </w:r>
    </w:p>
    <w:p w14:paraId="19F0A23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（二）结果应用情况。</w:t>
      </w:r>
      <w:r>
        <w:rPr>
          <w:rFonts w:ascii="仿宋_GB2312" w:eastAsia="仿宋_GB2312"/>
          <w:sz w:val="32"/>
          <w:szCs w:val="32"/>
        </w:rPr>
        <w:t>2021年度为区</w:t>
      </w:r>
      <w:r>
        <w:rPr>
          <w:rFonts w:hint="eastAsia" w:ascii="仿宋_GB2312" w:eastAsia="仿宋_GB2312"/>
          <w:sz w:val="32"/>
          <w:szCs w:val="32"/>
        </w:rPr>
        <w:t>指导全区财政工作;承担各项财政收支管理责任，编制及监督执行年度区级预决算，完成财政收支计划。各项目得以顺利实施，确保财政工作有序开展防范财政风险，促进全区经济健康平稳发展，社会和谐稳定。</w:t>
      </w:r>
      <w:r>
        <w:rPr>
          <w:rFonts w:ascii="仿宋_GB2312" w:eastAsia="仿宋_GB2312"/>
          <w:sz w:val="32"/>
          <w:szCs w:val="32"/>
        </w:rPr>
        <w:t>按照财政资金的使用用途和目的，做到资金管理制度健全，款项支付规范，专款专用，最大限度地发挥了财政资金的使用效率，较好地执行了年初预算各项资金计划；</w:t>
      </w:r>
      <w:r>
        <w:rPr>
          <w:rFonts w:hint="eastAsia" w:ascii="仿宋_GB2312" w:eastAsia="仿宋_GB2312"/>
          <w:sz w:val="32"/>
          <w:szCs w:val="32"/>
        </w:rPr>
        <w:t>遵守各项规章制度及中央、省、市各项规定，“三公经费”有所下降。项目资金加强了管理监督，达到了节约、高效的支出目标。</w:t>
      </w:r>
      <w:r>
        <w:rPr>
          <w:rFonts w:ascii="仿宋_GB2312" w:eastAsia="仿宋_GB2312"/>
          <w:sz w:val="32"/>
          <w:szCs w:val="32"/>
        </w:rPr>
        <w:t>帐务核算及时规范，保障了机关正常运转；积极履职，强化管理，</w:t>
      </w:r>
      <w:r>
        <w:rPr>
          <w:rFonts w:hint="eastAsia" w:ascii="仿宋_GB2312" w:eastAsia="仿宋_GB2312"/>
          <w:sz w:val="32"/>
          <w:szCs w:val="32"/>
        </w:rPr>
        <w:t>有力地推进了项目建设进度，不断强化项目资金的支出监督，切实节约财政资金，提高了财政资金的使用效益，为财政部门逐步建立科学化、制度化、规范化的财政支出管理体系提供了可靠的技术保障和基础服务。整体支出绩效评价按时按要求</w:t>
      </w:r>
      <w:r>
        <w:rPr>
          <w:rFonts w:ascii="仿宋_GB2312" w:eastAsia="仿宋_GB2312"/>
          <w:sz w:val="32"/>
          <w:szCs w:val="32"/>
        </w:rPr>
        <w:t>在门户网站进行公开。</w:t>
      </w:r>
      <w:r>
        <w:rPr>
          <w:rFonts w:hint="eastAsia" w:ascii="仿宋_GB2312" w:eastAsia="仿宋_GB2312"/>
          <w:sz w:val="32"/>
          <w:szCs w:val="32"/>
        </w:rPr>
        <w:t>发现问题及时整改，无违规记录情况。</w:t>
      </w:r>
    </w:p>
    <w:p w14:paraId="420D251B">
      <w:pPr>
        <w:widowControl/>
        <w:adjustRightInd w:val="0"/>
        <w:snapToGrid w:val="0"/>
        <w:spacing w:line="580" w:lineRule="exact"/>
        <w:ind w:left="420"/>
        <w:contextualSpacing/>
        <w:jc w:val="left"/>
        <w:rPr>
          <w:rFonts w:ascii="仿宋_GB2312" w:hAnsi="宋体" w:eastAsia="仿宋_GB2312" w:cs="宋体"/>
          <w:kern w:val="0"/>
          <w:sz w:val="32"/>
          <w:szCs w:val="32"/>
          <w:shd w:val="clear" w:color="auto" w:fill="FFFFFF"/>
          <w:lang w:val="zh-CN"/>
        </w:rPr>
      </w:pPr>
      <w:r>
        <w:rPr>
          <w:rFonts w:hint="eastAsia" w:ascii="仿宋_GB2312" w:hAnsi="宋体"/>
          <w:szCs w:val="32"/>
          <w:lang w:val="zh-CN"/>
        </w:rPr>
        <w:t>（三）</w:t>
      </w:r>
      <w:r>
        <w:rPr>
          <w:rFonts w:hint="eastAsia" w:ascii="仿宋_GB2312" w:hAnsi="宋体" w:eastAsia="仿宋_GB2312" w:cs="宋体"/>
          <w:kern w:val="0"/>
          <w:sz w:val="32"/>
          <w:szCs w:val="32"/>
          <w:shd w:val="clear" w:color="auto" w:fill="FFFFFF"/>
          <w:lang w:val="zh-CN"/>
        </w:rPr>
        <w:t>自评质量</w:t>
      </w:r>
    </w:p>
    <w:p w14:paraId="04AFCBEA">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我单位按要求对2021年部门预算整体支出绩效评价进行自评，</w:t>
      </w:r>
      <w:r>
        <w:rPr>
          <w:rFonts w:ascii="仿宋_GB2312" w:eastAsia="仿宋_GB2312"/>
          <w:sz w:val="32"/>
          <w:szCs w:val="32"/>
        </w:rPr>
        <w:t>较好的完成了年度工作目标</w:t>
      </w:r>
      <w:r>
        <w:rPr>
          <w:rFonts w:hint="eastAsia" w:ascii="仿宋_GB2312" w:eastAsia="仿宋_GB2312"/>
          <w:sz w:val="32"/>
          <w:szCs w:val="32"/>
        </w:rPr>
        <w:t>，</w:t>
      </w:r>
      <w:r>
        <w:rPr>
          <w:rFonts w:ascii="仿宋_GB2312" w:eastAsia="仿宋_GB2312"/>
          <w:sz w:val="32"/>
          <w:szCs w:val="32"/>
        </w:rPr>
        <w:t>根据区级部门支出绩效评价共性指标体系评价标准，评价</w:t>
      </w:r>
      <w:r>
        <w:rPr>
          <w:rFonts w:hint="eastAsia" w:ascii="仿宋_GB2312" w:eastAsia="仿宋_GB2312"/>
          <w:sz w:val="32"/>
          <w:szCs w:val="32"/>
        </w:rPr>
        <w:t>结果良好</w:t>
      </w:r>
      <w:r>
        <w:rPr>
          <w:rFonts w:ascii="仿宋_GB2312" w:eastAsia="仿宋_GB2312"/>
          <w:sz w:val="32"/>
          <w:szCs w:val="32"/>
        </w:rPr>
        <w:t>。</w:t>
      </w:r>
      <w:r>
        <w:rPr>
          <w:rFonts w:hint="eastAsia" w:ascii="仿宋_GB2312" w:eastAsia="仿宋_GB2312"/>
          <w:sz w:val="32"/>
          <w:szCs w:val="32"/>
        </w:rPr>
        <w:t>全年基本支出保证了部门的正常运行和日常工作的正常开展，项目支出保障了重点工作的开展，绩效目标得到较好实现，绩效管理水平不断提高，绩效指标体系逐渐丰富和完善。</w:t>
      </w:r>
    </w:p>
    <w:p w14:paraId="15FF07E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四、评价结论及建议</w:t>
      </w:r>
    </w:p>
    <w:p w14:paraId="749417A0">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（一）评价结论。</w:t>
      </w:r>
    </w:p>
    <w:p w14:paraId="6022D3D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我单位按要求对2021年部门预算整体绩效评价进行自评，自评分为97分，从评价情况看,2021 年我单位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14:paraId="1F27BC2C">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（二）存在问题。</w:t>
      </w:r>
    </w:p>
    <w:p w14:paraId="74A31726">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绩效目标预算执行与年初预算编制有一定偏差。</w:t>
      </w:r>
    </w:p>
    <w:p w14:paraId="2C45E66D">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（三）改进建议。</w:t>
      </w:r>
    </w:p>
    <w:p w14:paraId="4AAB7633">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针对存在的问题，科学设定绩效目标，加强预算执行管理是关键。一是进一步规范部门收支预算编制程序，提高预算编制质量；二是加强项目绩效的目标审核，力求科学合理。</w:t>
      </w:r>
    </w:p>
    <w:p w14:paraId="75535CD4">
      <w:pPr>
        <w:pStyle w:val="6"/>
        <w:spacing w:before="93"/>
        <w:rPr>
          <w:rFonts w:hAnsi="宋体" w:cs="宋体"/>
          <w:sz w:val="32"/>
          <w:szCs w:val="32"/>
          <w:shd w:val="clear" w:color="auto" w:fill="FFFFFF"/>
          <w:lang w:val="zh-CN"/>
        </w:rPr>
      </w:pPr>
    </w:p>
    <w:p w14:paraId="29FECB7D">
      <w:pPr>
        <w:pStyle w:val="6"/>
        <w:spacing w:before="93"/>
        <w:rPr>
          <w:rFonts w:hAnsi="宋体" w:cs="宋体"/>
          <w:sz w:val="32"/>
          <w:szCs w:val="32"/>
          <w:shd w:val="clear" w:color="auto" w:fill="FFFFFF"/>
          <w:lang w:val="zh-CN"/>
        </w:rPr>
      </w:pPr>
    </w:p>
    <w:p w14:paraId="44E15FF2">
      <w:pPr>
        <w:widowControl/>
        <w:jc w:val="center"/>
        <w:textAlignment w:val="center"/>
        <w:rPr>
          <w:rFonts w:ascii="方正小标宋简体" w:hAnsi="方正小标宋简体" w:eastAsia="方正小标宋简体" w:cs="方正小标宋简体"/>
          <w:sz w:val="40"/>
          <w:szCs w:val="40"/>
        </w:rPr>
      </w:pPr>
    </w:p>
    <w:p w14:paraId="05E10E94">
      <w:pPr>
        <w:widowControl/>
        <w:jc w:val="center"/>
        <w:textAlignment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2021年16个</w:t>
      </w:r>
      <w:r>
        <w:rPr>
          <w:rFonts w:hint="eastAsia" w:ascii="方正小标宋简体" w:hAnsi="方正小标宋简体" w:eastAsia="方正小标宋简体" w:cs="方正小标宋简体"/>
          <w:sz w:val="40"/>
          <w:szCs w:val="40"/>
          <w:lang w:val="zh-CN"/>
        </w:rPr>
        <w:t>专项预算项目支出绩效自评报告见附件4</w:t>
      </w:r>
    </w:p>
    <w:p w14:paraId="09317BE8">
      <w:pPr>
        <w:widowControl/>
        <w:jc w:val="center"/>
        <w:textAlignment w:val="center"/>
        <w:rPr>
          <w:rFonts w:ascii="方正小标宋简体" w:hAnsi="方正小标宋简体" w:eastAsia="方正小标宋简体" w:cs="方正小标宋简体"/>
          <w:sz w:val="40"/>
          <w:szCs w:val="40"/>
          <w:lang w:val="zh-CN"/>
        </w:rPr>
      </w:pPr>
    </w:p>
    <w:p w14:paraId="5C7CF5D4">
      <w:pPr>
        <w:widowControl/>
        <w:jc w:val="center"/>
        <w:textAlignment w:val="center"/>
        <w:rPr>
          <w:rFonts w:ascii="方正小标宋简体" w:hAnsi="方正小标宋简体" w:eastAsia="方正小标宋简体" w:cs="方正小标宋简体"/>
          <w:sz w:val="40"/>
          <w:szCs w:val="40"/>
          <w:lang w:val="zh-CN"/>
        </w:rPr>
      </w:pPr>
    </w:p>
    <w:p w14:paraId="3E000FC5">
      <w:pPr>
        <w:widowControl/>
        <w:jc w:val="center"/>
        <w:textAlignment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rPr>
        <w:t>部门预算项目自评16个项目绩效目标自评表见附件5</w:t>
      </w:r>
    </w:p>
    <w:p w14:paraId="07F06230">
      <w:pPr>
        <w:widowControl/>
        <w:jc w:val="center"/>
        <w:textAlignment w:val="center"/>
        <w:rPr>
          <w:rFonts w:ascii="方正小标宋简体" w:hAnsi="方正小标宋简体" w:eastAsia="方正小标宋简体" w:cs="方正小标宋简体"/>
          <w:sz w:val="40"/>
          <w:szCs w:val="40"/>
        </w:rPr>
      </w:pPr>
    </w:p>
    <w:p w14:paraId="60A5B54C">
      <w:pPr>
        <w:widowControl/>
        <w:jc w:val="center"/>
        <w:textAlignment w:val="center"/>
        <w:rPr>
          <w:rFonts w:ascii="方正小标宋简体" w:hAnsi="方正小标宋简体" w:eastAsia="方正小标宋简体" w:cs="方正小标宋简体"/>
          <w:sz w:val="40"/>
          <w:szCs w:val="40"/>
        </w:rPr>
      </w:pPr>
    </w:p>
    <w:p w14:paraId="26240F69">
      <w:pPr>
        <w:widowControl/>
        <w:jc w:val="center"/>
        <w:textAlignment w:val="center"/>
        <w:rPr>
          <w:rFonts w:ascii="方正小标宋简体" w:hAnsi="方正小标宋简体" w:eastAsia="方正小标宋简体" w:cs="方正小标宋简体"/>
          <w:sz w:val="40"/>
          <w:szCs w:val="40"/>
        </w:rPr>
      </w:pPr>
    </w:p>
    <w:bookmarkEnd w:id="58"/>
    <w:p w14:paraId="2AE50451">
      <w:pPr>
        <w:pStyle w:val="3"/>
        <w:rPr>
          <w:rFonts w:ascii="仿宋" w:hAnsi="仿宋" w:eastAsia="仿宋"/>
          <w:b w:val="0"/>
          <w:color w:val="000000"/>
        </w:rPr>
      </w:pPr>
      <w:bookmarkStart w:id="59" w:name="_Toc15396619"/>
    </w:p>
    <w:p w14:paraId="386F3777">
      <w:pPr>
        <w:pStyle w:val="3"/>
        <w:jc w:val="center"/>
        <w:rPr>
          <w:rFonts w:ascii="黑体" w:hAnsi="黑体" w:eastAsia="黑体"/>
          <w:b w:val="0"/>
          <w:color w:val="000000"/>
          <w:sz w:val="44"/>
          <w:szCs w:val="44"/>
        </w:rPr>
      </w:pPr>
      <w:r>
        <w:rPr>
          <w:rFonts w:hint="eastAsia" w:ascii="黑体" w:hAnsi="黑体" w:eastAsia="黑体"/>
          <w:b w:val="0"/>
          <w:color w:val="000000"/>
          <w:sz w:val="44"/>
          <w:szCs w:val="44"/>
        </w:rPr>
        <w:t>第五部分 附表</w:t>
      </w:r>
    </w:p>
    <w:p w14:paraId="3052FA49">
      <w:pPr>
        <w:pStyle w:val="3"/>
        <w:rPr>
          <w:rFonts w:ascii="仿宋" w:hAnsi="仿宋" w:eastAsia="仿宋"/>
          <w:b w:val="0"/>
          <w:color w:val="000000"/>
        </w:rPr>
      </w:pPr>
      <w:r>
        <w:rPr>
          <w:rFonts w:hint="eastAsia" w:ascii="仿宋" w:hAnsi="仿宋" w:eastAsia="仿宋"/>
          <w:b w:val="0"/>
          <w:color w:val="000000"/>
        </w:rPr>
        <w:t>一、收入支出决算总表</w:t>
      </w:r>
      <w:bookmarkEnd w:id="59"/>
    </w:p>
    <w:p w14:paraId="3ACC41E9">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0"/>
    </w:p>
    <w:p w14:paraId="7263EE3C">
      <w:pPr>
        <w:pStyle w:val="3"/>
        <w:rPr>
          <w:rFonts w:ascii="仿宋" w:hAnsi="仿宋" w:eastAsia="仿宋"/>
          <w:color w:val="000000"/>
        </w:rPr>
      </w:pPr>
      <w:bookmarkStart w:id="61"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1"/>
    </w:p>
    <w:p w14:paraId="53AE6A57">
      <w:pPr>
        <w:pStyle w:val="3"/>
        <w:rPr>
          <w:rFonts w:ascii="仿宋" w:hAnsi="仿宋" w:eastAsia="仿宋"/>
          <w:b w:val="0"/>
          <w:color w:val="000000"/>
        </w:rPr>
      </w:pPr>
      <w:bookmarkStart w:id="62"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2"/>
    </w:p>
    <w:p w14:paraId="2CD602E5">
      <w:pPr>
        <w:pStyle w:val="3"/>
        <w:rPr>
          <w:rStyle w:val="26"/>
          <w:rFonts w:ascii="仿宋" w:hAnsi="仿宋" w:eastAsia="仿宋"/>
          <w:b w:val="0"/>
          <w:bCs w:val="0"/>
        </w:rPr>
      </w:pPr>
      <w:bookmarkStart w:id="63"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3"/>
      <w:bookmarkStart w:id="64" w:name="_Toc15396624"/>
    </w:p>
    <w:p w14:paraId="0F3A326E">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4"/>
    </w:p>
    <w:p w14:paraId="7BC751BF">
      <w:pPr>
        <w:pStyle w:val="3"/>
        <w:rPr>
          <w:rFonts w:ascii="仿宋" w:hAnsi="仿宋" w:eastAsia="仿宋"/>
          <w:color w:val="000000"/>
        </w:rPr>
      </w:pPr>
      <w:bookmarkStart w:id="65"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5"/>
    </w:p>
    <w:p w14:paraId="11D47A58">
      <w:pPr>
        <w:pStyle w:val="3"/>
        <w:rPr>
          <w:rFonts w:ascii="仿宋" w:hAnsi="仿宋" w:eastAsia="仿宋"/>
          <w:color w:val="000000"/>
        </w:rPr>
      </w:pPr>
      <w:bookmarkStart w:id="66"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6"/>
    </w:p>
    <w:p w14:paraId="73D20FCA">
      <w:pPr>
        <w:pStyle w:val="3"/>
        <w:rPr>
          <w:rFonts w:ascii="仿宋" w:hAnsi="仿宋" w:eastAsia="仿宋"/>
          <w:color w:val="000000"/>
        </w:rPr>
      </w:pPr>
      <w:bookmarkStart w:id="67"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7"/>
    </w:p>
    <w:p w14:paraId="2BECD199">
      <w:pPr>
        <w:pStyle w:val="3"/>
        <w:rPr>
          <w:rFonts w:ascii="仿宋" w:hAnsi="仿宋" w:eastAsia="仿宋"/>
          <w:color w:val="000000"/>
        </w:rPr>
      </w:pPr>
      <w:bookmarkStart w:id="68"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8"/>
    </w:p>
    <w:p w14:paraId="16759411">
      <w:pPr>
        <w:pStyle w:val="3"/>
        <w:rPr>
          <w:rFonts w:ascii="仿宋" w:hAnsi="仿宋" w:eastAsia="仿宋"/>
          <w:color w:val="000000"/>
        </w:rPr>
      </w:pPr>
      <w:bookmarkStart w:id="69"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9"/>
    </w:p>
    <w:p w14:paraId="2A95BFDD">
      <w:pPr>
        <w:pStyle w:val="3"/>
        <w:rPr>
          <w:rFonts w:ascii="仿宋" w:hAnsi="仿宋" w:eastAsia="仿宋"/>
          <w:color w:val="000000"/>
        </w:rPr>
      </w:pPr>
      <w:bookmarkStart w:id="70"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0"/>
      <w:r>
        <w:rPr>
          <w:rStyle w:val="26"/>
          <w:rFonts w:hint="eastAsia" w:ascii="仿宋" w:hAnsi="仿宋" w:eastAsia="仿宋"/>
          <w:b w:val="0"/>
          <w:bCs w:val="0"/>
        </w:rPr>
        <w:t>（</w:t>
      </w:r>
      <w:r>
        <w:rPr>
          <w:rStyle w:val="26"/>
          <w:rFonts w:hint="eastAsia" w:ascii="仿宋" w:hAnsi="仿宋" w:eastAsia="仿宋"/>
          <w:b w:val="0"/>
          <w:bCs w:val="0"/>
          <w:lang w:eastAsia="zh-CN"/>
        </w:rPr>
        <w:t>此表</w:t>
      </w:r>
      <w:r>
        <w:rPr>
          <w:rStyle w:val="26"/>
          <w:rFonts w:hint="eastAsia" w:ascii="仿宋" w:hAnsi="仿宋" w:eastAsia="仿宋"/>
          <w:b w:val="0"/>
          <w:bCs w:val="0"/>
        </w:rPr>
        <w:t>无数据）</w:t>
      </w:r>
    </w:p>
    <w:p w14:paraId="1F58DC46">
      <w:pPr>
        <w:pStyle w:val="3"/>
        <w:rPr>
          <w:rStyle w:val="26"/>
          <w:rFonts w:ascii="仿宋" w:hAnsi="仿宋" w:eastAsia="仿宋"/>
          <w:b w:val="0"/>
          <w:bCs w:val="0"/>
        </w:rPr>
      </w:pPr>
      <w:bookmarkStart w:id="71"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1"/>
      <w:r>
        <w:rPr>
          <w:rStyle w:val="26"/>
          <w:rFonts w:hint="eastAsia" w:ascii="仿宋" w:hAnsi="仿宋" w:eastAsia="仿宋"/>
          <w:b w:val="0"/>
          <w:bCs w:val="0"/>
        </w:rPr>
        <w:t>（</w:t>
      </w:r>
      <w:r>
        <w:rPr>
          <w:rStyle w:val="26"/>
          <w:rFonts w:hint="eastAsia" w:ascii="仿宋" w:hAnsi="仿宋" w:eastAsia="仿宋"/>
          <w:b w:val="0"/>
          <w:bCs w:val="0"/>
          <w:lang w:eastAsia="zh-CN"/>
        </w:rPr>
        <w:t>此</w:t>
      </w:r>
      <w:r>
        <w:rPr>
          <w:rStyle w:val="26"/>
          <w:rFonts w:hint="eastAsia" w:ascii="仿宋" w:hAnsi="仿宋" w:eastAsia="仿宋"/>
          <w:b w:val="0"/>
          <w:bCs w:val="0"/>
        </w:rPr>
        <w:t>表无数据）</w:t>
      </w:r>
    </w:p>
    <w:p w14:paraId="1079C74F">
      <w:pPr>
        <w:pStyle w:val="3"/>
        <w:rPr>
          <w:rStyle w:val="26"/>
          <w:rFonts w:ascii="仿宋" w:hAnsi="仿宋" w:eastAsia="仿宋"/>
          <w:b w:val="0"/>
          <w:bCs w:val="0"/>
        </w:rPr>
      </w:pPr>
      <w:r>
        <w:rPr>
          <w:rStyle w:val="26"/>
          <w:rFonts w:hint="eastAsia" w:ascii="仿宋" w:hAnsi="仿宋" w:eastAsia="仿宋"/>
          <w:b w:val="0"/>
          <w:bCs w:val="0"/>
        </w:rPr>
        <w:t>十四、</w:t>
      </w:r>
      <w:r>
        <w:rPr>
          <w:rFonts w:hint="eastAsia" w:ascii="仿宋" w:hAnsi="仿宋" w:eastAsia="仿宋"/>
          <w:b w:val="0"/>
          <w:color w:val="000000"/>
        </w:rPr>
        <w:t>国</w:t>
      </w:r>
      <w:r>
        <w:rPr>
          <w:rStyle w:val="26"/>
          <w:rFonts w:hint="eastAsia" w:ascii="仿宋" w:hAnsi="仿宋" w:eastAsia="仿宋"/>
          <w:b w:val="0"/>
          <w:bCs w:val="0"/>
        </w:rPr>
        <w:t>有资本经营预算财政拨款支出决算表（</w:t>
      </w:r>
      <w:r>
        <w:rPr>
          <w:rStyle w:val="26"/>
          <w:rFonts w:hint="eastAsia" w:ascii="仿宋" w:hAnsi="仿宋" w:eastAsia="仿宋"/>
          <w:b w:val="0"/>
          <w:bCs w:val="0"/>
          <w:lang w:eastAsia="zh-CN"/>
        </w:rPr>
        <w:t>此</w:t>
      </w:r>
      <w:r>
        <w:rPr>
          <w:rStyle w:val="26"/>
          <w:rFonts w:hint="eastAsia" w:ascii="仿宋" w:hAnsi="仿宋" w:eastAsia="仿宋"/>
          <w:b w:val="0"/>
          <w:bCs w:val="0"/>
        </w:rPr>
        <w:t>表无数据）</w:t>
      </w:r>
    </w:p>
    <w:sectPr>
      <w:footerReference r:id="rId3" w:type="default"/>
      <w:pgSz w:w="11906" w:h="16838"/>
      <w:pgMar w:top="426" w:right="1800" w:bottom="1135"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8369"/>
    </w:sdtPr>
    <w:sdtContent>
      <w:p w14:paraId="667CB420">
        <w:pPr>
          <w:pStyle w:val="9"/>
          <w:jc w:val="center"/>
        </w:pPr>
        <w:r>
          <w:fldChar w:fldCharType="begin"/>
        </w:r>
        <w:r>
          <w:instrText xml:space="preserve">PAGE   \* MERGEFORMAT</w:instrText>
        </w:r>
        <w:r>
          <w:fldChar w:fldCharType="separate"/>
        </w:r>
        <w:r>
          <w:rPr>
            <w:lang w:val="zh-CN"/>
          </w:rPr>
          <w:t>13</w:t>
        </w:r>
        <w:r>
          <w:rPr>
            <w:lang w:val="zh-CN"/>
          </w:rPr>
          <w:fldChar w:fldCharType="end"/>
        </w:r>
      </w:p>
    </w:sdtContent>
  </w:sdt>
  <w:p w14:paraId="74128A3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657857B"/>
    <w:multiLevelType w:val="singleLevel"/>
    <w:tmpl w:val="D657857B"/>
    <w:lvl w:ilvl="0" w:tentative="0">
      <w:start w:val="1"/>
      <w:numFmt w:val="decimal"/>
      <w:lvlText w:val="%1."/>
      <w:lvlJc w:val="left"/>
      <w:pPr>
        <w:tabs>
          <w:tab w:val="left" w:pos="1164"/>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6FEF"/>
    <w:rsid w:val="00007960"/>
    <w:rsid w:val="00014F70"/>
    <w:rsid w:val="000162DA"/>
    <w:rsid w:val="000222C6"/>
    <w:rsid w:val="00022F91"/>
    <w:rsid w:val="0002549F"/>
    <w:rsid w:val="000329F1"/>
    <w:rsid w:val="000468DB"/>
    <w:rsid w:val="00055298"/>
    <w:rsid w:val="00057E03"/>
    <w:rsid w:val="000619C1"/>
    <w:rsid w:val="0006487A"/>
    <w:rsid w:val="00065F8F"/>
    <w:rsid w:val="000676AC"/>
    <w:rsid w:val="00070A43"/>
    <w:rsid w:val="00070E55"/>
    <w:rsid w:val="0007126A"/>
    <w:rsid w:val="000768F2"/>
    <w:rsid w:val="00076A13"/>
    <w:rsid w:val="0009055F"/>
    <w:rsid w:val="00091011"/>
    <w:rsid w:val="0009184B"/>
    <w:rsid w:val="00094236"/>
    <w:rsid w:val="0009593C"/>
    <w:rsid w:val="00097156"/>
    <w:rsid w:val="00097322"/>
    <w:rsid w:val="000A375F"/>
    <w:rsid w:val="000A6A92"/>
    <w:rsid w:val="000B047F"/>
    <w:rsid w:val="000B5923"/>
    <w:rsid w:val="000B5A48"/>
    <w:rsid w:val="000B6FF3"/>
    <w:rsid w:val="000B7E14"/>
    <w:rsid w:val="000C0D49"/>
    <w:rsid w:val="000C1DC5"/>
    <w:rsid w:val="000C3467"/>
    <w:rsid w:val="000C3CA6"/>
    <w:rsid w:val="000C4ECB"/>
    <w:rsid w:val="000D1267"/>
    <w:rsid w:val="000D1D50"/>
    <w:rsid w:val="000D417B"/>
    <w:rsid w:val="000D5782"/>
    <w:rsid w:val="000E098D"/>
    <w:rsid w:val="000E3B12"/>
    <w:rsid w:val="000E54F3"/>
    <w:rsid w:val="000E6613"/>
    <w:rsid w:val="000E7119"/>
    <w:rsid w:val="000F432B"/>
    <w:rsid w:val="000F53D0"/>
    <w:rsid w:val="00114E9B"/>
    <w:rsid w:val="00117069"/>
    <w:rsid w:val="00122907"/>
    <w:rsid w:val="00124E35"/>
    <w:rsid w:val="00126240"/>
    <w:rsid w:val="001263A7"/>
    <w:rsid w:val="00130FB0"/>
    <w:rsid w:val="0013449D"/>
    <w:rsid w:val="00140652"/>
    <w:rsid w:val="00142216"/>
    <w:rsid w:val="001430FB"/>
    <w:rsid w:val="001447B5"/>
    <w:rsid w:val="00144D6A"/>
    <w:rsid w:val="0014729F"/>
    <w:rsid w:val="00157BAB"/>
    <w:rsid w:val="001654D1"/>
    <w:rsid w:val="001703E0"/>
    <w:rsid w:val="001705A0"/>
    <w:rsid w:val="00174518"/>
    <w:rsid w:val="00180A21"/>
    <w:rsid w:val="0018106D"/>
    <w:rsid w:val="00182813"/>
    <w:rsid w:val="001877A7"/>
    <w:rsid w:val="00191536"/>
    <w:rsid w:val="00191FEB"/>
    <w:rsid w:val="00196465"/>
    <w:rsid w:val="00196687"/>
    <w:rsid w:val="001A4239"/>
    <w:rsid w:val="001A4D3B"/>
    <w:rsid w:val="001A553B"/>
    <w:rsid w:val="001B1AE0"/>
    <w:rsid w:val="001B1CAE"/>
    <w:rsid w:val="001B1FC3"/>
    <w:rsid w:val="001B5FF1"/>
    <w:rsid w:val="001B64BD"/>
    <w:rsid w:val="001B6B70"/>
    <w:rsid w:val="001C0962"/>
    <w:rsid w:val="001C3595"/>
    <w:rsid w:val="001C5802"/>
    <w:rsid w:val="001D5452"/>
    <w:rsid w:val="001D7531"/>
    <w:rsid w:val="001D7B35"/>
    <w:rsid w:val="001E10B1"/>
    <w:rsid w:val="001E6612"/>
    <w:rsid w:val="001E737D"/>
    <w:rsid w:val="001F0592"/>
    <w:rsid w:val="001F1961"/>
    <w:rsid w:val="001F2160"/>
    <w:rsid w:val="001F63ED"/>
    <w:rsid w:val="001F7506"/>
    <w:rsid w:val="002006CD"/>
    <w:rsid w:val="00202B36"/>
    <w:rsid w:val="00203D57"/>
    <w:rsid w:val="002049E1"/>
    <w:rsid w:val="00204B7A"/>
    <w:rsid w:val="00204CDE"/>
    <w:rsid w:val="00207DBE"/>
    <w:rsid w:val="0021101A"/>
    <w:rsid w:val="002149CF"/>
    <w:rsid w:val="00220536"/>
    <w:rsid w:val="00235629"/>
    <w:rsid w:val="00235BB2"/>
    <w:rsid w:val="0024349B"/>
    <w:rsid w:val="002435D6"/>
    <w:rsid w:val="00247AEF"/>
    <w:rsid w:val="002505B4"/>
    <w:rsid w:val="00250763"/>
    <w:rsid w:val="002513CA"/>
    <w:rsid w:val="002569D2"/>
    <w:rsid w:val="00260C38"/>
    <w:rsid w:val="002616C0"/>
    <w:rsid w:val="0026358D"/>
    <w:rsid w:val="00264BEC"/>
    <w:rsid w:val="00265372"/>
    <w:rsid w:val="002662AA"/>
    <w:rsid w:val="00280496"/>
    <w:rsid w:val="002804AA"/>
    <w:rsid w:val="00282C3C"/>
    <w:rsid w:val="002866A2"/>
    <w:rsid w:val="0028775F"/>
    <w:rsid w:val="00294DC9"/>
    <w:rsid w:val="00295495"/>
    <w:rsid w:val="002A31DE"/>
    <w:rsid w:val="002B2613"/>
    <w:rsid w:val="002B3D2B"/>
    <w:rsid w:val="002B58F2"/>
    <w:rsid w:val="002B73E0"/>
    <w:rsid w:val="002C0461"/>
    <w:rsid w:val="002C40D7"/>
    <w:rsid w:val="002D19B0"/>
    <w:rsid w:val="002D6D05"/>
    <w:rsid w:val="002E5D0E"/>
    <w:rsid w:val="002F1818"/>
    <w:rsid w:val="002F567B"/>
    <w:rsid w:val="00302369"/>
    <w:rsid w:val="00314DA9"/>
    <w:rsid w:val="003162F9"/>
    <w:rsid w:val="003170EC"/>
    <w:rsid w:val="003216A9"/>
    <w:rsid w:val="00323C8E"/>
    <w:rsid w:val="00335A74"/>
    <w:rsid w:val="00343658"/>
    <w:rsid w:val="00352C0A"/>
    <w:rsid w:val="00355C1B"/>
    <w:rsid w:val="0036561B"/>
    <w:rsid w:val="0037013F"/>
    <w:rsid w:val="00372EB8"/>
    <w:rsid w:val="0037409C"/>
    <w:rsid w:val="00380C92"/>
    <w:rsid w:val="0039132B"/>
    <w:rsid w:val="00391E12"/>
    <w:rsid w:val="003A484F"/>
    <w:rsid w:val="003A4883"/>
    <w:rsid w:val="003B0BE0"/>
    <w:rsid w:val="003B0C1B"/>
    <w:rsid w:val="003B3FAF"/>
    <w:rsid w:val="003B688C"/>
    <w:rsid w:val="003C0291"/>
    <w:rsid w:val="003C1A6A"/>
    <w:rsid w:val="003C39AE"/>
    <w:rsid w:val="003C7B60"/>
    <w:rsid w:val="003D0C0F"/>
    <w:rsid w:val="003D1FB2"/>
    <w:rsid w:val="003D66DA"/>
    <w:rsid w:val="003D6CBC"/>
    <w:rsid w:val="003E1310"/>
    <w:rsid w:val="003E5EA9"/>
    <w:rsid w:val="003E6F55"/>
    <w:rsid w:val="003E70F7"/>
    <w:rsid w:val="003E73FC"/>
    <w:rsid w:val="003F11D7"/>
    <w:rsid w:val="003F692F"/>
    <w:rsid w:val="00402892"/>
    <w:rsid w:val="00406254"/>
    <w:rsid w:val="00407ED0"/>
    <w:rsid w:val="0041178F"/>
    <w:rsid w:val="00416CD4"/>
    <w:rsid w:val="0041747D"/>
    <w:rsid w:val="00421C58"/>
    <w:rsid w:val="004223DE"/>
    <w:rsid w:val="00422413"/>
    <w:rsid w:val="00423ED7"/>
    <w:rsid w:val="00434489"/>
    <w:rsid w:val="00437085"/>
    <w:rsid w:val="00437AE9"/>
    <w:rsid w:val="00443880"/>
    <w:rsid w:val="00444E70"/>
    <w:rsid w:val="004451E4"/>
    <w:rsid w:val="004464F4"/>
    <w:rsid w:val="00446C51"/>
    <w:rsid w:val="00450C11"/>
    <w:rsid w:val="0046140A"/>
    <w:rsid w:val="00462CCC"/>
    <w:rsid w:val="00464352"/>
    <w:rsid w:val="004648DB"/>
    <w:rsid w:val="00467151"/>
    <w:rsid w:val="00471401"/>
    <w:rsid w:val="00473F31"/>
    <w:rsid w:val="00477903"/>
    <w:rsid w:val="00481527"/>
    <w:rsid w:val="0048263A"/>
    <w:rsid w:val="00487E5D"/>
    <w:rsid w:val="004A711F"/>
    <w:rsid w:val="004B199D"/>
    <w:rsid w:val="004B421D"/>
    <w:rsid w:val="004B4690"/>
    <w:rsid w:val="004C3D3E"/>
    <w:rsid w:val="004D23D7"/>
    <w:rsid w:val="004E0A2D"/>
    <w:rsid w:val="004E0B8D"/>
    <w:rsid w:val="004E1547"/>
    <w:rsid w:val="004E206B"/>
    <w:rsid w:val="004E4962"/>
    <w:rsid w:val="004E6DF7"/>
    <w:rsid w:val="004F0CAC"/>
    <w:rsid w:val="004F0FBD"/>
    <w:rsid w:val="004F403E"/>
    <w:rsid w:val="004F468E"/>
    <w:rsid w:val="0050125E"/>
    <w:rsid w:val="00505A47"/>
    <w:rsid w:val="00512FDA"/>
    <w:rsid w:val="005152F4"/>
    <w:rsid w:val="00520DA0"/>
    <w:rsid w:val="005230EE"/>
    <w:rsid w:val="0053762C"/>
    <w:rsid w:val="005418D9"/>
    <w:rsid w:val="005510A2"/>
    <w:rsid w:val="0055429E"/>
    <w:rsid w:val="005547EE"/>
    <w:rsid w:val="005664BB"/>
    <w:rsid w:val="00566EAF"/>
    <w:rsid w:val="00566FFA"/>
    <w:rsid w:val="0056756C"/>
    <w:rsid w:val="00567D5D"/>
    <w:rsid w:val="0057481D"/>
    <w:rsid w:val="00575F0B"/>
    <w:rsid w:val="0058486E"/>
    <w:rsid w:val="00585B33"/>
    <w:rsid w:val="0059014D"/>
    <w:rsid w:val="005B3C10"/>
    <w:rsid w:val="005B5C64"/>
    <w:rsid w:val="005C6BD0"/>
    <w:rsid w:val="005C6C4C"/>
    <w:rsid w:val="005C70F9"/>
    <w:rsid w:val="005D1C8B"/>
    <w:rsid w:val="005D2E46"/>
    <w:rsid w:val="005D468D"/>
    <w:rsid w:val="005D5CED"/>
    <w:rsid w:val="005D7599"/>
    <w:rsid w:val="005E215F"/>
    <w:rsid w:val="005F1A4C"/>
    <w:rsid w:val="005F6A6D"/>
    <w:rsid w:val="005F6C24"/>
    <w:rsid w:val="00605688"/>
    <w:rsid w:val="00606E42"/>
    <w:rsid w:val="006070AF"/>
    <w:rsid w:val="00607E6C"/>
    <w:rsid w:val="006101B1"/>
    <w:rsid w:val="00613B0E"/>
    <w:rsid w:val="00614E44"/>
    <w:rsid w:val="0062270A"/>
    <w:rsid w:val="00622830"/>
    <w:rsid w:val="00623DA0"/>
    <w:rsid w:val="00626988"/>
    <w:rsid w:val="00630AEF"/>
    <w:rsid w:val="006325F8"/>
    <w:rsid w:val="00633463"/>
    <w:rsid w:val="00633E26"/>
    <w:rsid w:val="00634C9A"/>
    <w:rsid w:val="006356C5"/>
    <w:rsid w:val="0063620E"/>
    <w:rsid w:val="00642D4C"/>
    <w:rsid w:val="006440E4"/>
    <w:rsid w:val="0066343B"/>
    <w:rsid w:val="00664777"/>
    <w:rsid w:val="006657F1"/>
    <w:rsid w:val="00673AA7"/>
    <w:rsid w:val="006748A4"/>
    <w:rsid w:val="0068067D"/>
    <w:rsid w:val="00681A31"/>
    <w:rsid w:val="00683E73"/>
    <w:rsid w:val="006927CD"/>
    <w:rsid w:val="0069415B"/>
    <w:rsid w:val="006A2466"/>
    <w:rsid w:val="006A3141"/>
    <w:rsid w:val="006A5E34"/>
    <w:rsid w:val="006B2422"/>
    <w:rsid w:val="006B2B9A"/>
    <w:rsid w:val="006B537B"/>
    <w:rsid w:val="006C1937"/>
    <w:rsid w:val="006D3FAB"/>
    <w:rsid w:val="006D4537"/>
    <w:rsid w:val="006D4D68"/>
    <w:rsid w:val="006E670C"/>
    <w:rsid w:val="006F020C"/>
    <w:rsid w:val="006F1A49"/>
    <w:rsid w:val="00704019"/>
    <w:rsid w:val="007043B7"/>
    <w:rsid w:val="007104A4"/>
    <w:rsid w:val="00710FE5"/>
    <w:rsid w:val="007117C5"/>
    <w:rsid w:val="00711F6A"/>
    <w:rsid w:val="007127B7"/>
    <w:rsid w:val="007161F9"/>
    <w:rsid w:val="0071798E"/>
    <w:rsid w:val="00723CFE"/>
    <w:rsid w:val="007255D9"/>
    <w:rsid w:val="00727533"/>
    <w:rsid w:val="007314EB"/>
    <w:rsid w:val="007416B6"/>
    <w:rsid w:val="00746F48"/>
    <w:rsid w:val="0075404D"/>
    <w:rsid w:val="007568E9"/>
    <w:rsid w:val="0076182A"/>
    <w:rsid w:val="0076364F"/>
    <w:rsid w:val="00766667"/>
    <w:rsid w:val="00767B7E"/>
    <w:rsid w:val="007706B3"/>
    <w:rsid w:val="0077420B"/>
    <w:rsid w:val="00776C03"/>
    <w:rsid w:val="007770C3"/>
    <w:rsid w:val="00782F99"/>
    <w:rsid w:val="00784D24"/>
    <w:rsid w:val="00785FBA"/>
    <w:rsid w:val="00786E4A"/>
    <w:rsid w:val="007875EB"/>
    <w:rsid w:val="007907FD"/>
    <w:rsid w:val="0079426B"/>
    <w:rsid w:val="007962D5"/>
    <w:rsid w:val="007A165C"/>
    <w:rsid w:val="007A1E65"/>
    <w:rsid w:val="007A205D"/>
    <w:rsid w:val="007A47AF"/>
    <w:rsid w:val="007A605E"/>
    <w:rsid w:val="007B0B13"/>
    <w:rsid w:val="007C240C"/>
    <w:rsid w:val="007C4A09"/>
    <w:rsid w:val="007D1682"/>
    <w:rsid w:val="007D2847"/>
    <w:rsid w:val="007D312A"/>
    <w:rsid w:val="007D3F19"/>
    <w:rsid w:val="007E23B0"/>
    <w:rsid w:val="007E7E81"/>
    <w:rsid w:val="007F1991"/>
    <w:rsid w:val="007F2C2F"/>
    <w:rsid w:val="007F438D"/>
    <w:rsid w:val="007F44C7"/>
    <w:rsid w:val="007F55FC"/>
    <w:rsid w:val="007F5665"/>
    <w:rsid w:val="00800112"/>
    <w:rsid w:val="00805CE3"/>
    <w:rsid w:val="00813348"/>
    <w:rsid w:val="0081373B"/>
    <w:rsid w:val="00813ED8"/>
    <w:rsid w:val="0081629B"/>
    <w:rsid w:val="008163A9"/>
    <w:rsid w:val="00820B4E"/>
    <w:rsid w:val="00824C2C"/>
    <w:rsid w:val="00825380"/>
    <w:rsid w:val="008253BB"/>
    <w:rsid w:val="00826E58"/>
    <w:rsid w:val="00833962"/>
    <w:rsid w:val="00835A6B"/>
    <w:rsid w:val="0083706E"/>
    <w:rsid w:val="00837DC3"/>
    <w:rsid w:val="00840718"/>
    <w:rsid w:val="008408F6"/>
    <w:rsid w:val="0084145A"/>
    <w:rsid w:val="00841AC6"/>
    <w:rsid w:val="008423A5"/>
    <w:rsid w:val="008429A8"/>
    <w:rsid w:val="00850625"/>
    <w:rsid w:val="0085301C"/>
    <w:rsid w:val="00853718"/>
    <w:rsid w:val="00853A74"/>
    <w:rsid w:val="00855221"/>
    <w:rsid w:val="0085692C"/>
    <w:rsid w:val="00860645"/>
    <w:rsid w:val="00866011"/>
    <w:rsid w:val="00871F71"/>
    <w:rsid w:val="0087223F"/>
    <w:rsid w:val="00872FD8"/>
    <w:rsid w:val="008817F9"/>
    <w:rsid w:val="00885AF4"/>
    <w:rsid w:val="008939CD"/>
    <w:rsid w:val="00894BB3"/>
    <w:rsid w:val="00894EE2"/>
    <w:rsid w:val="008B527D"/>
    <w:rsid w:val="008B768C"/>
    <w:rsid w:val="008C25E3"/>
    <w:rsid w:val="008C4DB1"/>
    <w:rsid w:val="008C4EAF"/>
    <w:rsid w:val="008C5176"/>
    <w:rsid w:val="008C6E65"/>
    <w:rsid w:val="008C7FD0"/>
    <w:rsid w:val="008D1271"/>
    <w:rsid w:val="008D421D"/>
    <w:rsid w:val="008E1DE7"/>
    <w:rsid w:val="008E2D38"/>
    <w:rsid w:val="008E4696"/>
    <w:rsid w:val="008E616B"/>
    <w:rsid w:val="008E707C"/>
    <w:rsid w:val="008E7126"/>
    <w:rsid w:val="00900AB2"/>
    <w:rsid w:val="00900B08"/>
    <w:rsid w:val="00901E3C"/>
    <w:rsid w:val="00902155"/>
    <w:rsid w:val="00902B95"/>
    <w:rsid w:val="00902FA3"/>
    <w:rsid w:val="00906F81"/>
    <w:rsid w:val="009117D4"/>
    <w:rsid w:val="00921F03"/>
    <w:rsid w:val="00922D06"/>
    <w:rsid w:val="00923564"/>
    <w:rsid w:val="0092392E"/>
    <w:rsid w:val="009254B2"/>
    <w:rsid w:val="009315F9"/>
    <w:rsid w:val="009319E5"/>
    <w:rsid w:val="00932261"/>
    <w:rsid w:val="00933499"/>
    <w:rsid w:val="009346B5"/>
    <w:rsid w:val="00935C98"/>
    <w:rsid w:val="0093601C"/>
    <w:rsid w:val="00936D95"/>
    <w:rsid w:val="00941714"/>
    <w:rsid w:val="0094231C"/>
    <w:rsid w:val="00946945"/>
    <w:rsid w:val="0094714A"/>
    <w:rsid w:val="00951248"/>
    <w:rsid w:val="0095152F"/>
    <w:rsid w:val="0095475E"/>
    <w:rsid w:val="00954C49"/>
    <w:rsid w:val="00955E37"/>
    <w:rsid w:val="0097099F"/>
    <w:rsid w:val="00971997"/>
    <w:rsid w:val="00971FFC"/>
    <w:rsid w:val="009811A5"/>
    <w:rsid w:val="0098660A"/>
    <w:rsid w:val="00992B64"/>
    <w:rsid w:val="009931C3"/>
    <w:rsid w:val="009954CB"/>
    <w:rsid w:val="00996348"/>
    <w:rsid w:val="009A2B9C"/>
    <w:rsid w:val="009A70DA"/>
    <w:rsid w:val="009A7110"/>
    <w:rsid w:val="009B063B"/>
    <w:rsid w:val="009B1612"/>
    <w:rsid w:val="009B2AAB"/>
    <w:rsid w:val="009B2C43"/>
    <w:rsid w:val="009B3AA2"/>
    <w:rsid w:val="009B4EAE"/>
    <w:rsid w:val="009B6E05"/>
    <w:rsid w:val="009B7573"/>
    <w:rsid w:val="009B7A60"/>
    <w:rsid w:val="009C22F4"/>
    <w:rsid w:val="009C2E98"/>
    <w:rsid w:val="009C3351"/>
    <w:rsid w:val="009C37FB"/>
    <w:rsid w:val="009C3D55"/>
    <w:rsid w:val="009C798C"/>
    <w:rsid w:val="009D317A"/>
    <w:rsid w:val="009D3447"/>
    <w:rsid w:val="009D4520"/>
    <w:rsid w:val="009D4711"/>
    <w:rsid w:val="009F01FD"/>
    <w:rsid w:val="009F1185"/>
    <w:rsid w:val="009F18CD"/>
    <w:rsid w:val="009F2A13"/>
    <w:rsid w:val="009F3C60"/>
    <w:rsid w:val="009F60E7"/>
    <w:rsid w:val="009F7527"/>
    <w:rsid w:val="00A01B71"/>
    <w:rsid w:val="00A039ED"/>
    <w:rsid w:val="00A04EB0"/>
    <w:rsid w:val="00A05D87"/>
    <w:rsid w:val="00A11E26"/>
    <w:rsid w:val="00A13B22"/>
    <w:rsid w:val="00A13CC1"/>
    <w:rsid w:val="00A16847"/>
    <w:rsid w:val="00A22BA8"/>
    <w:rsid w:val="00A237D8"/>
    <w:rsid w:val="00A245CF"/>
    <w:rsid w:val="00A268C4"/>
    <w:rsid w:val="00A2773D"/>
    <w:rsid w:val="00A277BC"/>
    <w:rsid w:val="00A307CD"/>
    <w:rsid w:val="00A331C8"/>
    <w:rsid w:val="00A33FCB"/>
    <w:rsid w:val="00A35117"/>
    <w:rsid w:val="00A3604F"/>
    <w:rsid w:val="00A37350"/>
    <w:rsid w:val="00A374C1"/>
    <w:rsid w:val="00A40A00"/>
    <w:rsid w:val="00A4142F"/>
    <w:rsid w:val="00A41ECB"/>
    <w:rsid w:val="00A422EB"/>
    <w:rsid w:val="00A43503"/>
    <w:rsid w:val="00A45BB7"/>
    <w:rsid w:val="00A56DF2"/>
    <w:rsid w:val="00A56E6E"/>
    <w:rsid w:val="00A56EA3"/>
    <w:rsid w:val="00A61149"/>
    <w:rsid w:val="00A679D6"/>
    <w:rsid w:val="00A67AB5"/>
    <w:rsid w:val="00A733B2"/>
    <w:rsid w:val="00A741C2"/>
    <w:rsid w:val="00A74B03"/>
    <w:rsid w:val="00A76176"/>
    <w:rsid w:val="00A91760"/>
    <w:rsid w:val="00A918BD"/>
    <w:rsid w:val="00A93B00"/>
    <w:rsid w:val="00A93C21"/>
    <w:rsid w:val="00A93FB3"/>
    <w:rsid w:val="00AA21B6"/>
    <w:rsid w:val="00AB04F6"/>
    <w:rsid w:val="00AB2C93"/>
    <w:rsid w:val="00AB64C9"/>
    <w:rsid w:val="00AC0DC3"/>
    <w:rsid w:val="00AC3C6A"/>
    <w:rsid w:val="00AC5ABA"/>
    <w:rsid w:val="00AD0F83"/>
    <w:rsid w:val="00AD492F"/>
    <w:rsid w:val="00AD5620"/>
    <w:rsid w:val="00AD656B"/>
    <w:rsid w:val="00AD65E2"/>
    <w:rsid w:val="00AD7C1B"/>
    <w:rsid w:val="00AE16BA"/>
    <w:rsid w:val="00AE1EBE"/>
    <w:rsid w:val="00AE5BD1"/>
    <w:rsid w:val="00B03C9D"/>
    <w:rsid w:val="00B060AE"/>
    <w:rsid w:val="00B06775"/>
    <w:rsid w:val="00B076F2"/>
    <w:rsid w:val="00B10517"/>
    <w:rsid w:val="00B13FD2"/>
    <w:rsid w:val="00B14E76"/>
    <w:rsid w:val="00B15376"/>
    <w:rsid w:val="00B161B8"/>
    <w:rsid w:val="00B1663D"/>
    <w:rsid w:val="00B2048C"/>
    <w:rsid w:val="00B2360A"/>
    <w:rsid w:val="00B310B9"/>
    <w:rsid w:val="00B3288A"/>
    <w:rsid w:val="00B3415A"/>
    <w:rsid w:val="00B35F3F"/>
    <w:rsid w:val="00B36CBB"/>
    <w:rsid w:val="00B40E31"/>
    <w:rsid w:val="00B425E0"/>
    <w:rsid w:val="00B440AA"/>
    <w:rsid w:val="00B44731"/>
    <w:rsid w:val="00B44B70"/>
    <w:rsid w:val="00B53C56"/>
    <w:rsid w:val="00B554B2"/>
    <w:rsid w:val="00B57DAF"/>
    <w:rsid w:val="00B62AF1"/>
    <w:rsid w:val="00B71939"/>
    <w:rsid w:val="00B758C9"/>
    <w:rsid w:val="00B77EA6"/>
    <w:rsid w:val="00B81598"/>
    <w:rsid w:val="00B841F1"/>
    <w:rsid w:val="00B855C8"/>
    <w:rsid w:val="00B926AD"/>
    <w:rsid w:val="00B944D6"/>
    <w:rsid w:val="00BA7213"/>
    <w:rsid w:val="00BA768E"/>
    <w:rsid w:val="00BA7AAE"/>
    <w:rsid w:val="00BB349E"/>
    <w:rsid w:val="00BB4DF0"/>
    <w:rsid w:val="00BC289F"/>
    <w:rsid w:val="00BC2D50"/>
    <w:rsid w:val="00BC48F2"/>
    <w:rsid w:val="00BC5361"/>
    <w:rsid w:val="00BC5460"/>
    <w:rsid w:val="00BC6B50"/>
    <w:rsid w:val="00BD0E25"/>
    <w:rsid w:val="00BD7C90"/>
    <w:rsid w:val="00BE0D9C"/>
    <w:rsid w:val="00BE0F7D"/>
    <w:rsid w:val="00BE1B0D"/>
    <w:rsid w:val="00BE24CB"/>
    <w:rsid w:val="00BE28E4"/>
    <w:rsid w:val="00BF03A4"/>
    <w:rsid w:val="00BF14F7"/>
    <w:rsid w:val="00BF5BD6"/>
    <w:rsid w:val="00C00743"/>
    <w:rsid w:val="00C03E31"/>
    <w:rsid w:val="00C04A15"/>
    <w:rsid w:val="00C05B4B"/>
    <w:rsid w:val="00C10B92"/>
    <w:rsid w:val="00C11CF3"/>
    <w:rsid w:val="00C13F03"/>
    <w:rsid w:val="00C1629E"/>
    <w:rsid w:val="00C22E1B"/>
    <w:rsid w:val="00C2793F"/>
    <w:rsid w:val="00C30E69"/>
    <w:rsid w:val="00C33E72"/>
    <w:rsid w:val="00C354B2"/>
    <w:rsid w:val="00C35554"/>
    <w:rsid w:val="00C35847"/>
    <w:rsid w:val="00C42709"/>
    <w:rsid w:val="00C45E87"/>
    <w:rsid w:val="00C46C97"/>
    <w:rsid w:val="00C51F41"/>
    <w:rsid w:val="00C533CC"/>
    <w:rsid w:val="00C55E22"/>
    <w:rsid w:val="00C5751C"/>
    <w:rsid w:val="00C61BFC"/>
    <w:rsid w:val="00C62B85"/>
    <w:rsid w:val="00C65438"/>
    <w:rsid w:val="00C72B9A"/>
    <w:rsid w:val="00C75911"/>
    <w:rsid w:val="00C80AA0"/>
    <w:rsid w:val="00C8118A"/>
    <w:rsid w:val="00C81A8C"/>
    <w:rsid w:val="00C835DC"/>
    <w:rsid w:val="00C9035B"/>
    <w:rsid w:val="00C91CBB"/>
    <w:rsid w:val="00CA2BA6"/>
    <w:rsid w:val="00CA3104"/>
    <w:rsid w:val="00CA6E61"/>
    <w:rsid w:val="00CB3699"/>
    <w:rsid w:val="00CB3C3B"/>
    <w:rsid w:val="00CB49BE"/>
    <w:rsid w:val="00CB4E70"/>
    <w:rsid w:val="00CC09B6"/>
    <w:rsid w:val="00CC0E24"/>
    <w:rsid w:val="00CC2447"/>
    <w:rsid w:val="00CC666F"/>
    <w:rsid w:val="00CD1E3F"/>
    <w:rsid w:val="00CD236A"/>
    <w:rsid w:val="00CE0AA1"/>
    <w:rsid w:val="00CE0F2E"/>
    <w:rsid w:val="00CE2144"/>
    <w:rsid w:val="00CE44F6"/>
    <w:rsid w:val="00CE49DA"/>
    <w:rsid w:val="00CE677C"/>
    <w:rsid w:val="00CE7B61"/>
    <w:rsid w:val="00CF0003"/>
    <w:rsid w:val="00CF6B4E"/>
    <w:rsid w:val="00D00095"/>
    <w:rsid w:val="00D114F0"/>
    <w:rsid w:val="00D20620"/>
    <w:rsid w:val="00D254F7"/>
    <w:rsid w:val="00D2586D"/>
    <w:rsid w:val="00D26091"/>
    <w:rsid w:val="00D2685C"/>
    <w:rsid w:val="00D321AF"/>
    <w:rsid w:val="00D34487"/>
    <w:rsid w:val="00D34E7C"/>
    <w:rsid w:val="00D35489"/>
    <w:rsid w:val="00D36AFE"/>
    <w:rsid w:val="00D379A1"/>
    <w:rsid w:val="00D41040"/>
    <w:rsid w:val="00D51276"/>
    <w:rsid w:val="00D54124"/>
    <w:rsid w:val="00D57900"/>
    <w:rsid w:val="00D67B82"/>
    <w:rsid w:val="00D7035F"/>
    <w:rsid w:val="00D74432"/>
    <w:rsid w:val="00D750F1"/>
    <w:rsid w:val="00D8086E"/>
    <w:rsid w:val="00D81891"/>
    <w:rsid w:val="00D84F2A"/>
    <w:rsid w:val="00D8678D"/>
    <w:rsid w:val="00D86D71"/>
    <w:rsid w:val="00D87EE3"/>
    <w:rsid w:val="00D92852"/>
    <w:rsid w:val="00DA526E"/>
    <w:rsid w:val="00DA634F"/>
    <w:rsid w:val="00DA65AC"/>
    <w:rsid w:val="00DB1913"/>
    <w:rsid w:val="00DC410D"/>
    <w:rsid w:val="00DC5A81"/>
    <w:rsid w:val="00DC68CA"/>
    <w:rsid w:val="00DC7CBA"/>
    <w:rsid w:val="00DD31A0"/>
    <w:rsid w:val="00DD607C"/>
    <w:rsid w:val="00DD6D6F"/>
    <w:rsid w:val="00DD73B7"/>
    <w:rsid w:val="00DE0126"/>
    <w:rsid w:val="00DE11E8"/>
    <w:rsid w:val="00DE32A3"/>
    <w:rsid w:val="00DF0735"/>
    <w:rsid w:val="00DF28BC"/>
    <w:rsid w:val="00DF33BD"/>
    <w:rsid w:val="00DF3493"/>
    <w:rsid w:val="00DF34B9"/>
    <w:rsid w:val="00E003F9"/>
    <w:rsid w:val="00E01053"/>
    <w:rsid w:val="00E07ACF"/>
    <w:rsid w:val="00E10644"/>
    <w:rsid w:val="00E15C65"/>
    <w:rsid w:val="00E26E27"/>
    <w:rsid w:val="00E331A1"/>
    <w:rsid w:val="00E33202"/>
    <w:rsid w:val="00E336A9"/>
    <w:rsid w:val="00E35A33"/>
    <w:rsid w:val="00E42BC9"/>
    <w:rsid w:val="00E4638C"/>
    <w:rsid w:val="00E472B1"/>
    <w:rsid w:val="00E50624"/>
    <w:rsid w:val="00E5110C"/>
    <w:rsid w:val="00E568DF"/>
    <w:rsid w:val="00E57A8A"/>
    <w:rsid w:val="00E63CE6"/>
    <w:rsid w:val="00E63F1B"/>
    <w:rsid w:val="00E64269"/>
    <w:rsid w:val="00E66797"/>
    <w:rsid w:val="00E82267"/>
    <w:rsid w:val="00E83137"/>
    <w:rsid w:val="00E83CA2"/>
    <w:rsid w:val="00E83DEE"/>
    <w:rsid w:val="00E853CE"/>
    <w:rsid w:val="00E867B6"/>
    <w:rsid w:val="00E87F08"/>
    <w:rsid w:val="00E905B1"/>
    <w:rsid w:val="00EA010F"/>
    <w:rsid w:val="00EA6D98"/>
    <w:rsid w:val="00EB1D04"/>
    <w:rsid w:val="00EB578C"/>
    <w:rsid w:val="00EB66CA"/>
    <w:rsid w:val="00EC25F1"/>
    <w:rsid w:val="00EC727A"/>
    <w:rsid w:val="00ED1B63"/>
    <w:rsid w:val="00ED3C1F"/>
    <w:rsid w:val="00ED4085"/>
    <w:rsid w:val="00ED420E"/>
    <w:rsid w:val="00ED68AA"/>
    <w:rsid w:val="00ED6FBE"/>
    <w:rsid w:val="00EE2F57"/>
    <w:rsid w:val="00EE323F"/>
    <w:rsid w:val="00EE32F3"/>
    <w:rsid w:val="00EE6956"/>
    <w:rsid w:val="00EF4C34"/>
    <w:rsid w:val="00EF77C6"/>
    <w:rsid w:val="00F04881"/>
    <w:rsid w:val="00F05438"/>
    <w:rsid w:val="00F1361C"/>
    <w:rsid w:val="00F156F0"/>
    <w:rsid w:val="00F160C7"/>
    <w:rsid w:val="00F20392"/>
    <w:rsid w:val="00F2408F"/>
    <w:rsid w:val="00F240E9"/>
    <w:rsid w:val="00F26B6E"/>
    <w:rsid w:val="00F3422F"/>
    <w:rsid w:val="00F36D8F"/>
    <w:rsid w:val="00F417B1"/>
    <w:rsid w:val="00F44C21"/>
    <w:rsid w:val="00F45853"/>
    <w:rsid w:val="00F5117D"/>
    <w:rsid w:val="00F52D28"/>
    <w:rsid w:val="00F602DF"/>
    <w:rsid w:val="00F6142E"/>
    <w:rsid w:val="00F754A1"/>
    <w:rsid w:val="00F75839"/>
    <w:rsid w:val="00F8039B"/>
    <w:rsid w:val="00F81FD9"/>
    <w:rsid w:val="00F841AA"/>
    <w:rsid w:val="00F84A94"/>
    <w:rsid w:val="00F87E96"/>
    <w:rsid w:val="00F914ED"/>
    <w:rsid w:val="00F949ED"/>
    <w:rsid w:val="00F95892"/>
    <w:rsid w:val="00F97E6A"/>
    <w:rsid w:val="00FA23E8"/>
    <w:rsid w:val="00FA34D9"/>
    <w:rsid w:val="00FA4A6B"/>
    <w:rsid w:val="00FA7D1D"/>
    <w:rsid w:val="00FB716A"/>
    <w:rsid w:val="00FC3094"/>
    <w:rsid w:val="00FC438F"/>
    <w:rsid w:val="00FC4605"/>
    <w:rsid w:val="00FD1F7C"/>
    <w:rsid w:val="00FD3980"/>
    <w:rsid w:val="00FD3CC1"/>
    <w:rsid w:val="00FD4058"/>
    <w:rsid w:val="00FE0359"/>
    <w:rsid w:val="00FE149B"/>
    <w:rsid w:val="00FF04C2"/>
    <w:rsid w:val="00FF0546"/>
    <w:rsid w:val="00FF1E02"/>
    <w:rsid w:val="00FF30B4"/>
    <w:rsid w:val="00FF6EEA"/>
    <w:rsid w:val="0E9C2E85"/>
    <w:rsid w:val="10C055FF"/>
    <w:rsid w:val="16BB723D"/>
    <w:rsid w:val="1AF11496"/>
    <w:rsid w:val="240371BF"/>
    <w:rsid w:val="25125EFC"/>
    <w:rsid w:val="29F671A5"/>
    <w:rsid w:val="29FD04D3"/>
    <w:rsid w:val="2A6B7798"/>
    <w:rsid w:val="319F7F4E"/>
    <w:rsid w:val="3C605E3B"/>
    <w:rsid w:val="47CA41FA"/>
    <w:rsid w:val="4ECE2238"/>
    <w:rsid w:val="71455B4E"/>
    <w:rsid w:val="72734D90"/>
    <w:rsid w:val="74C93A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ascii="Arial" w:hAnsi="Arial" w:eastAsia="黑体"/>
      <w:sz w:val="20"/>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年度收、支决算总计变动情况</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dLbl>
              <c:idx val="2"/>
              <c:layout>
                <c:manualLayout>
                  <c:x val="-0.0332056194125161"/>
                  <c:y val="-0.003333333333333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本年收入</c:v>
                </c:pt>
                <c:pt idx="1">
                  <c:v>年初结转结余</c:v>
                </c:pt>
                <c:pt idx="2">
                  <c:v>本年支出</c:v>
                </c:pt>
                <c:pt idx="3">
                  <c:v>年末结转结余</c:v>
                </c:pt>
              </c:strCache>
            </c:strRef>
          </c:cat>
          <c:val>
            <c:numRef>
              <c:f>Sheet1!$B$2:$B$5</c:f>
              <c:numCache>
                <c:formatCode>General</c:formatCode>
                <c:ptCount val="4"/>
                <c:pt idx="0">
                  <c:v>1509.41</c:v>
                </c:pt>
                <c:pt idx="1">
                  <c:v>312.77</c:v>
                </c:pt>
                <c:pt idx="2">
                  <c:v>1666.53</c:v>
                </c:pt>
                <c:pt idx="3">
                  <c:v>155.65</c:v>
                </c:pt>
              </c:numCache>
            </c:numRef>
          </c:val>
        </c:ser>
        <c:ser>
          <c:idx val="1"/>
          <c:order val="1"/>
          <c:tx>
            <c:strRef>
              <c:f>Sheet1!$C$1</c:f>
              <c:strCache>
                <c:ptCount val="1"/>
                <c:pt idx="0">
                  <c:v>2021年度</c:v>
                </c:pt>
              </c:strCache>
            </c:strRef>
          </c:tx>
          <c:spPr>
            <a:solidFill>
              <a:schemeClr val="accent2"/>
            </a:solidFill>
            <a:ln>
              <a:noFill/>
            </a:ln>
            <a:effectLst/>
          </c:spPr>
          <c:invertIfNegative val="0"/>
          <c:dLbls>
            <c:dLbl>
              <c:idx val="0"/>
              <c:layout>
                <c:manualLayout>
                  <c:x val="0.038314176245210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5977011494252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本年收入</c:v>
                </c:pt>
                <c:pt idx="1">
                  <c:v>年初结转结余</c:v>
                </c:pt>
                <c:pt idx="2">
                  <c:v>本年支出</c:v>
                </c:pt>
                <c:pt idx="3">
                  <c:v>年末结转结余</c:v>
                </c:pt>
              </c:strCache>
            </c:strRef>
          </c:cat>
          <c:val>
            <c:numRef>
              <c:f>Sheet1!$C$2:$C$5</c:f>
              <c:numCache>
                <c:formatCode>General</c:formatCode>
                <c:ptCount val="4"/>
                <c:pt idx="0">
                  <c:v>1426.21</c:v>
                </c:pt>
                <c:pt idx="1">
                  <c:v>137.63</c:v>
                </c:pt>
                <c:pt idx="2">
                  <c:v>1562.54</c:v>
                </c:pt>
                <c:pt idx="3">
                  <c:v>1.3</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本年收入</c:v>
                </c:pt>
                <c:pt idx="1">
                  <c:v>年初结转结余</c:v>
                </c:pt>
                <c:pt idx="2">
                  <c:v>本年支出</c:v>
                </c:pt>
                <c:pt idx="3">
                  <c:v>年末结转结余</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38189824"/>
        <c:axId val="138304128"/>
      </c:barChart>
      <c:catAx>
        <c:axId val="1381898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304128"/>
        <c:crosses val="autoZero"/>
        <c:auto val="1"/>
        <c:lblAlgn val="ctr"/>
        <c:lblOffset val="100"/>
        <c:noMultiLvlLbl val="0"/>
      </c:catAx>
      <c:valAx>
        <c:axId val="1383041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189824"/>
        <c:crosses val="autoZero"/>
        <c:crossBetween val="between"/>
      </c:valAx>
      <c:spPr>
        <a:noFill/>
        <a:ln>
          <a:noFill/>
        </a:ln>
        <a:effectLst/>
      </c:spPr>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8e350b7-ab97-4400-9d56-6b6eaf6e487f}"/>
      </c:ext>
    </c:extLst>
  </c:chart>
  <c:spPr>
    <a:solidFill>
      <a:schemeClr val="bg1">
        <a:alpha val="35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35691b2-0b03-4fd8-8958-c8c2602e04a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0.9993</c:v>
                </c:pt>
                <c:pt idx="1">
                  <c:v>0.000700000000000001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de0dc88-4088-42d8-ac19-ca6404e9577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000000000003"/>
          <c:y val="0.0456639295013018"/>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Sheet1!$B$2:$B$5</c:f>
              <c:numCache>
                <c:formatCode>0.00%</c:formatCode>
                <c:ptCount val="4"/>
                <c:pt idx="0">
                  <c:v>0.638000000000001</c:v>
                </c:pt>
                <c:pt idx="1">
                  <c:v>0.362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4af52fc-2c53-4de6-89ee-023eab8d96c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altLang="en-US"/>
              <a:t>年财政拨款收、支决算总计变动情况</a:t>
            </a:r>
            <a:endParaRPr altLang="en-US"/>
          </a:p>
        </c:rich>
      </c:tx>
      <c:layout/>
      <c:overlay val="0"/>
      <c:spPr>
        <a:noFill/>
        <a:ln>
          <a:noFill/>
        </a:ln>
        <a:effectLst/>
      </c:spPr>
    </c:title>
    <c:autoTitleDeleted val="0"/>
    <c:plotArea>
      <c:layout>
        <c:manualLayout>
          <c:layoutTarget val="inner"/>
          <c:xMode val="edge"/>
          <c:yMode val="edge"/>
          <c:x val="0.140979947506562"/>
          <c:y val="0.156237218813906"/>
          <c:w val="0.835020052493442"/>
          <c:h val="0.322812424520556"/>
        </c:manualLayout>
      </c:layout>
      <c:barChart>
        <c:barDir val="col"/>
        <c:grouping val="clustered"/>
        <c:varyColors val="0"/>
        <c:ser>
          <c:idx val="0"/>
          <c:order val="0"/>
          <c:tx>
            <c:strRef>
              <c:f>Sheet1!$B$1</c:f>
              <c:strCache>
                <c:ptCount val="1"/>
                <c:pt idx="0">
                  <c:v>2020年度</c:v>
                </c:pt>
              </c:strCache>
            </c:strRef>
          </c:tx>
          <c:spPr>
            <a:solidFill>
              <a:schemeClr val="accent1"/>
            </a:solidFill>
            <a:ln>
              <a:noFill/>
            </a:ln>
            <a:effectLst/>
          </c:spPr>
          <c:invertIfNegative val="0"/>
          <c:dLbls>
            <c:dLbl>
              <c:idx val="0"/>
              <c:layout>
                <c:manualLayout>
                  <c:x val="-0.032"/>
                  <c:y val="-0.004089979550102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c:v>
                </c:pt>
                <c:pt idx="1">
                  <c:v>基本支出</c:v>
                </c:pt>
                <c:pt idx="2">
                  <c:v>项目支出</c:v>
                </c:pt>
                <c:pt idx="3">
                  <c:v>政府性基金预算财政拨款项目支出</c:v>
                </c:pt>
              </c:strCache>
            </c:strRef>
          </c:cat>
          <c:val>
            <c:numRef>
              <c:f>Sheet1!$B$2:$B$5</c:f>
              <c:numCache>
                <c:formatCode>General</c:formatCode>
                <c:ptCount val="4"/>
                <c:pt idx="0">
                  <c:v>1425.41</c:v>
                </c:pt>
                <c:pt idx="1">
                  <c:v>956.01</c:v>
                </c:pt>
                <c:pt idx="2">
                  <c:v>625.57</c:v>
                </c:pt>
                <c:pt idx="3">
                  <c:v>0</c:v>
                </c:pt>
              </c:numCache>
            </c:numRef>
          </c:val>
        </c:ser>
        <c:ser>
          <c:idx val="1"/>
          <c:order val="1"/>
          <c:tx>
            <c:strRef>
              <c:f>Sheet1!$C$1</c:f>
              <c:strCache>
                <c:ptCount val="1"/>
                <c:pt idx="0">
                  <c:v>2021年度</c:v>
                </c:pt>
              </c:strCache>
            </c:strRef>
          </c:tx>
          <c:spPr>
            <a:solidFill>
              <a:schemeClr val="accent2"/>
            </a:solidFill>
            <a:ln>
              <a:noFill/>
            </a:ln>
            <a:effectLst/>
          </c:spPr>
          <c:invertIfNegative val="0"/>
          <c:dLbls>
            <c:dLbl>
              <c:idx val="1"/>
              <c:layout>
                <c:manualLayout>
                  <c:x val="0.024"/>
                  <c:y val="-0.02044989775051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
                  <c:y val="-0.02862985685071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00000000000001"/>
                  <c:y val="-0.04089979550102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c:v>
                </c:pt>
                <c:pt idx="1">
                  <c:v>基本支出</c:v>
                </c:pt>
                <c:pt idx="2">
                  <c:v>项目支出</c:v>
                </c:pt>
                <c:pt idx="3">
                  <c:v>政府性基金预算财政拨款项目支出</c:v>
                </c:pt>
              </c:strCache>
            </c:strRef>
          </c:cat>
          <c:val>
            <c:numRef>
              <c:f>Sheet1!$C$2:$C$5</c:f>
              <c:numCache>
                <c:formatCode>General</c:formatCode>
                <c:ptCount val="4"/>
                <c:pt idx="0">
                  <c:v>1425.21</c:v>
                </c:pt>
                <c:pt idx="1">
                  <c:v>996.93</c:v>
                </c:pt>
                <c:pt idx="2">
                  <c:v>494.91</c:v>
                </c:pt>
                <c:pt idx="3">
                  <c:v>20</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一般公共预算财政拨款收入</c:v>
                </c:pt>
                <c:pt idx="1">
                  <c:v>基本支出</c:v>
                </c:pt>
                <c:pt idx="2">
                  <c:v>项目支出</c:v>
                </c:pt>
                <c:pt idx="3">
                  <c:v>政府性基金预算财政拨款项目支出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40464512"/>
        <c:axId val="140466048"/>
      </c:barChart>
      <c:catAx>
        <c:axId val="14046451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466048"/>
        <c:crosses val="autoZero"/>
        <c:auto val="1"/>
        <c:lblAlgn val="ctr"/>
        <c:lblOffset val="100"/>
        <c:noMultiLvlLbl val="0"/>
      </c:catAx>
      <c:valAx>
        <c:axId val="1404660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04645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0f3d19-c297-4216-98de-b8ef7288562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一般公共预算财政拨款支出决算变动表</a:t>
            </a:r>
          </a:p>
        </c:rich>
      </c:tx>
      <c:layout/>
      <c:overlay val="0"/>
      <c:spPr>
        <a:noFill/>
        <a:ln>
          <a:noFill/>
        </a:ln>
        <a:effectLst/>
      </c:spPr>
    </c:title>
    <c:autoTitleDeleted val="0"/>
    <c:plotArea>
      <c:layout>
        <c:manualLayout>
          <c:layoutTarget val="inner"/>
          <c:xMode val="edge"/>
          <c:yMode val="edge"/>
          <c:x val="0.0874681973164569"/>
          <c:y val="0.194803844883628"/>
          <c:w val="0.802057590902403"/>
          <c:h val="0.683533264129765"/>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Sheet1!$B$2:$B$5</c:f>
              <c:numCache>
                <c:formatCode>General</c:formatCode>
                <c:ptCount val="4"/>
                <c:pt idx="0">
                  <c:v>956.01</c:v>
                </c:pt>
                <c:pt idx="1">
                  <c:v>625.57</c:v>
                </c:pt>
              </c:numCache>
            </c:numRef>
          </c:val>
        </c:ser>
        <c:ser>
          <c:idx val="1"/>
          <c:order val="1"/>
          <c:tx>
            <c:strRef>
              <c:f>Sheet1!$C$1</c:f>
              <c:strCache>
                <c:ptCount val="1"/>
                <c:pt idx="0">
                  <c:v>2021年</c:v>
                </c:pt>
              </c:strCache>
            </c:strRef>
          </c:tx>
          <c:spPr>
            <a:solidFill>
              <a:schemeClr val="accent2"/>
            </a:solidFill>
            <a:ln>
              <a:noFill/>
            </a:ln>
            <a:effectLst/>
          </c:spPr>
          <c:invertIfNegative val="0"/>
          <c:dLbls>
            <c:dLbl>
              <c:idx val="0"/>
              <c:layout>
                <c:manualLayout>
                  <c:x val="0.04"/>
                  <c:y val="-0.02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5"/>
                  <c:y val="-0.0333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Sheet1!$C$2:$C$5</c:f>
              <c:numCache>
                <c:formatCode>General</c:formatCode>
                <c:ptCount val="4"/>
                <c:pt idx="0">
                  <c:v>996.93</c:v>
                </c:pt>
                <c:pt idx="1">
                  <c:v>494.91</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2"/>
                <c:pt idx="0">
                  <c:v>基本支出</c:v>
                </c:pt>
                <c:pt idx="1">
                  <c:v>项目支出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60395264"/>
        <c:axId val="160396800"/>
      </c:barChart>
      <c:catAx>
        <c:axId val="1603952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396800"/>
        <c:crosses val="autoZero"/>
        <c:auto val="1"/>
        <c:lblAlgn val="ctr"/>
        <c:lblOffset val="100"/>
        <c:noMultiLvlLbl val="0"/>
      </c:catAx>
      <c:valAx>
        <c:axId val="1603968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0395264"/>
        <c:crosses val="autoZero"/>
        <c:crossBetween val="between"/>
      </c:valAx>
      <c:spPr>
        <a:noFill/>
        <a:ln>
          <a:noFill/>
        </a:ln>
        <a:effectLst/>
      </c:spPr>
    </c:plotArea>
    <c:legend>
      <c:legendPos val="b"/>
      <c:layout>
        <c:manualLayout>
          <c:xMode val="edge"/>
          <c:yMode val="edge"/>
          <c:x val="0.47137243358599"/>
          <c:y val="0.894591090021032"/>
          <c:w val="0.251647459955356"/>
          <c:h val="0.074503832716274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dafd5f-2553-4228-b667-26ec3c460df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25"/>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0.8212</c:v>
                </c:pt>
                <c:pt idx="1">
                  <c:v>0.0843</c:v>
                </c:pt>
                <c:pt idx="2">
                  <c:v>0.0354</c:v>
                </c:pt>
                <c:pt idx="3">
                  <c:v>0.0591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434eda3-b5a3-4756-89bf-0f13f1e66e36}"/>
      </c:ext>
    </c:extLst>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178124212598426"/>
                  <c:y val="0.03866167979002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74990157480315"/>
                  <c:y val="-0.00300524934383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3"/>
                <c:pt idx="0">
                  <c:v>因公出国（境）费用</c:v>
                </c:pt>
                <c:pt idx="1">
                  <c:v>公务用车购置及运行费</c:v>
                </c:pt>
                <c:pt idx="2">
                  <c:v>公务接待费</c:v>
                </c:pt>
              </c:strCache>
            </c:strRef>
          </c:cat>
          <c:val>
            <c:numRef>
              <c:f>Sheet1!$B$2:$B$5</c:f>
              <c:numCache>
                <c:formatCode>0.00%</c:formatCode>
                <c:ptCount val="4"/>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c2d731e-654c-442f-9321-e87ad5217d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C0AA-9F18-41DA-84AE-F70D2B1D10B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570</Words>
  <Characters>609</Characters>
  <Lines>116</Lines>
  <Paragraphs>32</Paragraphs>
  <TotalTime>28</TotalTime>
  <ScaleCrop>false</ScaleCrop>
  <LinksUpToDate>false</LinksUpToDate>
  <CharactersWithSpaces>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吴静</cp:lastModifiedBy>
  <cp:lastPrinted>2022-09-27T10:37:00Z</cp:lastPrinted>
  <dcterms:modified xsi:type="dcterms:W3CDTF">2026-02-26T09:04:19Z</dcterms:modified>
  <dc:title>四川省***</dc:title>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FEB5D08F82CC49FBB6A7B9446F0D541B</vt:lpwstr>
  </property>
  <property fmtid="{D5CDD505-2E9C-101B-9397-08002B2CF9AE}" pid="4" name="KSOTemplateDocerSaveRecord">
    <vt:lpwstr>eyJoZGlkIjoiMjlkNzdiMTA4MmU0ZDMzNTM1ODE0NzEwNzI5ODYzZmUiLCJ1c2VySWQiOiIxNjQ5NTI2MDg3In0=</vt:lpwstr>
  </property>
</Properties>
</file>