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bookmarkEnd w:id="0"/>
    <w:p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2021年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新冠疫苗接种</w:t>
      </w:r>
      <w:r>
        <w:rPr>
          <w:rFonts w:hint="eastAsia" w:ascii="宋体" w:hAnsi="宋体" w:eastAsia="宋体" w:cs="宋体"/>
          <w:sz w:val="32"/>
          <w:szCs w:val="32"/>
        </w:rPr>
        <w:t>工作经费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</w:p>
    <w:p>
      <w:pPr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，共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2644户9380人，需接种疫苗5406人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二、项目绩效目标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主要内容：保障全乡新冠疫苗接种顺利完成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2、项目应实现的绩效目标：接种新冠疫苗5406人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3.5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新冠疫苗接种资金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由乡社会事务办组织实施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楷体" w:eastAsia="仿宋_GB2312"/>
          <w:sz w:val="32"/>
          <w:szCs w:val="32"/>
        </w:rPr>
        <w:t>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接种新冠疫苗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5406人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楷体" w:eastAsia="仿宋_GB2312"/>
          <w:sz w:val="32"/>
          <w:szCs w:val="32"/>
        </w:rPr>
        <w:t>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楷体" w:eastAsia="仿宋_GB2312"/>
          <w:sz w:val="32"/>
          <w:szCs w:val="32"/>
        </w:rPr>
        <w:t>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3.48万元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1、社会效益：</w:t>
      </w:r>
      <w:r>
        <w:rPr>
          <w:rFonts w:hint="eastAsia" w:ascii="仿宋_GB2312" w:hAnsi="楷体" w:eastAsia="仿宋_GB2312"/>
          <w:sz w:val="32"/>
          <w:szCs w:val="32"/>
        </w:rPr>
        <w:t>全民接种，全民免疫，促进社会健康发展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.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楷体" w:eastAsia="仿宋_GB2312"/>
          <w:sz w:val="32"/>
          <w:szCs w:val="32"/>
        </w:rPr>
        <w:t>、群众满意度：95%以上,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楷体" w:eastAsia="仿宋_GB2312"/>
          <w:sz w:val="32"/>
          <w:szCs w:val="32"/>
        </w:rPr>
        <w:t>、评价结论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/>
    <w:p/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E01CB"/>
    <w:rsid w:val="03B16E45"/>
    <w:rsid w:val="5B6E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2022-05-15T08:13:00Z</dcterms:created>
  <dc:creator>Lenovo</dc:creator>
  <cp:lastModifiedBy>Lenovo</cp:lastModifiedBy>
  <dcterms:modified xsi:type="dcterms:W3CDTF">2022-05-15T10:40:23Z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