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8"/>
        <w:gridCol w:w="1318"/>
        <w:gridCol w:w="64"/>
        <w:gridCol w:w="2861"/>
        <w:gridCol w:w="3745"/>
      </w:tblGrid>
      <w:tr w14:paraId="4F95C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0EFE4">
            <w:pPr>
              <w:widowControl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14:paraId="729B28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特定目标类项目支出绩效目标申报表</w:t>
            </w:r>
          </w:p>
          <w:p w14:paraId="52693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3289B6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CB94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AC3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年度）</w:t>
            </w:r>
          </w:p>
        </w:tc>
      </w:tr>
      <w:tr w14:paraId="63EB1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D668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1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14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仁和区城市公共交通补贴资金</w:t>
            </w:r>
          </w:p>
        </w:tc>
      </w:tr>
      <w:tr w14:paraId="6C93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6082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预算单位</w:t>
            </w:r>
          </w:p>
        </w:tc>
        <w:tc>
          <w:tcPr>
            <w:tcW w:w="31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7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攀枝花市仁和区交通运输局</w:t>
            </w:r>
          </w:p>
        </w:tc>
      </w:tr>
      <w:tr w14:paraId="329C1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C3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3CDD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年度资金总额: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307FF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1626.00</w:t>
            </w:r>
          </w:p>
        </w:tc>
      </w:tr>
      <w:tr w14:paraId="09660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7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86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C5A0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其中：财政拨款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7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1626.00</w:t>
            </w:r>
          </w:p>
        </w:tc>
      </w:tr>
      <w:tr w14:paraId="1A74F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45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EE93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其他资金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2C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FCF4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5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46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6B9551">
            <w:pPr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按照《攀枝花市城市公共交通补贴管理办法》（攀办发〔2024〕10号），经市级相关部门共同核定，依据“城市公交线路所在行政区域运营里程+跨区域线路里程均摊”的占比分摊原则，在扣除市级财政、城建交通集团承担费用部分后，承担核算后的运营补贴。</w:t>
            </w:r>
          </w:p>
          <w:p w14:paraId="2DD2880B">
            <w:pPr>
              <w:widowControl/>
              <w:jc w:val="left"/>
              <w:textAlignment w:val="top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 w14:paraId="6AA93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36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0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9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E0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92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指标值（包含数字及文字描述）</w:t>
            </w:r>
          </w:p>
        </w:tc>
      </w:tr>
      <w:tr w14:paraId="32298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05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B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项目完成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FB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C136">
            <w:pPr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仁和区的公交线路共有22条</w:t>
            </w:r>
          </w:p>
          <w:p w14:paraId="6998EE90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5285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321FE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C0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22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0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012F">
            <w:pPr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按时兑现城市公共交通补贴</w:t>
            </w:r>
          </w:p>
          <w:p w14:paraId="1D59527A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AF68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提高</w:t>
            </w:r>
          </w:p>
        </w:tc>
      </w:tr>
      <w:tr w14:paraId="4B925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0B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8A9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1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7FAD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2026年全年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23B5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2026年1-12月</w:t>
            </w:r>
          </w:p>
        </w:tc>
      </w:tr>
      <w:tr w14:paraId="0BFE0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67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84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66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672B">
            <w:pPr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仁和区城市公共交通补贴资金</w:t>
            </w:r>
          </w:p>
          <w:p w14:paraId="4829ED3B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06E4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1626万元</w:t>
            </w:r>
          </w:p>
        </w:tc>
      </w:tr>
      <w:tr w14:paraId="2006C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1F5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E3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项目效益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21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4692">
            <w:pPr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保障市民基本出行需求</w:t>
            </w:r>
          </w:p>
          <w:p w14:paraId="17E5DC31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8A8C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确保道路的安全畅通，为沿线群众出行、农产品的运输提供了安全、舒适的交通环境</w:t>
            </w:r>
          </w:p>
        </w:tc>
      </w:tr>
      <w:tr w14:paraId="5FCC6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9E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CE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48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2515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FA5D37">
            <w:pPr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服务对象满意</w:t>
            </w:r>
          </w:p>
          <w:p w14:paraId="3D4D9FB2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A62E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≥90%</w:t>
            </w:r>
          </w:p>
        </w:tc>
      </w:tr>
    </w:tbl>
    <w:p w14:paraId="38AC66EE"/>
    <w:p w14:paraId="6802E2F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F1EBB"/>
    <w:rsid w:val="77C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2026-02-11T01:19:00Z</dcterms:created>
  <dc:creator>熊艳美</dc:creator>
  <cp:lastModifiedBy>熊艳美</cp:lastModifiedBy>
  <dcterms:modified xsi:type="dcterms:W3CDTF">2026-02-11T01:19:37Z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C3176598E0A2447B93B4B4998E4FC0FB_11</vt:lpwstr>
  </property>
  <property fmtid="{D5CDD505-2E9C-101B-9397-08002B2CF9AE}" pid="4" name="KSOTemplateDocerSaveRecord">
    <vt:lpwstr>eyJoZGlkIjoiYzZlM2FiZDMxOTI2ZDI0YThjYmE0MjBiYWE2NDc0YjAiLCJ1c2VySWQiOiIxNzE2MjM5NTUwIn0=</vt:lpwstr>
  </property>
</Properties>
</file>