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60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pStyle w:val="2"/>
        <w:keepNext w:val="0"/>
        <w:keepLines w:val="0"/>
        <w:pageBreakBefore w:val="0"/>
        <w:widowControl w:val="0"/>
        <w:kinsoku/>
        <w:wordWrap/>
        <w:overflowPunct/>
        <w:topLinePunct w:val="0"/>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bidi w:val="0"/>
        <w:adjustRightInd/>
        <w:snapToGrid/>
        <w:spacing w:line="600" w:lineRule="exact"/>
        <w:jc w:val="center"/>
        <w:textAlignment w:val="auto"/>
        <w:rPr>
          <w:rFonts w:hint="default" w:ascii="Times New Roman" w:hAnsi="Times New Roman" w:eastAsia="方正小标宋_GBK" w:cs="Times New Roman"/>
          <w:spacing w:val="-20"/>
          <w:sz w:val="44"/>
          <w:szCs w:val="44"/>
        </w:rPr>
      </w:pPr>
      <w:r>
        <w:rPr>
          <w:rFonts w:hint="default" w:ascii="Times New Roman" w:hAnsi="Times New Roman" w:eastAsia="方正小标宋_GBK" w:cs="Times New Roman"/>
          <w:spacing w:val="-20"/>
          <w:sz w:val="44"/>
          <w:szCs w:val="44"/>
        </w:rPr>
        <w:t>四川省消</w:t>
      </w:r>
      <w:bookmarkStart w:id="0" w:name="_GoBack"/>
      <w:bookmarkEnd w:id="0"/>
      <w:r>
        <w:rPr>
          <w:rFonts w:hint="default" w:ascii="Times New Roman" w:hAnsi="Times New Roman" w:eastAsia="方正小标宋_GBK" w:cs="Times New Roman"/>
          <w:spacing w:val="-20"/>
          <w:sz w:val="44"/>
          <w:szCs w:val="44"/>
        </w:rPr>
        <w:t>防安全重点单位界定标准</w:t>
      </w:r>
    </w:p>
    <w:p>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（试行）</w:t>
      </w:r>
    </w:p>
    <w:p>
      <w:pPr>
        <w:keepNext w:val="0"/>
        <w:keepLines w:val="0"/>
        <w:pageBreakBefore w:val="0"/>
        <w:widowControl w:val="0"/>
        <w:kinsoku/>
        <w:wordWrap/>
        <w:overflowPunct/>
        <w:topLinePunct w:val="0"/>
        <w:bidi w:val="0"/>
        <w:adjustRightInd/>
        <w:snapToGrid/>
        <w:spacing w:line="60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一、</w:t>
      </w:r>
      <w:r>
        <w:rPr>
          <w:rFonts w:hint="default" w:ascii="Times New Roman" w:hAnsi="Times New Roman" w:eastAsia="黑体" w:cs="Times New Roman"/>
          <w:sz w:val="32"/>
          <w:szCs w:val="32"/>
        </w:rPr>
        <w:t>公众聚集场所</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（一）客房数在100间以上，以及设置于地下、半地下客房数在50间以上，或者建筑面积在3000平方米以上的旅馆。</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（二）建筑面积在3000平方米以上，以及设置于地下、半地下建筑面积在500平方米以上，且室内经营可燃商品的商场、集贸市场。</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成都市建筑面积在5000平方米以上，以及设置于地下、半地下建筑面积在500平方米以上，且室内经营可燃商品的商场、集贸市场。</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（三）任一层面积在1500平方米以上或</w:t>
      </w:r>
      <w:r>
        <w:rPr>
          <w:rFonts w:hint="default" w:ascii="Times New Roman" w:hAnsi="Times New Roman" w:eastAsia="方正仿宋_GBK" w:cs="Times New Roman"/>
          <w:sz w:val="32"/>
          <w:szCs w:val="32"/>
          <w:lang w:val="en-US" w:eastAsia="zh-CN"/>
        </w:rPr>
        <w:t>者</w:t>
      </w:r>
      <w:r>
        <w:rPr>
          <w:rFonts w:hint="default" w:ascii="Times New Roman" w:hAnsi="Times New Roman" w:eastAsia="方正仿宋_GBK" w:cs="Times New Roman"/>
          <w:sz w:val="32"/>
          <w:szCs w:val="32"/>
        </w:rPr>
        <w:t>总建筑面积在3000平方米以上的不具有娱乐功能的餐饮场所。</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（四）建筑面积在3000平方米以上的客运车站候车室、客运码头候船厅、民用机场航站楼。</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（五）观众席在20000座以上的公共体育场、观众席在3000座以上的公共体育馆，座位数大于2000个的公共会堂。</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成都市观众席在40000座以上的公共体育场、观众席在6000座以上的公共体育馆，座位数大于2000个的公共会堂。</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（六）建筑面积在500平方米以上的公共娱乐场所。</w:t>
      </w:r>
    </w:p>
    <w:p>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二、</w:t>
      </w:r>
      <w:r>
        <w:rPr>
          <w:rFonts w:hint="default" w:ascii="Times New Roman" w:hAnsi="Times New Roman" w:eastAsia="黑体" w:cs="Times New Roman"/>
          <w:sz w:val="32"/>
          <w:szCs w:val="32"/>
        </w:rPr>
        <w:t>医院、养老机构和学校、托儿所、幼儿园</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（一）床位数在100张以上</w:t>
      </w:r>
      <w:r>
        <w:rPr>
          <w:rFonts w:hint="default" w:ascii="Times New Roman" w:hAnsi="Times New Roman" w:eastAsia="方正仿宋_GBK" w:cs="Times New Roman"/>
          <w:color w:val="000000"/>
          <w:sz w:val="32"/>
          <w:szCs w:val="32"/>
        </w:rPr>
        <w:t>的</w:t>
      </w:r>
      <w:r>
        <w:rPr>
          <w:rFonts w:hint="default" w:ascii="Times New Roman" w:hAnsi="Times New Roman" w:eastAsia="方正仿宋_GBK" w:cs="Times New Roman"/>
          <w:sz w:val="32"/>
          <w:szCs w:val="32"/>
        </w:rPr>
        <w:t>医院。</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（二）老人住宿床位在50张以上的养老机构。</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（三）有4个班以上的托儿所、有5个班以上的幼儿园。</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（四）学生床位在100张以上的小学学校，学生床位在200张以上的其他学校。</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（五）200人以上的非寄宿制特殊教育学校，1000人以上的其他非寄宿制学校。</w:t>
      </w:r>
    </w:p>
    <w:p>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三、</w:t>
      </w:r>
      <w:r>
        <w:rPr>
          <w:rFonts w:hint="default" w:ascii="Times New Roman" w:hAnsi="Times New Roman" w:eastAsia="黑体" w:cs="Times New Roman"/>
          <w:sz w:val="32"/>
          <w:szCs w:val="32"/>
        </w:rPr>
        <w:t>国家机关</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（一）县级以上党委、人大、政府、政协机关。</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（二）县级以上监察委员会、人民法院和人民检察院。</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四、广播电视台和县级以上邮政、通信枢纽、数据中心</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五、公共图书馆、展览馆、博物馆、档案馆，具有火灾危险性的文物保护单位，宗教活动场所</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（一）藏书50万册以上的公共图书馆，展览面积在10000平方米以上的展览馆。</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（二）三级以上博物馆，国家档案馆。</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（三）具有火灾危险性的省级以上文物保护单位。</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（四）宗教教职人员在50人以上或者建筑面积在5000平方米以上，且属于县级以上文物保护单位的宗教活动场所。</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六、发电厂和电网经营企业、储能电站</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（一）大型发电厂（站），500KV及以上变电站。</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（二）县级以上电网经营企业、承担电力调度功能的供电单位。</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（三）功率30MW或</w:t>
      </w:r>
      <w:r>
        <w:rPr>
          <w:rFonts w:hint="default" w:ascii="Times New Roman" w:hAnsi="Times New Roman" w:eastAsia="方正仿宋_GBK" w:cs="Times New Roman"/>
          <w:sz w:val="32"/>
          <w:szCs w:val="32"/>
          <w:lang w:val="en-US" w:eastAsia="zh-CN"/>
        </w:rPr>
        <w:t>者</w:t>
      </w:r>
      <w:r>
        <w:rPr>
          <w:rFonts w:hint="default" w:ascii="Times New Roman" w:hAnsi="Times New Roman" w:eastAsia="方正仿宋_GBK" w:cs="Times New Roman"/>
          <w:sz w:val="32"/>
          <w:szCs w:val="32"/>
        </w:rPr>
        <w:t>容量30MW·h以上的电化学储能电站。</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七、易燃易爆化学物品的生产、充装、储存、供应、销售单位</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（一）生产、储存易燃易爆化学物品的工厂、专用仓库。</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（二）易燃易爆气体和液体的充装站、调压站。</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（三）营业性汽车加油加气加氢站、液化石油气供应站。</w:t>
      </w:r>
    </w:p>
    <w:p>
      <w:pPr>
        <w:pStyle w:val="6"/>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color w:val="auto"/>
          <w:sz w:val="32"/>
          <w:szCs w:val="32"/>
        </w:rPr>
        <w:t>（四）建筑面积在300平方米以上的经营易燃易爆化学物品的商店。</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八、生产、加工企业</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企业员工总数在1000人以上，或者同一建筑在同一时间的使用人数在300人以上的服装、鞋帽、玩具、木制品、家具、塑料、食品加工和纺织、印染、电子、印刷等劳动密集型企业。</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九、国家和省级科研单位、国家实验室、全国重点实验室</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十、其他发生火灾可能性较大以及一旦发生火灾可能造成人身重大伤亡或者财产重大损失的单位和场所</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停车数量在300辆以上或者建筑面积大于10000平方米独立建造的经营性汽车库，车位数大于60个或者建筑面积大于3000平方米的修车库，停车数量在200辆以上的公交车、客车停车场；室内集中布置充电设备且建筑面积在1000平方米以上的电动汽车充电站。</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（二）省级以上司法部门直属的监狱和行政戒毒场所。</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（三）固定资产（建筑、设备、原材料等）价值在2亿元以上的工业企业。</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成都市固定资产（建筑、设备、原材料等）价值在5亿元以上的工业企业。</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（四）央行、商业银行的分行级以上分支机构。</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（五）4A级以上旅游景区。</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（六）建筑面积在50000平方米以上的大型商业综合体。</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cs="Times New Roman"/>
          <w:b/>
          <w:color w:val="000000"/>
          <w:sz w:val="36"/>
          <w:szCs w:val="36"/>
        </w:rPr>
      </w:pPr>
      <w:r>
        <w:rPr>
          <w:rFonts w:hint="default" w:ascii="Times New Roman" w:hAnsi="Times New Roman" w:eastAsia="方正仿宋_GBK" w:cs="Times New Roman"/>
          <w:sz w:val="32"/>
          <w:szCs w:val="32"/>
        </w:rPr>
        <w:t>（七）城市轨道交通换乘站。</w:t>
      </w:r>
    </w:p>
    <w:p>
      <w:pPr>
        <w:jc w:val="center"/>
        <w:rPr>
          <w:rFonts w:hint="default" w:ascii="Times New Roman" w:hAnsi="Times New Roman" w:cs="Times New Roman"/>
          <w:b/>
          <w:color w:val="000000"/>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A1A5E4E-7144-49BE-92A8-12ED69426E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D2A72F3-0842-4A9E-87E7-396B7C6CF645}"/>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3" w:fontKey="{26FB293A-56E0-4B64-A29B-3C1307F179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YzY4ZmIwNGIwODU3ZmIzYTJkODYxOGZjNTIyZmIifQ=="/>
  </w:docVars>
  <w:rsids>
    <w:rsidRoot w:val="7ADD6756"/>
    <w:rsid w:val="10DA7DB1"/>
    <w:rsid w:val="56853B6F"/>
    <w:rsid w:val="70EC2F20"/>
    <w:rsid w:val="7ADD6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正文2"/>
    <w:basedOn w:val="1"/>
    <w:next w:val="1"/>
    <w:autoRedefine/>
    <w:qFormat/>
    <w:uiPriority w:val="0"/>
    <w:rPr>
      <w:rFonts w:ascii="Times New Roman" w:hAnsi="Times New Roman"/>
      <w:szCs w:val="21"/>
    </w:rPr>
  </w:style>
  <w:style w:type="paragraph" w:styleId="3">
    <w:name w:val="footer"/>
    <w:basedOn w:val="1"/>
    <w:autoRedefine/>
    <w:qFormat/>
    <w:uiPriority w:val="99"/>
    <w:pPr>
      <w:tabs>
        <w:tab w:val="center" w:pos="4153"/>
        <w:tab w:val="right" w:pos="8306"/>
      </w:tabs>
      <w:snapToGrid w:val="0"/>
      <w:jc w:val="left"/>
    </w:pPr>
    <w:rPr>
      <w:sz w:val="18"/>
    </w:rPr>
  </w:style>
  <w:style w:type="paragraph" w:customStyle="1" w:styleId="6">
    <w:name w:val="Default"/>
    <w:next w:val="1"/>
    <w:autoRedefine/>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2024-01-12T07:56:00Z</dcterms:created>
  <dc:creator>攀枝花消防</dc:creator>
  <cp:lastModifiedBy>Administrator</cp:lastModifiedBy>
  <dcterms:modified xsi:type="dcterms:W3CDTF">2024-01-15T03:56:24Z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D57DFA5890A04913AE78841558C76D93_11</vt:lpwstr>
  </property>
</Properties>
</file>