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65035">
      <w:pPr>
        <w:pStyle w:val="5"/>
        <w:spacing w:before="93"/>
        <w:jc w:val="center"/>
        <w:rPr>
          <w:rFonts w:hint="eastAsia" w:ascii="Times New Roman" w:eastAsia="方正小标宋简体"/>
          <w:b/>
          <w:bCs/>
          <w:kern w:val="2"/>
          <w:sz w:val="52"/>
          <w:szCs w:val="52"/>
        </w:rPr>
      </w:pPr>
    </w:p>
    <w:p w14:paraId="5F12EEF4">
      <w:pPr>
        <w:pStyle w:val="5"/>
        <w:spacing w:before="93"/>
        <w:jc w:val="center"/>
        <w:rPr>
          <w:rFonts w:hint="eastAsia" w:ascii="Times New Roman" w:eastAsia="方正小标宋简体"/>
          <w:b/>
          <w:bCs/>
          <w:kern w:val="2"/>
          <w:sz w:val="52"/>
          <w:szCs w:val="52"/>
        </w:rPr>
      </w:pPr>
    </w:p>
    <w:p w14:paraId="32A759A1">
      <w:pPr>
        <w:pStyle w:val="5"/>
        <w:spacing w:before="93"/>
        <w:jc w:val="center"/>
        <w:rPr>
          <w:rFonts w:hint="eastAsia" w:ascii="Times New Roman" w:eastAsia="方正小标宋简体"/>
          <w:b/>
          <w:bCs/>
          <w:kern w:val="2"/>
          <w:sz w:val="52"/>
          <w:szCs w:val="52"/>
        </w:rPr>
      </w:pPr>
    </w:p>
    <w:p w14:paraId="05A37C64">
      <w:pPr>
        <w:pStyle w:val="5"/>
        <w:spacing w:before="93"/>
        <w:jc w:val="center"/>
        <w:rPr>
          <w:rFonts w:hint="eastAsia" w:ascii="Times New Roman" w:eastAsia="方正小标宋简体"/>
          <w:b/>
          <w:bCs/>
          <w:kern w:val="2"/>
          <w:sz w:val="52"/>
          <w:szCs w:val="52"/>
        </w:rPr>
      </w:pPr>
    </w:p>
    <w:p w14:paraId="476C2A9C">
      <w:pPr>
        <w:pStyle w:val="5"/>
        <w:spacing w:before="93"/>
        <w:jc w:val="center"/>
        <w:rPr>
          <w:rFonts w:hint="eastAsia" w:ascii="Times New Roman" w:eastAsia="方正小标宋简体"/>
          <w:b/>
          <w:bCs/>
          <w:kern w:val="2"/>
          <w:sz w:val="52"/>
          <w:szCs w:val="52"/>
        </w:rPr>
      </w:pPr>
    </w:p>
    <w:p w14:paraId="06523521">
      <w:pPr>
        <w:pStyle w:val="5"/>
        <w:spacing w:before="93"/>
        <w:jc w:val="center"/>
        <w:rPr>
          <w:rFonts w:hint="eastAsia" w:ascii="Times New Roman" w:eastAsia="方正小标宋简体"/>
          <w:b/>
          <w:bCs/>
          <w:kern w:val="2"/>
          <w:sz w:val="52"/>
          <w:szCs w:val="52"/>
        </w:rPr>
      </w:pPr>
    </w:p>
    <w:p w14:paraId="0CC6358F">
      <w:pPr>
        <w:pStyle w:val="5"/>
        <w:spacing w:before="93"/>
        <w:jc w:val="center"/>
        <w:rPr>
          <w:rFonts w:hint="eastAsia" w:ascii="Times New Roman" w:eastAsia="方正小标宋简体"/>
          <w:b/>
          <w:bCs/>
          <w:kern w:val="2"/>
          <w:sz w:val="52"/>
          <w:szCs w:val="52"/>
        </w:rPr>
      </w:pPr>
      <w:r>
        <w:rPr>
          <w:rFonts w:hint="eastAsia" w:ascii="Times New Roman" w:eastAsia="方正小标宋简体"/>
          <w:b/>
          <w:bCs/>
          <w:kern w:val="2"/>
          <w:sz w:val="52"/>
          <w:szCs w:val="52"/>
        </w:rPr>
        <w:t>2024年度</w:t>
      </w:r>
    </w:p>
    <w:p w14:paraId="489A2605">
      <w:pPr>
        <w:pStyle w:val="5"/>
        <w:spacing w:before="93"/>
        <w:jc w:val="center"/>
        <w:rPr>
          <w:rFonts w:ascii="Times New Roman" w:hAnsi="Times New Roman"/>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1"/>
          <w:cols w:space="425" w:num="1"/>
          <w:docGrid w:type="lines" w:linePitch="312" w:charSpace="0"/>
        </w:sectPr>
      </w:pPr>
      <w:r>
        <w:rPr>
          <w:rFonts w:hint="eastAsia" w:ascii="Times New Roman" w:eastAsia="方正小标宋简体"/>
          <w:b/>
          <w:bCs/>
          <w:kern w:val="2"/>
          <w:sz w:val="52"/>
          <w:szCs w:val="52"/>
        </w:rPr>
        <w:t>四川省</w:t>
      </w:r>
      <w:r>
        <w:rPr>
          <w:rFonts w:hint="eastAsia" w:ascii="Times New Roman" w:eastAsia="方正小标宋简体"/>
          <w:b/>
          <w:bCs/>
          <w:kern w:val="2"/>
          <w:sz w:val="52"/>
          <w:szCs w:val="52"/>
          <w:lang w:val="en-US" w:eastAsia="zh-CN"/>
        </w:rPr>
        <w:t>攀枝花市仁和区医疗保障局</w:t>
      </w:r>
      <w:r>
        <w:rPr>
          <w:rFonts w:hint="eastAsia" w:ascii="Times New Roman" w:eastAsia="方正小标宋简体"/>
          <w:b/>
          <w:bCs/>
          <w:kern w:val="2"/>
          <w:sz w:val="52"/>
          <w:szCs w:val="52"/>
        </w:rPr>
        <w:t>决算</w:t>
      </w:r>
      <w:r>
        <w:rPr>
          <w:rFonts w:hint="eastAsia" w:ascii="Times New Roman" w:eastAsia="方正小标宋简体"/>
          <w:b/>
          <w:bCs/>
          <w:kern w:val="2"/>
          <w:sz w:val="52"/>
          <w:szCs w:val="52"/>
          <w:lang w:val="en-US" w:eastAsia="zh-CN"/>
        </w:rPr>
        <w:t>编制说明</w:t>
      </w:r>
    </w:p>
    <w:p w14:paraId="261D0C5F">
      <w:pPr>
        <w:pStyle w:val="5"/>
        <w:spacing w:before="93"/>
        <w:jc w:val="both"/>
        <w:rPr>
          <w:rFonts w:hint="eastAsia"/>
          <w:lang w:eastAsia="zh-CN"/>
        </w:rPr>
      </w:pPr>
    </w:p>
    <w:p w14:paraId="70F53C70">
      <w:pPr>
        <w:widowControl/>
        <w:jc w:val="center"/>
        <w:rPr>
          <w:rFonts w:hint="eastAsia" w:eastAsia="黑体"/>
          <w:sz w:val="44"/>
          <w:szCs w:val="44"/>
        </w:rPr>
      </w:pPr>
      <w:r>
        <w:rPr>
          <w:rFonts w:hint="eastAsia" w:eastAsia="黑体"/>
          <w:sz w:val="44"/>
          <w:szCs w:val="44"/>
        </w:rPr>
        <w:t>目录</w:t>
      </w:r>
    </w:p>
    <w:p w14:paraId="145D587A">
      <w:pPr>
        <w:widowControl/>
        <w:jc w:val="center"/>
        <w:rPr>
          <w:rFonts w:hint="eastAsia" w:eastAsia="黑体"/>
          <w:sz w:val="44"/>
          <w:szCs w:val="44"/>
        </w:rPr>
      </w:pPr>
    </w:p>
    <w:p w14:paraId="13E567DC">
      <w:pPr>
        <w:pStyle w:val="12"/>
        <w:rPr>
          <w:rFonts w:hint="eastAsia" w:ascii="Times New Roman" w:hAnsi="Times New Roman" w:eastAsia="仿宋_GB2312" w:cs="仿宋_GB2312"/>
          <w:sz w:val="44"/>
          <w:szCs w:val="44"/>
        </w:rPr>
      </w:pPr>
      <w:r>
        <w:rPr>
          <w:rFonts w:hint="eastAsia" w:ascii="Times New Roman" w:hAnsi="Times New Roman" w:eastAsia="仿宋_GB2312" w:cs="仿宋_GB2312"/>
          <w:sz w:val="44"/>
          <w:szCs w:val="44"/>
        </w:rPr>
        <w:t>公开时间：202</w:t>
      </w:r>
      <w:r>
        <w:rPr>
          <w:rFonts w:hint="eastAsia" w:ascii="Times New Roman" w:hAnsi="Times New Roman" w:eastAsia="仿宋_GB2312" w:cs="仿宋_GB2312"/>
          <w:sz w:val="44"/>
          <w:szCs w:val="44"/>
          <w:lang w:val="en-US" w:eastAsia="zh-CN"/>
        </w:rPr>
        <w:t>5</w:t>
      </w:r>
      <w:r>
        <w:rPr>
          <w:rFonts w:hint="eastAsia" w:ascii="Times New Roman" w:hAnsi="Times New Roman" w:eastAsia="仿宋_GB2312" w:cs="仿宋_GB2312"/>
          <w:sz w:val="44"/>
          <w:szCs w:val="44"/>
        </w:rPr>
        <w:t xml:space="preserve">年 </w:t>
      </w:r>
      <w:r>
        <w:rPr>
          <w:rFonts w:hint="eastAsia" w:ascii="Times New Roman" w:hAnsi="Times New Roman" w:eastAsia="仿宋_GB2312" w:cs="仿宋_GB2312"/>
          <w:sz w:val="44"/>
          <w:szCs w:val="44"/>
          <w:lang w:val="en-US" w:eastAsia="zh-CN"/>
        </w:rPr>
        <w:t>9</w:t>
      </w:r>
      <w:r>
        <w:rPr>
          <w:rFonts w:hint="eastAsia" w:ascii="Times New Roman" w:hAnsi="Times New Roman" w:eastAsia="仿宋_GB2312" w:cs="仿宋_GB2312"/>
          <w:sz w:val="44"/>
          <w:szCs w:val="44"/>
        </w:rPr>
        <w:t xml:space="preserve"> 月 </w:t>
      </w:r>
      <w:r>
        <w:rPr>
          <w:rFonts w:hint="eastAsia" w:ascii="Times New Roman" w:hAnsi="Times New Roman" w:eastAsia="仿宋_GB2312" w:cs="仿宋_GB2312"/>
          <w:sz w:val="44"/>
          <w:szCs w:val="44"/>
          <w:lang w:val="en-US" w:eastAsia="zh-CN"/>
        </w:rPr>
        <w:t>22</w:t>
      </w:r>
      <w:r>
        <w:rPr>
          <w:rFonts w:hint="eastAsia" w:ascii="Times New Roman" w:hAnsi="Times New Roman" w:eastAsia="仿宋_GB2312" w:cs="仿宋_GB2312"/>
          <w:sz w:val="44"/>
          <w:szCs w:val="44"/>
        </w:rPr>
        <w:t xml:space="preserve"> 日</w:t>
      </w:r>
    </w:p>
    <w:p w14:paraId="0DE23CA4"/>
    <w:p w14:paraId="2B7C01EB">
      <w:pPr>
        <w:rPr>
          <w:color w:val="auto"/>
          <w:highlight w:val="none"/>
        </w:rPr>
      </w:pPr>
    </w:p>
    <w:p w14:paraId="25729C96">
      <w:pPr>
        <w:pStyle w:val="12"/>
        <w:adjustRightInd w:val="0"/>
        <w:snapToGrid w:val="0"/>
        <w:spacing w:before="0" w:line="440" w:lineRule="exact"/>
        <w:jc w:val="left"/>
        <w:rPr>
          <w:rFonts w:hint="default" w:eastAsia="仿宋" w:asciiTheme="minorEastAsia" w:hAnsiTheme="minorEastAsia" w:cstheme="minorEastAsia"/>
          <w:b/>
          <w:bCs/>
          <w:color w:val="auto"/>
          <w:sz w:val="24"/>
          <w:szCs w:val="24"/>
          <w:highlight w:val="none"/>
          <w:lang w:val="en-US" w:eastAsia="zh-CN"/>
        </w:rPr>
      </w:pPr>
      <w:r>
        <w:rPr>
          <w:rFonts w:hint="eastAsia"/>
          <w:b/>
          <w:bCs/>
          <w:color w:val="auto"/>
          <w:sz w:val="28"/>
          <w:szCs w:val="28"/>
          <w:highlight w:val="none"/>
        </w:rPr>
        <w:t>第一部分</w:t>
      </w:r>
      <w:r>
        <w:rPr>
          <w:b/>
          <w:bCs/>
          <w:color w:val="auto"/>
          <w:sz w:val="28"/>
          <w:szCs w:val="28"/>
          <w:highlight w:val="none"/>
        </w:rPr>
        <w:t xml:space="preserve"> </w:t>
      </w:r>
      <w:r>
        <w:rPr>
          <w:rFonts w:hint="eastAsia"/>
          <w:b/>
          <w:bCs/>
          <w:color w:val="auto"/>
          <w:sz w:val="28"/>
          <w:szCs w:val="28"/>
          <w:highlight w:val="none"/>
        </w:rPr>
        <w:t>部门概况</w:t>
      </w:r>
      <w:r>
        <w:rPr>
          <w:rFonts w:hint="eastAsia" w:ascii="Times New Roman" w:hAnsi="Times New Roman" w:eastAsia="宋体" w:cs="Times New Roman"/>
          <w:color w:val="auto"/>
          <w:kern w:val="2"/>
          <w:sz w:val="24"/>
          <w:szCs w:val="24"/>
          <w:highlight w:val="none"/>
          <w:lang w:val="en-US" w:eastAsia="zh-CN" w:bidi="ar-SA"/>
        </w:rPr>
        <w:t>..............................................................................................</w:t>
      </w:r>
      <w:r>
        <w:rPr>
          <w:rFonts w:hint="eastAsia"/>
          <w:b/>
          <w:bCs/>
          <w:color w:val="auto"/>
          <w:sz w:val="28"/>
          <w:szCs w:val="28"/>
          <w:highlight w:val="none"/>
          <w:lang w:val="en-US" w:eastAsia="zh-CN"/>
        </w:rPr>
        <w:t>4</w:t>
      </w:r>
    </w:p>
    <w:p w14:paraId="1A8521B4">
      <w:pPr>
        <w:pStyle w:val="14"/>
        <w:adjustRightInd w:val="0"/>
        <w:snapToGrid w:val="0"/>
        <w:spacing w:line="440" w:lineRule="exact"/>
        <w:jc w:val="left"/>
        <w:rPr>
          <w:rFonts w:hint="default" w:ascii="仿宋" w:hAnsi="仿宋" w:eastAsia="仿宋"/>
          <w:color w:val="auto"/>
          <w:sz w:val="24"/>
          <w:highlight w:val="none"/>
          <w:lang w:val="en-US"/>
        </w:rPr>
      </w:pPr>
      <w:r>
        <w:rPr>
          <w:rFonts w:hint="eastAsia"/>
          <w:color w:val="auto"/>
          <w:sz w:val="24"/>
          <w:highlight w:val="none"/>
        </w:rPr>
        <w:t>一、</w:t>
      </w:r>
      <w:r>
        <w:rPr>
          <w:rFonts w:hint="eastAsia"/>
          <w:color w:val="auto"/>
          <w:sz w:val="24"/>
          <w:highlight w:val="none"/>
          <w:lang w:eastAsia="zh-CN"/>
        </w:rPr>
        <w:t>部门职责</w:t>
      </w:r>
      <w:r>
        <w:rPr>
          <w:rFonts w:hint="eastAsia"/>
          <w:color w:val="auto"/>
          <w:sz w:val="24"/>
          <w:highlight w:val="none"/>
          <w:lang w:val="en-US" w:eastAsia="zh-CN"/>
        </w:rPr>
        <w:t>........................................................................................................4</w:t>
      </w:r>
    </w:p>
    <w:p w14:paraId="2BAAAE9A">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二、机构设置</w:t>
      </w:r>
      <w:r>
        <w:rPr>
          <w:rFonts w:hint="eastAsia"/>
          <w:color w:val="auto"/>
          <w:sz w:val="24"/>
          <w:highlight w:val="none"/>
          <w:lang w:val="en-US" w:eastAsia="zh-CN"/>
        </w:rPr>
        <w:t>........................................................................................................6</w:t>
      </w:r>
    </w:p>
    <w:p w14:paraId="51227529">
      <w:pPr>
        <w:pStyle w:val="12"/>
        <w:adjustRightInd w:val="0"/>
        <w:snapToGrid w:val="0"/>
        <w:spacing w:before="0" w:line="440" w:lineRule="exact"/>
        <w:jc w:val="left"/>
        <w:rPr>
          <w:rFonts w:hint="default" w:eastAsia="仿宋"/>
          <w:b/>
          <w:bCs/>
          <w:color w:val="auto"/>
          <w:sz w:val="28"/>
          <w:szCs w:val="28"/>
          <w:highlight w:val="none"/>
          <w:lang w:val="en-US" w:eastAsia="zh-CN"/>
        </w:rPr>
      </w:pPr>
      <w:r>
        <w:rPr>
          <w:rFonts w:hint="eastAsia"/>
          <w:b/>
          <w:bCs/>
          <w:color w:val="auto"/>
          <w:sz w:val="28"/>
          <w:szCs w:val="28"/>
          <w:highlight w:val="none"/>
        </w:rPr>
        <w:t>第二部分</w:t>
      </w:r>
      <w:r>
        <w:rPr>
          <w:rFonts w:hint="eastAsia"/>
          <w:b/>
          <w:bCs/>
          <w:color w:val="auto"/>
          <w:sz w:val="28"/>
          <w:szCs w:val="28"/>
          <w:highlight w:val="none"/>
          <w:lang w:val="en-US" w:eastAsia="zh-CN"/>
        </w:rPr>
        <w:t xml:space="preserve"> 2024年度</w:t>
      </w:r>
      <w:r>
        <w:rPr>
          <w:rFonts w:hint="eastAsia"/>
          <w:b/>
          <w:bCs/>
          <w:color w:val="auto"/>
          <w:sz w:val="28"/>
          <w:szCs w:val="28"/>
          <w:highlight w:val="none"/>
        </w:rPr>
        <w:t>部门决算情况说明</w:t>
      </w:r>
      <w:r>
        <w:rPr>
          <w:rFonts w:hint="eastAsia" w:ascii="Times New Roman" w:hAnsi="Times New Roman" w:eastAsia="宋体" w:cs="Times New Roman"/>
          <w:color w:val="auto"/>
          <w:kern w:val="2"/>
          <w:sz w:val="24"/>
          <w:szCs w:val="24"/>
          <w:highlight w:val="none"/>
          <w:lang w:val="en-US" w:eastAsia="zh-CN" w:bidi="ar-SA"/>
        </w:rPr>
        <w:t>........................................................</w:t>
      </w:r>
      <w:r>
        <w:rPr>
          <w:rFonts w:hint="eastAsia"/>
          <w:b/>
          <w:bCs/>
          <w:color w:val="auto"/>
          <w:sz w:val="28"/>
          <w:szCs w:val="28"/>
          <w:highlight w:val="none"/>
          <w:lang w:val="en-US" w:eastAsia="zh-CN"/>
        </w:rPr>
        <w:t>7</w:t>
      </w:r>
    </w:p>
    <w:p w14:paraId="3C690D16">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........................................................................7</w:t>
      </w:r>
    </w:p>
    <w:p w14:paraId="45DA1894">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........................................................................................7</w:t>
      </w:r>
    </w:p>
    <w:p w14:paraId="4766C8C2">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........................................................................................8</w:t>
      </w:r>
    </w:p>
    <w:p w14:paraId="24329303">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........................................................9</w:t>
      </w:r>
    </w:p>
    <w:p w14:paraId="287222A5">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................................................9</w:t>
      </w:r>
    </w:p>
    <w:p w14:paraId="2F283465">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........................................12</w:t>
      </w:r>
    </w:p>
    <w:p w14:paraId="0300CD7B">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val="en-US" w:eastAsia="zh-CN"/>
        </w:rPr>
        <w:t>................................................13</w:t>
      </w:r>
    </w:p>
    <w:p w14:paraId="09D9CA95">
      <w:pPr>
        <w:pStyle w:val="14"/>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............................................................15</w:t>
      </w:r>
    </w:p>
    <w:p w14:paraId="1F734A31">
      <w:pPr>
        <w:pStyle w:val="14"/>
        <w:adjustRightInd w:val="0"/>
        <w:snapToGrid w:val="0"/>
        <w:spacing w:line="440" w:lineRule="exact"/>
        <w:ind w:leftChars="0"/>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九、</w:t>
      </w:r>
      <w:r>
        <w:rPr>
          <w:rFonts w:hint="eastAsia" w:asciiTheme="minorEastAsia" w:hAnsiTheme="minorEastAsia" w:eastAsiaTheme="minorEastAsia" w:cstheme="minorEastAsia"/>
          <w:color w:val="auto"/>
          <w:sz w:val="24"/>
          <w:highlight w:val="none"/>
          <w:lang w:eastAsia="zh-CN"/>
        </w:rPr>
        <w:t>国</w:t>
      </w:r>
      <w:r>
        <w:rPr>
          <w:rFonts w:hint="eastAsia" w:asciiTheme="minorEastAsia" w:hAnsiTheme="minorEastAsia" w:eastAsiaTheme="minorEastAsia" w:cstheme="minorEastAsia"/>
          <w:color w:val="auto"/>
          <w:sz w:val="24"/>
          <w:highlight w:val="none"/>
        </w:rPr>
        <w:t>有资本经营预算支出决算情况说明</w:t>
      </w:r>
      <w:r>
        <w:rPr>
          <w:rFonts w:hint="eastAsia"/>
          <w:color w:val="auto"/>
          <w:sz w:val="24"/>
          <w:highlight w:val="none"/>
          <w:lang w:val="en-US" w:eastAsia="zh-CN"/>
        </w:rPr>
        <w:t>........................................................15</w:t>
      </w:r>
    </w:p>
    <w:p w14:paraId="345BE9C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default" w:asciiTheme="minorEastAsia" w:hAnsiTheme="minorEastAsia" w:eastAsiaTheme="minorEastAsia" w:cstheme="minorEastAsia"/>
          <w:color w:val="auto"/>
          <w:sz w:val="24"/>
          <w:highlight w:val="none"/>
          <w:lang w:val="en-US"/>
        </w:rPr>
      </w:pPr>
      <w:r>
        <w:rPr>
          <w:rStyle w:val="18"/>
          <w:rFonts w:hint="eastAsia" w:asciiTheme="minorEastAsia" w:hAnsiTheme="minorEastAsia" w:eastAsiaTheme="minorEastAsia" w:cstheme="minorEastAsia"/>
          <w:color w:val="auto"/>
          <w:sz w:val="24"/>
          <w:highlight w:val="none"/>
          <w:u w:val="none"/>
          <w:lang w:eastAsia="zh-CN"/>
        </w:rPr>
        <w:t>十</w:t>
      </w:r>
      <w:r>
        <w:rPr>
          <w:rStyle w:val="18"/>
          <w:rFonts w:hint="eastAsia" w:asciiTheme="minorEastAsia" w:hAnsiTheme="minorEastAsia" w:eastAsiaTheme="minorEastAsia" w:cstheme="minorEastAsia"/>
          <w:color w:val="auto"/>
          <w:sz w:val="24"/>
          <w:highlight w:val="none"/>
          <w:u w:val="none"/>
        </w:rPr>
        <w:t>、</w:t>
      </w:r>
      <w:r>
        <w:rPr>
          <w:rFonts w:hint="eastAsia" w:asciiTheme="minorEastAsia" w:hAnsiTheme="minorEastAsia" w:eastAsiaTheme="minorEastAsia" w:cstheme="minorEastAsia"/>
          <w:color w:val="auto"/>
          <w:sz w:val="24"/>
          <w:highlight w:val="none"/>
        </w:rPr>
        <w:t>其他重要事项的情况说明</w:t>
      </w:r>
      <w:r>
        <w:rPr>
          <w:rFonts w:hint="eastAsia"/>
          <w:color w:val="auto"/>
          <w:sz w:val="24"/>
          <w:highlight w:val="none"/>
          <w:lang w:val="en-US" w:eastAsia="zh-CN"/>
        </w:rPr>
        <w:t>...........................................................................15</w:t>
      </w:r>
    </w:p>
    <w:p w14:paraId="0068D42D">
      <w:pPr>
        <w:pStyle w:val="12"/>
        <w:adjustRightInd w:val="0"/>
        <w:snapToGrid w:val="0"/>
        <w:spacing w:before="0" w:line="440" w:lineRule="exact"/>
        <w:jc w:val="left"/>
        <w:rPr>
          <w:rFonts w:hint="default" w:eastAsia="仿宋"/>
          <w:b/>
          <w:bCs/>
          <w:color w:val="auto"/>
          <w:sz w:val="28"/>
          <w:szCs w:val="28"/>
          <w:highlight w:val="none"/>
          <w:lang w:val="en-US" w:eastAsia="zh-CN"/>
        </w:rPr>
      </w:pPr>
      <w:r>
        <w:rPr>
          <w:rFonts w:hint="eastAsia"/>
          <w:b/>
          <w:bCs/>
          <w:color w:val="auto"/>
          <w:sz w:val="28"/>
          <w:szCs w:val="28"/>
          <w:highlight w:val="none"/>
        </w:rPr>
        <w:t>第三部分 名词解释</w:t>
      </w:r>
      <w:r>
        <w:rPr>
          <w:rFonts w:hint="eastAsia" w:ascii="Times New Roman" w:hAnsi="Times New Roman" w:eastAsia="宋体" w:cs="Times New Roman"/>
          <w:color w:val="auto"/>
          <w:kern w:val="2"/>
          <w:sz w:val="24"/>
          <w:szCs w:val="24"/>
          <w:highlight w:val="none"/>
          <w:lang w:val="en-US" w:eastAsia="zh-CN" w:bidi="ar-SA"/>
        </w:rPr>
        <w:t>.............................................................................................</w:t>
      </w:r>
      <w:r>
        <w:rPr>
          <w:rFonts w:hint="eastAsia"/>
          <w:b/>
          <w:bCs/>
          <w:color w:val="auto"/>
          <w:sz w:val="28"/>
          <w:szCs w:val="28"/>
          <w:highlight w:val="none"/>
          <w:lang w:val="en-US" w:eastAsia="zh-CN"/>
        </w:rPr>
        <w:t>18</w:t>
      </w:r>
    </w:p>
    <w:p w14:paraId="1F5E2E30">
      <w:pPr>
        <w:pStyle w:val="12"/>
        <w:adjustRightInd w:val="0"/>
        <w:snapToGrid w:val="0"/>
        <w:spacing w:before="0" w:line="440" w:lineRule="exact"/>
        <w:jc w:val="left"/>
        <w:rPr>
          <w:rFonts w:hint="default"/>
          <w:b/>
          <w:bCs/>
          <w:color w:val="auto"/>
          <w:sz w:val="28"/>
          <w:szCs w:val="28"/>
          <w:highlight w:val="none"/>
          <w:lang w:val="en-US" w:eastAsia="zh-CN"/>
        </w:rPr>
      </w:pPr>
      <w:r>
        <w:rPr>
          <w:rFonts w:hint="eastAsia"/>
          <w:b/>
          <w:bCs/>
          <w:color w:val="auto"/>
          <w:sz w:val="28"/>
          <w:szCs w:val="28"/>
          <w:highlight w:val="none"/>
        </w:rPr>
        <w:t>第四部分 附件</w:t>
      </w:r>
      <w:r>
        <w:rPr>
          <w:rFonts w:hint="eastAsia" w:ascii="Times New Roman" w:hAnsi="Times New Roman" w:eastAsia="宋体" w:cs="Times New Roman"/>
          <w:color w:val="auto"/>
          <w:kern w:val="2"/>
          <w:sz w:val="24"/>
          <w:szCs w:val="24"/>
          <w:highlight w:val="none"/>
          <w:lang w:val="en-US" w:eastAsia="zh-CN" w:bidi="ar-SA"/>
        </w:rPr>
        <w:t>......................................................................................................</w:t>
      </w:r>
      <w:r>
        <w:rPr>
          <w:rFonts w:hint="eastAsia"/>
          <w:b/>
          <w:bCs/>
          <w:color w:val="auto"/>
          <w:sz w:val="28"/>
          <w:szCs w:val="28"/>
          <w:highlight w:val="none"/>
          <w:lang w:val="en-US" w:eastAsia="zh-CN"/>
        </w:rPr>
        <w:t>20</w:t>
      </w:r>
    </w:p>
    <w:p w14:paraId="153DC48B">
      <w:pPr>
        <w:pStyle w:val="12"/>
        <w:adjustRightInd w:val="0"/>
        <w:snapToGrid w:val="0"/>
        <w:spacing w:before="0" w:line="440" w:lineRule="exact"/>
        <w:jc w:val="left"/>
        <w:rPr>
          <w:rFonts w:hint="default" w:eastAsia="仿宋"/>
          <w:b/>
          <w:bCs/>
          <w:color w:val="auto"/>
          <w:sz w:val="28"/>
          <w:szCs w:val="28"/>
          <w:highlight w:val="none"/>
          <w:lang w:val="en-US" w:eastAsia="zh-CN"/>
        </w:rPr>
      </w:pPr>
      <w:r>
        <w:rPr>
          <w:rFonts w:hint="eastAsia"/>
          <w:b/>
          <w:bCs/>
          <w:color w:val="auto"/>
          <w:sz w:val="28"/>
          <w:szCs w:val="28"/>
          <w:highlight w:val="none"/>
        </w:rPr>
        <w:t>第五部分 附表</w:t>
      </w:r>
      <w:r>
        <w:rPr>
          <w:rFonts w:hint="eastAsia" w:ascii="Times New Roman" w:hAnsi="Times New Roman" w:eastAsia="宋体" w:cs="Times New Roman"/>
          <w:color w:val="auto"/>
          <w:kern w:val="2"/>
          <w:sz w:val="24"/>
          <w:szCs w:val="24"/>
          <w:highlight w:val="none"/>
          <w:lang w:val="en-US" w:eastAsia="zh-CN" w:bidi="ar-SA"/>
        </w:rPr>
        <w:t>......................................................................................................</w:t>
      </w:r>
      <w:r>
        <w:rPr>
          <w:rFonts w:hint="eastAsia"/>
          <w:b/>
          <w:bCs/>
          <w:color w:val="auto"/>
          <w:sz w:val="28"/>
          <w:szCs w:val="28"/>
          <w:highlight w:val="none"/>
          <w:lang w:val="en-US" w:eastAsia="zh-CN"/>
        </w:rPr>
        <w:t>41</w:t>
      </w:r>
    </w:p>
    <w:p w14:paraId="4733272B">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一、收入支出决算总表</w:t>
      </w:r>
      <w:r>
        <w:rPr>
          <w:rFonts w:hint="eastAsia"/>
          <w:color w:val="auto"/>
          <w:sz w:val="24"/>
          <w:highlight w:val="none"/>
          <w:lang w:val="en-US" w:eastAsia="zh-CN"/>
        </w:rPr>
        <w:t>......................................................................................41</w:t>
      </w:r>
    </w:p>
    <w:p w14:paraId="4E889EA4">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二、收入决算表</w:t>
      </w:r>
      <w:r>
        <w:rPr>
          <w:rFonts w:hint="eastAsia"/>
          <w:color w:val="auto"/>
          <w:sz w:val="24"/>
          <w:highlight w:val="none"/>
          <w:lang w:val="en-US" w:eastAsia="zh-CN"/>
        </w:rPr>
        <w:t>..................................................................................................41</w:t>
      </w:r>
    </w:p>
    <w:p w14:paraId="2C85391D">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三、支出决算表</w:t>
      </w:r>
      <w:r>
        <w:rPr>
          <w:rFonts w:hint="eastAsia"/>
          <w:color w:val="auto"/>
          <w:sz w:val="24"/>
          <w:highlight w:val="none"/>
          <w:lang w:val="en-US" w:eastAsia="zh-CN"/>
        </w:rPr>
        <w:t>..................................................................................................41</w:t>
      </w:r>
    </w:p>
    <w:p w14:paraId="20E99ABB">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四、财政拨款收入支出决算总表</w:t>
      </w:r>
      <w:r>
        <w:rPr>
          <w:rFonts w:hint="eastAsia"/>
          <w:color w:val="auto"/>
          <w:sz w:val="24"/>
          <w:highlight w:val="none"/>
          <w:lang w:val="en-US" w:eastAsia="zh-CN"/>
        </w:rPr>
        <w:t>......................................................................41</w:t>
      </w:r>
      <w:r>
        <w:rPr>
          <w:rFonts w:hint="eastAsia"/>
          <w:color w:val="auto"/>
          <w:sz w:val="24"/>
          <w:highlight w:val="none"/>
        </w:rPr>
        <w:t>五、财政拨款支出决算明细表</w:t>
      </w:r>
      <w:r>
        <w:rPr>
          <w:rFonts w:hint="eastAsia"/>
          <w:color w:val="auto"/>
          <w:sz w:val="24"/>
          <w:highlight w:val="none"/>
          <w:lang w:val="en-US" w:eastAsia="zh-CN"/>
        </w:rPr>
        <w:t>..........................................................................41</w:t>
      </w:r>
    </w:p>
    <w:p w14:paraId="1F36CEB5">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六、一般公共预算财政拨款支出决算表</w:t>
      </w:r>
      <w:r>
        <w:rPr>
          <w:rFonts w:hint="eastAsia"/>
          <w:color w:val="auto"/>
          <w:sz w:val="24"/>
          <w:highlight w:val="none"/>
          <w:lang w:val="en-US" w:eastAsia="zh-CN"/>
        </w:rPr>
        <w:t>..........................................................41</w:t>
      </w:r>
    </w:p>
    <w:p w14:paraId="619EE50E">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七、一般公共预算财政拨款支出决算明细表</w:t>
      </w:r>
      <w:r>
        <w:rPr>
          <w:rFonts w:hint="eastAsia"/>
          <w:color w:val="auto"/>
          <w:sz w:val="24"/>
          <w:highlight w:val="none"/>
          <w:lang w:val="en-US" w:eastAsia="zh-CN"/>
        </w:rPr>
        <w:t>..................................................41</w:t>
      </w:r>
    </w:p>
    <w:p w14:paraId="099EF435">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r>
        <w:rPr>
          <w:rFonts w:hint="eastAsia"/>
          <w:color w:val="auto"/>
          <w:sz w:val="24"/>
          <w:highlight w:val="none"/>
          <w:lang w:val="en-US" w:eastAsia="zh-CN"/>
        </w:rPr>
        <w:t>..........................................41</w:t>
      </w:r>
    </w:p>
    <w:p w14:paraId="030A4CB6">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九、一般公共预算财政拨款项目支出决算表</w:t>
      </w:r>
      <w:r>
        <w:rPr>
          <w:rFonts w:hint="eastAsia"/>
          <w:color w:val="auto"/>
          <w:sz w:val="24"/>
          <w:highlight w:val="none"/>
          <w:lang w:val="en-US" w:eastAsia="zh-CN"/>
        </w:rPr>
        <w:t>..................................................41</w:t>
      </w:r>
    </w:p>
    <w:p w14:paraId="514C4035">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w:t>
      </w:r>
      <w:r>
        <w:rPr>
          <w:rFonts w:hint="eastAsia"/>
          <w:color w:val="auto"/>
          <w:sz w:val="24"/>
          <w:highlight w:val="none"/>
          <w:lang w:val="en-US" w:eastAsia="zh-CN"/>
        </w:rPr>
        <w:t xml:space="preserve">  </w:t>
      </w:r>
      <w:r>
        <w:rPr>
          <w:rFonts w:hint="eastAsia"/>
          <w:color w:val="auto"/>
          <w:sz w:val="24"/>
          <w:highlight w:val="none"/>
        </w:rPr>
        <w:t>政府性基金预算财政拨款收入支出决算表</w:t>
      </w:r>
      <w:r>
        <w:rPr>
          <w:rFonts w:hint="eastAsia"/>
          <w:color w:val="auto"/>
          <w:sz w:val="24"/>
          <w:highlight w:val="none"/>
          <w:lang w:val="en-US" w:eastAsia="zh-CN"/>
        </w:rPr>
        <w:t>............................................41</w:t>
      </w:r>
    </w:p>
    <w:p w14:paraId="23CFBAAF">
      <w:pPr>
        <w:pStyle w:val="14"/>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十一、国有资本经营预算财政拨款收入支出决算表</w:t>
      </w:r>
      <w:r>
        <w:rPr>
          <w:rFonts w:hint="eastAsia"/>
          <w:color w:val="auto"/>
          <w:sz w:val="24"/>
          <w:highlight w:val="none"/>
          <w:lang w:val="en-US" w:eastAsia="zh-CN"/>
        </w:rPr>
        <w:t>........................................41</w:t>
      </w:r>
    </w:p>
    <w:p w14:paraId="1E30BA0E">
      <w:pPr>
        <w:pStyle w:val="14"/>
        <w:adjustRightInd w:val="0"/>
        <w:snapToGrid w:val="0"/>
        <w:spacing w:line="440" w:lineRule="exact"/>
        <w:jc w:val="left"/>
        <w:rPr>
          <w:rFonts w:hint="default"/>
          <w:color w:val="auto"/>
          <w:sz w:val="24"/>
          <w:highlight w:val="none"/>
          <w:lang w:val="en-US"/>
        </w:rPr>
      </w:pPr>
      <w:r>
        <w:rPr>
          <w:rFonts w:hint="eastAsia"/>
          <w:color w:val="auto"/>
          <w:sz w:val="24"/>
          <w:highlight w:val="none"/>
        </w:rPr>
        <w:t>十二、</w:t>
      </w:r>
      <w:r>
        <w:rPr>
          <w:rFonts w:hint="eastAsia"/>
          <w:color w:val="auto"/>
          <w:sz w:val="24"/>
          <w:highlight w:val="none"/>
          <w:lang w:val="en-US" w:eastAsia="zh-CN"/>
        </w:rPr>
        <w:t>国有资本经营预算财政拨款支出决算表...............................................41</w:t>
      </w:r>
    </w:p>
    <w:p w14:paraId="41176DF6">
      <w:pPr>
        <w:pStyle w:val="14"/>
        <w:adjustRightInd w:val="0"/>
        <w:snapToGrid w:val="0"/>
        <w:spacing w:line="440" w:lineRule="exact"/>
        <w:jc w:val="left"/>
        <w:rPr>
          <w:rFonts w:hint="default" w:eastAsia="宋体" w:asciiTheme="minorEastAsia" w:hAnsiTheme="minorEastAsia" w:cstheme="minorEastAsia"/>
          <w:color w:val="auto"/>
          <w:sz w:val="24"/>
          <w:highlight w:val="none"/>
          <w:lang w:val="en-US" w:eastAsia="zh-CN"/>
        </w:rPr>
      </w:pPr>
      <w:r>
        <w:rPr>
          <w:rFonts w:hint="eastAsia"/>
          <w:color w:val="auto"/>
          <w:sz w:val="24"/>
          <w:highlight w:val="none"/>
        </w:rPr>
        <w:t>十三、财政拨款“三公”经费支出决算表</w:t>
      </w:r>
      <w:r>
        <w:rPr>
          <w:rFonts w:hint="eastAsia"/>
          <w:color w:val="auto"/>
          <w:sz w:val="24"/>
          <w:highlight w:val="none"/>
          <w:lang w:val="en-US" w:eastAsia="zh-CN"/>
        </w:rPr>
        <w:t>.......................................................41</w:t>
      </w:r>
    </w:p>
    <w:p w14:paraId="410062FA">
      <w:pPr>
        <w:widowControl/>
        <w:spacing w:line="440" w:lineRule="exact"/>
        <w:jc w:val="left"/>
        <w:rPr>
          <w:rFonts w:hint="eastAsia" w:ascii="方正小标宋_GBK" w:hAnsi="方正小标宋_GBK" w:eastAsia="方正小标宋_GBK" w:cs="方正小标宋_GBK"/>
          <w:sz w:val="44"/>
          <w:szCs w:val="44"/>
        </w:rPr>
      </w:pPr>
      <w:r>
        <w:rPr>
          <w:rFonts w:hint="eastAsia" w:eastAsia="仿宋_GB2312" w:cs="仿宋_GB2312"/>
          <w:b/>
          <w:sz w:val="32"/>
          <w:szCs w:val="32"/>
        </w:rPr>
        <w:br w:type="page"/>
      </w:r>
    </w:p>
    <w:p w14:paraId="72731B9D">
      <w:pPr>
        <w:pStyle w:val="12"/>
        <w:adjustRightInd w:val="0"/>
        <w:snapToGrid w:val="0"/>
        <w:spacing w:before="0" w:line="560" w:lineRule="exact"/>
        <w:ind w:firstLine="1760" w:firstLineChars="400"/>
        <w:jc w:val="left"/>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第一部分 部门概况</w:t>
      </w:r>
    </w:p>
    <w:p w14:paraId="57AB009D">
      <w:pPr>
        <w:pStyle w:val="14"/>
        <w:adjustRightInd w:val="0"/>
        <w:snapToGrid w:val="0"/>
        <w:spacing w:line="560" w:lineRule="exact"/>
        <w:ind w:left="0" w:leftChars="0"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一、部门职责</w:t>
      </w:r>
    </w:p>
    <w:p w14:paraId="64D838E4">
      <w:pPr>
        <w:ind w:firstLine="630" w:firstLineChars="300"/>
        <w:rPr>
          <w:rFonts w:ascii="仿宋" w:hAnsi="仿宋" w:eastAsia="仿宋" w:cs="仿宋"/>
          <w:sz w:val="32"/>
          <w:szCs w:val="32"/>
        </w:rPr>
      </w:pPr>
      <w:r>
        <w:rPr>
          <w:rFonts w:hint="eastAsia"/>
          <w:lang w:val="en-US" w:eastAsia="zh-CN"/>
        </w:rPr>
        <w:t xml:space="preserve"> </w:t>
      </w:r>
      <w:r>
        <w:rPr>
          <w:rFonts w:hint="eastAsia" w:ascii="仿宋" w:hAnsi="仿宋" w:eastAsia="仿宋" w:cs="仿宋"/>
          <w:sz w:val="32"/>
          <w:szCs w:val="32"/>
        </w:rPr>
        <w:t>1.贯彻执行医疗保险、生育保险、医疗救助等医疗保障的各项法律、法规、规章。参与拟订医疗保障事业发展规划、政策和标准，并组织实施和监督检查。</w:t>
      </w:r>
    </w:p>
    <w:p w14:paraId="7E626EDC">
      <w:pPr>
        <w:ind w:firstLine="800"/>
        <w:rPr>
          <w:rFonts w:ascii="仿宋" w:hAnsi="仿宋" w:eastAsia="仿宋" w:cs="仿宋"/>
          <w:sz w:val="32"/>
          <w:szCs w:val="32"/>
        </w:rPr>
      </w:pPr>
      <w:r>
        <w:rPr>
          <w:rFonts w:hint="eastAsia" w:ascii="仿宋" w:hAnsi="仿宋" w:eastAsia="仿宋" w:cs="仿宋"/>
          <w:sz w:val="32"/>
          <w:szCs w:val="32"/>
        </w:rPr>
        <w:t>2.组织拟订并实施医疗保障基（资）金监督管理制度，建立健全医疗保障基（资）金安全防控机制，监督强化全区医疗保障基（资）金运行管理。</w:t>
      </w:r>
    </w:p>
    <w:p w14:paraId="4F9AB076">
      <w:pPr>
        <w:ind w:firstLine="800"/>
        <w:rPr>
          <w:rFonts w:ascii="仿宋" w:hAnsi="仿宋" w:eastAsia="仿宋" w:cs="仿宋"/>
          <w:sz w:val="32"/>
          <w:szCs w:val="32"/>
        </w:rPr>
      </w:pPr>
      <w:r>
        <w:rPr>
          <w:rFonts w:hint="eastAsia" w:ascii="仿宋" w:hAnsi="仿宋" w:eastAsia="仿宋" w:cs="仿宋"/>
          <w:sz w:val="32"/>
          <w:szCs w:val="32"/>
        </w:rPr>
        <w:t>3.组织拟订并组织实施医疗保障筹资和待遇政策，落实医疗保障筹资标准动态调整机制，统筹城乡医疗保障待遇标准，建立健全与筹资水平相适应的待遇调整机制。组织实施长期护理保险制度改革方案。组织实施医疗救助。</w:t>
      </w:r>
    </w:p>
    <w:p w14:paraId="57B6AB9A">
      <w:pPr>
        <w:ind w:firstLine="800"/>
        <w:rPr>
          <w:rFonts w:ascii="仿宋" w:hAnsi="仿宋" w:eastAsia="仿宋" w:cs="仿宋"/>
          <w:sz w:val="32"/>
          <w:szCs w:val="32"/>
        </w:rPr>
      </w:pPr>
      <w:r>
        <w:rPr>
          <w:rFonts w:hint="eastAsia" w:ascii="仿宋" w:hAnsi="仿宋" w:eastAsia="仿宋" w:cs="仿宋"/>
          <w:sz w:val="32"/>
          <w:szCs w:val="32"/>
        </w:rPr>
        <w:t>4.组织实施全省、全市统一的药品、医用耗材、医疗服务项目、医疗服务设施等医疗保障目录和支付标准，根据授权在医疗保障目录准入谈判规则下进行目录增补和支付标准的调整。</w:t>
      </w:r>
    </w:p>
    <w:p w14:paraId="68CC3609">
      <w:pPr>
        <w:ind w:firstLine="800"/>
        <w:rPr>
          <w:rFonts w:ascii="仿宋" w:hAnsi="仿宋" w:eastAsia="仿宋" w:cs="仿宋"/>
          <w:sz w:val="32"/>
          <w:szCs w:val="32"/>
        </w:rPr>
      </w:pPr>
      <w:r>
        <w:rPr>
          <w:rFonts w:hint="eastAsia" w:ascii="仿宋" w:hAnsi="仿宋" w:eastAsia="仿宋" w:cs="仿宋"/>
          <w:sz w:val="32"/>
          <w:szCs w:val="32"/>
        </w:rPr>
        <w:t>5.参与拟订并组织实施全市城乡统一的药品、医用耗材价格和医疗服务项目、医疗服务设施收费等政策，建立医保支付医药服务价格合理确定和动态调整机制，推动建立市场主导的社会医药服务价格形成机制，建立价格信息监测和信息发布制度。</w:t>
      </w:r>
    </w:p>
    <w:p w14:paraId="68E8915E">
      <w:pPr>
        <w:ind w:firstLine="800"/>
        <w:rPr>
          <w:rFonts w:ascii="仿宋" w:hAnsi="仿宋" w:eastAsia="仿宋" w:cs="仿宋"/>
          <w:sz w:val="32"/>
          <w:szCs w:val="32"/>
        </w:rPr>
      </w:pPr>
      <w:r>
        <w:rPr>
          <w:rFonts w:hint="eastAsia" w:ascii="仿宋" w:hAnsi="仿宋" w:eastAsia="仿宋" w:cs="仿宋"/>
          <w:sz w:val="32"/>
          <w:szCs w:val="32"/>
        </w:rPr>
        <w:t>6.贯彻执行全省药品、医用耗材的招标采购政策并监督实施，根据省、市统一安排部署，参与全省药品、医用耗材招标采购平台建设，承担并完成相关工作任务。</w:t>
      </w:r>
    </w:p>
    <w:p w14:paraId="76F24F52">
      <w:pPr>
        <w:ind w:firstLine="800"/>
        <w:rPr>
          <w:rFonts w:ascii="仿宋" w:hAnsi="仿宋" w:eastAsia="仿宋" w:cs="仿宋"/>
          <w:sz w:val="32"/>
          <w:szCs w:val="32"/>
        </w:rPr>
      </w:pPr>
      <w:r>
        <w:rPr>
          <w:rFonts w:hint="eastAsia" w:ascii="仿宋" w:hAnsi="仿宋" w:eastAsia="仿宋" w:cs="仿宋"/>
          <w:sz w:val="32"/>
          <w:szCs w:val="32"/>
        </w:rPr>
        <w:t>7.推进医疗保障基金支付方式改革，组织拟订全区定点医药机构服务协议和基金支付管理办法并组织实施。承担全区医疗保障定点机构管理，建立健全医疗保障信用评价体系和信息披露制度，监督管理纳入医疗保障范围内的医疗服务行为和医疗费用，依法查处医疗保障领域违法违规行为。</w:t>
      </w:r>
    </w:p>
    <w:p w14:paraId="2C8709C0">
      <w:pPr>
        <w:ind w:firstLine="800"/>
        <w:rPr>
          <w:rFonts w:ascii="仿宋" w:hAnsi="仿宋" w:eastAsia="仿宋" w:cs="仿宋"/>
          <w:sz w:val="32"/>
          <w:szCs w:val="32"/>
        </w:rPr>
      </w:pPr>
      <w:r>
        <w:rPr>
          <w:rFonts w:hint="eastAsia" w:ascii="仿宋" w:hAnsi="仿宋" w:eastAsia="仿宋" w:cs="仿宋"/>
          <w:sz w:val="32"/>
          <w:szCs w:val="32"/>
        </w:rPr>
        <w:t>8.负责全区医疗保障业务经办管理和公共服务体系建设。组织实施异地就医管理规定和费用结算政策。执行医疗保障关系转移接续规定。指导和监督管理全区医保经办服务工作。开展医疗保障领域对外合作交流。</w:t>
      </w:r>
    </w:p>
    <w:p w14:paraId="0562A9E7">
      <w:pPr>
        <w:ind w:firstLine="800"/>
        <w:rPr>
          <w:rFonts w:ascii="仿宋" w:hAnsi="仿宋" w:eastAsia="仿宋" w:cs="仿宋"/>
          <w:sz w:val="32"/>
          <w:szCs w:val="32"/>
        </w:rPr>
      </w:pPr>
      <w:r>
        <w:rPr>
          <w:rFonts w:hint="eastAsia" w:ascii="仿宋" w:hAnsi="仿宋" w:eastAsia="仿宋" w:cs="仿宋"/>
          <w:sz w:val="32"/>
          <w:szCs w:val="32"/>
        </w:rPr>
        <w:t>9.组织拟订全区医疗保障信息化规划并参与全市医疗保障信息化建设。组织开展医疗保障大数据管理和应用。</w:t>
      </w:r>
    </w:p>
    <w:p w14:paraId="7E3F6934">
      <w:pPr>
        <w:ind w:firstLine="800"/>
        <w:rPr>
          <w:rFonts w:ascii="仿宋" w:hAnsi="仿宋" w:eastAsia="仿宋" w:cs="仿宋"/>
          <w:sz w:val="32"/>
          <w:szCs w:val="32"/>
        </w:rPr>
      </w:pPr>
      <w:r>
        <w:rPr>
          <w:rFonts w:hint="eastAsia" w:ascii="仿宋" w:hAnsi="仿宋" w:eastAsia="仿宋" w:cs="仿宋"/>
          <w:sz w:val="32"/>
          <w:szCs w:val="32"/>
        </w:rPr>
        <w:t>10.拟订并组织实施区本级离休干部、六级以上革命伤残军人的医疗保障政策和副县级及以上干部、高级知识分子的医疗照顾政策。</w:t>
      </w:r>
    </w:p>
    <w:p w14:paraId="05B2836C">
      <w:pPr>
        <w:ind w:firstLine="800"/>
        <w:rPr>
          <w:rFonts w:ascii="仿宋" w:hAnsi="仿宋" w:eastAsia="仿宋" w:cs="仿宋"/>
          <w:sz w:val="32"/>
          <w:szCs w:val="32"/>
        </w:rPr>
      </w:pPr>
      <w:r>
        <w:rPr>
          <w:rFonts w:hint="eastAsia" w:ascii="仿宋" w:hAnsi="仿宋" w:eastAsia="仿宋" w:cs="仿宋"/>
          <w:sz w:val="32"/>
          <w:szCs w:val="32"/>
        </w:rPr>
        <w:t>11.负责职责范围内的安全生产和职业健康、生态环境保护、审批服务便民化等工作。按省、市的要求和指导，推进相对集中行政许可权改革。</w:t>
      </w:r>
    </w:p>
    <w:p w14:paraId="71D02531">
      <w:pPr>
        <w:ind w:firstLine="800"/>
        <w:rPr>
          <w:rFonts w:ascii="仿宋" w:hAnsi="仿宋" w:eastAsia="仿宋" w:cs="仿宋"/>
          <w:sz w:val="32"/>
          <w:szCs w:val="32"/>
        </w:rPr>
      </w:pPr>
      <w:r>
        <w:rPr>
          <w:rFonts w:hint="eastAsia" w:ascii="仿宋" w:hAnsi="仿宋" w:eastAsia="仿宋" w:cs="仿宋"/>
          <w:sz w:val="32"/>
          <w:szCs w:val="32"/>
        </w:rPr>
        <w:t>12.指导各乡镇（街道）医疗保障相关政策实施和工作落实。</w:t>
      </w:r>
    </w:p>
    <w:p w14:paraId="19C1B3C9">
      <w:pPr>
        <w:ind w:firstLine="800"/>
        <w:rPr>
          <w:rFonts w:ascii="仿宋" w:hAnsi="仿宋" w:eastAsia="仿宋" w:cs="仿宋"/>
          <w:sz w:val="32"/>
          <w:szCs w:val="32"/>
        </w:rPr>
      </w:pPr>
      <w:r>
        <w:rPr>
          <w:rFonts w:hint="eastAsia" w:ascii="仿宋" w:hAnsi="仿宋" w:eastAsia="仿宋" w:cs="仿宋"/>
          <w:sz w:val="32"/>
          <w:szCs w:val="32"/>
        </w:rPr>
        <w:t>13.完成区委、区政府交办的其他任务。</w:t>
      </w:r>
    </w:p>
    <w:p w14:paraId="4CFCCB2F">
      <w:pPr>
        <w:ind w:firstLine="800"/>
        <w:rPr>
          <w:rFonts w:ascii="仿宋" w:hAnsi="仿宋" w:eastAsia="仿宋" w:cs="仿宋"/>
          <w:sz w:val="32"/>
          <w:szCs w:val="32"/>
        </w:rPr>
      </w:pPr>
      <w:r>
        <w:rPr>
          <w:rFonts w:hint="eastAsia" w:ascii="仿宋" w:hAnsi="仿宋" w:eastAsia="仿宋" w:cs="仿宋"/>
          <w:sz w:val="32"/>
          <w:szCs w:val="32"/>
        </w:rPr>
        <w:t>14.职能转变。完善统一的城乡居民基本医疗保险和大病保险制度，不断提高医疗保障水平，建立健全覆盖全民、城乡统筹的多层次医疗保障体系，确保医疗保障资金合理使用、安全可控，推进医疗、医保、医药“三医联动”改革，更好地保障人民群众就医需求、减轻医药费用负担。</w:t>
      </w:r>
    </w:p>
    <w:p w14:paraId="7457E5C7">
      <w:pPr>
        <w:ind w:firstLine="800"/>
        <w:rPr>
          <w:rFonts w:ascii="仿宋" w:hAnsi="仿宋" w:eastAsia="仿宋" w:cs="仿宋"/>
          <w:sz w:val="32"/>
          <w:szCs w:val="32"/>
        </w:rPr>
      </w:pPr>
      <w:r>
        <w:rPr>
          <w:rFonts w:hint="eastAsia" w:ascii="仿宋" w:hAnsi="仿宋" w:eastAsia="仿宋" w:cs="仿宋"/>
          <w:sz w:val="32"/>
          <w:szCs w:val="32"/>
        </w:rPr>
        <w:t>15.有关职责</w:t>
      </w:r>
      <w:bookmarkStart w:id="69" w:name="_GoBack"/>
      <w:bookmarkEnd w:id="69"/>
      <w:r>
        <w:rPr>
          <w:rFonts w:hint="eastAsia" w:ascii="仿宋" w:hAnsi="仿宋" w:eastAsia="仿宋" w:cs="仿宋"/>
          <w:sz w:val="32"/>
          <w:szCs w:val="32"/>
        </w:rPr>
        <w:t>分工。</w:t>
      </w:r>
    </w:p>
    <w:p w14:paraId="55EBF6D8">
      <w:pPr>
        <w:ind w:firstLine="800"/>
        <w:rPr>
          <w:rFonts w:ascii="仿宋" w:hAnsi="仿宋" w:eastAsia="仿宋" w:cs="仿宋"/>
          <w:sz w:val="32"/>
          <w:szCs w:val="32"/>
        </w:rPr>
      </w:pPr>
      <w:r>
        <w:rPr>
          <w:rFonts w:hint="eastAsia" w:ascii="仿宋" w:hAnsi="仿宋" w:eastAsia="仿宋" w:cs="仿宋"/>
          <w:sz w:val="32"/>
          <w:szCs w:val="32"/>
        </w:rPr>
        <w:t>(1)与区卫生健康局的有关职责分工。两部门在医疗、医保、医药等方面加强制度、政策衔接，建立沟通</w:t>
      </w:r>
      <w:r>
        <w:rPr>
          <w:rFonts w:hint="eastAsia" w:ascii="仿宋" w:hAnsi="仿宋" w:eastAsia="仿宋" w:cs="仿宋"/>
          <w:sz w:val="32"/>
          <w:szCs w:val="32"/>
          <w:lang w:val="en-US" w:eastAsia="zh-CN"/>
        </w:rPr>
        <w:t>协</w:t>
      </w:r>
      <w:r>
        <w:rPr>
          <w:rFonts w:hint="eastAsia" w:ascii="仿宋" w:hAnsi="仿宋" w:eastAsia="仿宋" w:cs="仿宋"/>
          <w:sz w:val="32"/>
          <w:szCs w:val="32"/>
        </w:rPr>
        <w:t>商机制，协同推进改革，提高医疗资源使用效率和医疗保障水平。</w:t>
      </w:r>
    </w:p>
    <w:p w14:paraId="22EA7094">
      <w:pPr>
        <w:ind w:firstLine="800"/>
      </w:pPr>
      <w:r>
        <w:rPr>
          <w:rFonts w:hint="eastAsia" w:ascii="仿宋" w:hAnsi="仿宋" w:eastAsia="仿宋" w:cs="仿宋"/>
          <w:sz w:val="32"/>
          <w:szCs w:val="32"/>
        </w:rPr>
        <w:t>（2）与国家税务总局攀枝花市仁和区税务局有关职责分工。两部门在医疗、生育、长期护理保险基金征缴工作等方面加强协调，建立沟通机制，共同做好社会保险费税务征缴的相关工作。</w:t>
      </w:r>
    </w:p>
    <w:p w14:paraId="0FDFC726">
      <w:pPr>
        <w:pStyle w:val="14"/>
        <w:adjustRightInd w:val="0"/>
        <w:snapToGrid w:val="0"/>
        <w:spacing w:line="560" w:lineRule="exact"/>
        <w:ind w:left="0" w:leftChars="0" w:firstLine="640" w:firstLineChars="200"/>
        <w:jc w:val="left"/>
        <w:rPr>
          <w:rFonts w:hint="eastAsia" w:ascii="方正公文黑体" w:hAnsi="方正公文黑体" w:eastAsia="方正公文黑体" w:cs="方正公文黑体"/>
          <w:sz w:val="32"/>
          <w:szCs w:val="32"/>
        </w:rPr>
      </w:pPr>
      <w:r>
        <w:rPr>
          <w:rFonts w:hint="eastAsia" w:ascii="方正公文黑体" w:hAnsi="方正公文黑体" w:eastAsia="方正公文黑体" w:cs="方正公文黑体"/>
          <w:sz w:val="32"/>
          <w:szCs w:val="32"/>
        </w:rPr>
        <w:t>二、机构设置</w:t>
      </w:r>
    </w:p>
    <w:p w14:paraId="4C50BEEF">
      <w:pPr>
        <w:ind w:firstLine="800"/>
        <w:rPr>
          <w:color w:val="auto"/>
        </w:rPr>
      </w:pPr>
      <w:r>
        <w:rPr>
          <w:rFonts w:hint="eastAsia" w:ascii="仿宋" w:hAnsi="仿宋" w:eastAsia="仿宋" w:cs="仿宋"/>
          <w:color w:val="auto"/>
          <w:sz w:val="32"/>
          <w:szCs w:val="32"/>
        </w:rPr>
        <w:t>攀</w:t>
      </w:r>
      <w:r>
        <w:rPr>
          <w:rFonts w:ascii="仿宋" w:hAnsi="仿宋" w:eastAsia="仿宋" w:cs="仿宋"/>
          <w:color w:val="auto"/>
          <w:sz w:val="32"/>
          <w:szCs w:val="32"/>
        </w:rPr>
        <w:t>枝花市仁和区医疗保障局下设</w:t>
      </w:r>
      <w:r>
        <w:rPr>
          <w:rFonts w:hint="eastAsia" w:ascii="仿宋" w:hAnsi="仿宋" w:eastAsia="仿宋" w:cs="仿宋"/>
          <w:color w:val="auto"/>
          <w:sz w:val="32"/>
          <w:szCs w:val="32"/>
        </w:rPr>
        <w:t>1个</w:t>
      </w:r>
      <w:r>
        <w:rPr>
          <w:rFonts w:hint="eastAsia" w:ascii="仿宋" w:hAnsi="仿宋" w:eastAsia="仿宋" w:cs="仿宋"/>
          <w:color w:val="auto"/>
          <w:sz w:val="32"/>
          <w:szCs w:val="32"/>
          <w:lang w:val="en-US" w:eastAsia="zh-CN"/>
        </w:rPr>
        <w:t>股</w:t>
      </w:r>
      <w:r>
        <w:rPr>
          <w:rFonts w:hint="eastAsia" w:ascii="仿宋" w:hAnsi="仿宋" w:eastAsia="仿宋" w:cs="仿宋"/>
          <w:color w:val="auto"/>
          <w:sz w:val="32"/>
          <w:szCs w:val="32"/>
        </w:rPr>
        <w:t>室</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综合股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和1个</w:t>
      </w:r>
      <w:r>
        <w:rPr>
          <w:rFonts w:hint="eastAsia" w:ascii="仿宋" w:hAnsi="仿宋" w:eastAsia="仿宋" w:cs="仿宋"/>
          <w:color w:val="auto"/>
          <w:sz w:val="32"/>
          <w:szCs w:val="32"/>
        </w:rPr>
        <w:t>独立编制的参照公务员管理的事业单位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仁和区医疗保障事务中心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。攀枝花市仁和区医疗保障局属一级预算单位，财务统一管理，无单独核算的二级单位。</w:t>
      </w:r>
    </w:p>
    <w:p w14:paraId="6B53860C">
      <w:pPr>
        <w:pStyle w:val="12"/>
        <w:adjustRightInd w:val="0"/>
        <w:snapToGrid w:val="0"/>
        <w:spacing w:before="0" w:line="560" w:lineRule="exact"/>
        <w:ind w:firstLine="320" w:firstLineChars="100"/>
        <w:jc w:val="left"/>
        <w:rPr>
          <w:rFonts w:hint="eastAsia" w:ascii="Times New Roman" w:hAnsi="Times New Roman" w:eastAsia="黑体" w:cs="黑体"/>
          <w:sz w:val="32"/>
          <w:szCs w:val="32"/>
        </w:rPr>
      </w:pPr>
    </w:p>
    <w:p w14:paraId="4F0727A2">
      <w:pPr>
        <w:pStyle w:val="2"/>
        <w:jc w:val="both"/>
        <w:rPr>
          <w:rFonts w:hint="eastAsia" w:ascii="方正小标宋_GBK" w:hAnsi="方正小标宋_GBK" w:eastAsia="方正小标宋_GBK" w:cs="方正小标宋_GBK"/>
          <w:b w:val="0"/>
        </w:rPr>
      </w:pPr>
      <w:bookmarkStart w:id="0" w:name="_Toc15396602"/>
      <w:bookmarkStart w:id="1" w:name="_Toc15377204"/>
      <w:r>
        <w:rPr>
          <w:rFonts w:hint="eastAsia" w:ascii="方正小标宋_GBK" w:hAnsi="方正小标宋_GBK" w:eastAsia="方正小标宋_GBK" w:cs="方正小标宋_GBK"/>
          <w:b w:val="0"/>
        </w:rPr>
        <w:t>第二部分  2024年度部门决算情况说明</w:t>
      </w:r>
      <w:bookmarkEnd w:id="0"/>
      <w:bookmarkEnd w:id="1"/>
      <w:bookmarkStart w:id="2" w:name="_Toc15377205"/>
      <w:bookmarkStart w:id="3" w:name="_Toc15396603"/>
    </w:p>
    <w:p w14:paraId="421CEE18">
      <w:pPr>
        <w:pStyle w:val="2"/>
        <w:ind w:firstLine="641" w:firstLineChars="200"/>
        <w:jc w:val="both"/>
        <w:rPr>
          <w:rStyle w:val="29"/>
          <w:rFonts w:hint="eastAsia" w:ascii="方正公文黑体" w:hAnsi="方正公文黑体" w:eastAsia="方正公文黑体" w:cs="方正公文黑体"/>
          <w:b w:val="0"/>
          <w:bCs/>
        </w:rPr>
      </w:pPr>
      <w:r>
        <w:rPr>
          <w:rFonts w:hint="eastAsia" w:ascii="方正公文黑体" w:hAnsi="方正公文黑体" w:eastAsia="方正公文黑体" w:cs="方正公文黑体"/>
          <w:sz w:val="32"/>
          <w:szCs w:val="32"/>
        </w:rPr>
        <w:t>一、收</w:t>
      </w:r>
      <w:r>
        <w:rPr>
          <w:rStyle w:val="29"/>
          <w:rFonts w:hint="eastAsia" w:ascii="方正公文黑体" w:hAnsi="方正公文黑体" w:eastAsia="方正公文黑体" w:cs="方正公文黑体"/>
          <w:b w:val="0"/>
          <w:bCs/>
        </w:rPr>
        <w:t>入支出决算总体情况说明</w:t>
      </w:r>
      <w:bookmarkEnd w:id="2"/>
      <w:bookmarkEnd w:id="3"/>
    </w:p>
    <w:p w14:paraId="4DE2F735">
      <w:pPr>
        <w:pStyle w:val="2"/>
        <w:ind w:firstLine="643" w:firstLineChars="200"/>
        <w:jc w:val="both"/>
        <w:rPr>
          <w:rFonts w:eastAsia="仿宋_GB2312" w:cs="仿宋_GB2312"/>
          <w:color w:val="auto"/>
          <w:sz w:val="32"/>
          <w:szCs w:val="32"/>
        </w:rPr>
      </w:pPr>
      <w:r>
        <w:rPr>
          <w:rFonts w:hint="eastAsia" w:eastAsia="仿宋_GB2312" w:cs="仿宋_GB2312"/>
          <w:color w:val="auto"/>
          <w:sz w:val="32"/>
          <w:szCs w:val="32"/>
        </w:rPr>
        <w:t>2024年度收入、支出总计均为</w:t>
      </w:r>
      <w:r>
        <w:rPr>
          <w:rFonts w:hint="eastAsia" w:ascii="仿宋_GB2312" w:hAnsi="仿宋_GB2312" w:eastAsia="仿宋_GB2312" w:cs="仿宋_GB2312"/>
          <w:color w:val="auto"/>
          <w:sz w:val="32"/>
          <w:szCs w:val="32"/>
        </w:rPr>
        <w:t>342.39</w:t>
      </w:r>
      <w:r>
        <w:rPr>
          <w:rFonts w:hint="eastAsia" w:eastAsia="仿宋_GB2312" w:cs="仿宋_GB2312"/>
          <w:color w:val="auto"/>
          <w:sz w:val="32"/>
          <w:szCs w:val="32"/>
        </w:rPr>
        <w:t>万元。与2023年度相比，收入、支出总计各减少277.83万元，下降44.8%。主要变动原因是本年度项目收入支出减少。</w:t>
      </w:r>
    </w:p>
    <w:p w14:paraId="31ECADE8">
      <w:pPr>
        <w:ind w:firstLine="640" w:firstLineChars="200"/>
        <w:rPr>
          <w:rFonts w:eastAsia="仿宋_GB2312" w:cs="仿宋_GB2312"/>
          <w:color w:val="auto"/>
          <w:sz w:val="32"/>
          <w:szCs w:val="32"/>
        </w:rPr>
      </w:pPr>
      <w:r>
        <w:rPr>
          <w:rFonts w:hint="eastAsia" w:eastAsia="仿宋_GB2312" w:cs="仿宋_GB2312"/>
          <w:color w:val="auto"/>
          <w:sz w:val="32"/>
          <w:szCs w:val="32"/>
        </w:rPr>
        <w:t>（图1：收入、支出决算总计变动情况图）（柱状图）</w:t>
      </w:r>
    </w:p>
    <w:p w14:paraId="1D1A2491">
      <w:pPr>
        <w:ind w:firstLine="640" w:firstLineChars="200"/>
        <w:rPr>
          <w:rFonts w:eastAsia="仿宋_GB2312" w:cs="仿宋_GB2312"/>
          <w:color w:val="00B0F0"/>
          <w:sz w:val="32"/>
          <w:szCs w:val="32"/>
        </w:rPr>
      </w:pPr>
      <w:r>
        <w:rPr>
          <w:rFonts w:eastAsia="仿宋_GB2312" w:cs="仿宋_GB2312"/>
          <w:color w:val="00B0F0"/>
          <w:sz w:val="32"/>
          <w:szCs w:val="32"/>
        </w:rPr>
        <w:drawing>
          <wp:inline distT="0" distB="0" distL="0" distR="0">
            <wp:extent cx="4746625" cy="2584450"/>
            <wp:effectExtent l="0" t="0" r="1587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srcRect/>
                    <a:stretch>
                      <a:fillRect/>
                    </a:stretch>
                  </pic:blipFill>
                  <pic:spPr>
                    <a:xfrm>
                      <a:off x="0" y="0"/>
                      <a:ext cx="4746625" cy="2584450"/>
                    </a:xfrm>
                    <a:prstGeom prst="rect">
                      <a:avLst/>
                    </a:prstGeom>
                    <a:noFill/>
                    <a:ln w="9525">
                      <a:noFill/>
                      <a:miter lim="800000"/>
                      <a:headEnd/>
                      <a:tailEnd/>
                    </a:ln>
                  </pic:spPr>
                </pic:pic>
              </a:graphicData>
            </a:graphic>
          </wp:inline>
        </w:drawing>
      </w:r>
    </w:p>
    <w:p w14:paraId="07366314">
      <w:pPr>
        <w:pStyle w:val="27"/>
        <w:spacing w:line="600" w:lineRule="exact"/>
        <w:ind w:firstLine="640"/>
        <w:outlineLvl w:val="1"/>
        <w:rPr>
          <w:rFonts w:hint="eastAsia" w:ascii="方正公文黑体" w:hAnsi="方正公文黑体" w:eastAsia="方正公文黑体" w:cs="方正公文黑体"/>
          <w:color w:val="auto"/>
          <w:sz w:val="32"/>
          <w:szCs w:val="32"/>
        </w:rPr>
      </w:pPr>
      <w:bookmarkStart w:id="4" w:name="_Toc15377206"/>
      <w:bookmarkStart w:id="5" w:name="_Toc15396604"/>
    </w:p>
    <w:p w14:paraId="3A035411">
      <w:pPr>
        <w:pStyle w:val="27"/>
        <w:spacing w:line="600" w:lineRule="exact"/>
        <w:ind w:firstLine="640"/>
        <w:outlineLvl w:val="1"/>
        <w:rPr>
          <w:rFonts w:hint="eastAsia" w:ascii="方正公文黑体" w:hAnsi="方正公文黑体" w:eastAsia="方正公文黑体" w:cs="方正公文黑体"/>
          <w:color w:val="auto"/>
          <w:sz w:val="32"/>
          <w:szCs w:val="32"/>
        </w:rPr>
      </w:pPr>
      <w:r>
        <w:rPr>
          <w:rFonts w:hint="eastAsia" w:ascii="方正公文黑体" w:hAnsi="方正公文黑体" w:eastAsia="方正公文黑体" w:cs="方正公文黑体"/>
          <w:color w:val="auto"/>
          <w:sz w:val="32"/>
          <w:szCs w:val="32"/>
        </w:rPr>
        <w:t>二、收入决算情况说明</w:t>
      </w:r>
      <w:bookmarkEnd w:id="4"/>
      <w:bookmarkEnd w:id="5"/>
    </w:p>
    <w:p w14:paraId="7782EE37">
      <w:pPr>
        <w:pStyle w:val="27"/>
        <w:spacing w:line="600" w:lineRule="exact"/>
        <w:ind w:firstLine="640"/>
        <w:jc w:val="left"/>
        <w:outlineLvl w:val="1"/>
        <w:rPr>
          <w:rFonts w:eastAsia="仿宋_GB2312" w:cs="仿宋_GB2312"/>
          <w:b/>
          <w:bCs/>
          <w:color w:val="auto"/>
          <w:sz w:val="32"/>
          <w:szCs w:val="32"/>
        </w:rPr>
      </w:pPr>
      <w:r>
        <w:rPr>
          <w:rFonts w:hint="eastAsia" w:ascii="仿宋_GB2312" w:hAnsi="仿宋_GB2312" w:eastAsia="仿宋_GB2312" w:cs="仿宋_GB2312"/>
          <w:color w:val="auto"/>
          <w:sz w:val="32"/>
          <w:szCs w:val="32"/>
        </w:rPr>
        <w:t>2024年度本年收入合计322.81万元，其中：一般公共预算财政拨款收入322.81万元，占100%；政府性基金预算财政拨款收入0万元，占0%；国有资本经营预算财政拨款收入0万元，占0%；上级补助收入0万元，占0%；事业收入0万元，占0%；经营收入0万元，占0%；附属单位上缴收入0万元，占0%；其他收入0万元，占0%。</w:t>
      </w:r>
    </w:p>
    <w:p w14:paraId="4C8C069A">
      <w:pPr>
        <w:ind w:firstLine="800" w:firstLineChars="250"/>
        <w:rPr>
          <w:rFonts w:eastAsia="仿宋_GB2312" w:cs="仿宋_GB2312"/>
          <w:color w:val="auto"/>
          <w:sz w:val="32"/>
          <w:szCs w:val="32"/>
        </w:rPr>
      </w:pPr>
      <w:r>
        <w:rPr>
          <w:rFonts w:hint="eastAsia" w:eastAsia="仿宋_GB2312" w:cs="仿宋_GB2312"/>
          <w:color w:val="auto"/>
          <w:sz w:val="32"/>
          <w:szCs w:val="32"/>
        </w:rPr>
        <w:t>（图2：收入决算结构图）（饼状图）</w:t>
      </w:r>
    </w:p>
    <w:p w14:paraId="7FE524F8">
      <w:pPr>
        <w:ind w:firstLine="800" w:firstLineChars="250"/>
        <w:rPr>
          <w:rFonts w:eastAsia="仿宋_GB2312" w:cs="仿宋_GB2312"/>
          <w:color w:val="00B0F0"/>
          <w:sz w:val="32"/>
          <w:szCs w:val="32"/>
        </w:rPr>
      </w:pPr>
      <w:r>
        <w:rPr>
          <w:rFonts w:eastAsia="仿宋_GB2312" w:cs="仿宋_GB2312"/>
          <w:color w:val="00B0F0"/>
          <w:sz w:val="32"/>
          <w:szCs w:val="32"/>
        </w:rPr>
        <w:drawing>
          <wp:inline distT="0" distB="0" distL="0" distR="0">
            <wp:extent cx="4580255" cy="2401570"/>
            <wp:effectExtent l="0" t="0" r="10795" b="177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a:srcRect/>
                    <a:stretch>
                      <a:fillRect/>
                    </a:stretch>
                  </pic:blipFill>
                  <pic:spPr>
                    <a:xfrm>
                      <a:off x="0" y="0"/>
                      <a:ext cx="4580255" cy="2401570"/>
                    </a:xfrm>
                    <a:prstGeom prst="rect">
                      <a:avLst/>
                    </a:prstGeom>
                    <a:noFill/>
                    <a:ln w="9525">
                      <a:noFill/>
                      <a:miter lim="800000"/>
                      <a:headEnd/>
                      <a:tailEnd/>
                    </a:ln>
                  </pic:spPr>
                </pic:pic>
              </a:graphicData>
            </a:graphic>
          </wp:inline>
        </w:drawing>
      </w:r>
    </w:p>
    <w:p w14:paraId="54AFB895">
      <w:pPr>
        <w:pStyle w:val="27"/>
        <w:spacing w:line="600" w:lineRule="exact"/>
        <w:ind w:firstLine="640"/>
        <w:outlineLvl w:val="1"/>
        <w:rPr>
          <w:rFonts w:hint="eastAsia" w:ascii="方正公文黑体" w:hAnsi="方正公文黑体" w:eastAsia="方正公文黑体" w:cs="方正公文黑体"/>
          <w:color w:val="auto"/>
          <w:sz w:val="32"/>
          <w:szCs w:val="32"/>
        </w:rPr>
      </w:pPr>
      <w:bookmarkStart w:id="6" w:name="_Toc15377207"/>
      <w:bookmarkStart w:id="7" w:name="_Toc15396605"/>
    </w:p>
    <w:p w14:paraId="1A390B38">
      <w:pPr>
        <w:pStyle w:val="27"/>
        <w:spacing w:line="600" w:lineRule="exact"/>
        <w:ind w:firstLine="640"/>
        <w:outlineLvl w:val="1"/>
        <w:rPr>
          <w:rStyle w:val="29"/>
          <w:rFonts w:hint="eastAsia" w:ascii="方正公文黑体" w:hAnsi="方正公文黑体" w:eastAsia="方正公文黑体" w:cs="方正公文黑体"/>
          <w:b w:val="0"/>
          <w:color w:val="auto"/>
        </w:rPr>
      </w:pPr>
      <w:r>
        <w:rPr>
          <w:rFonts w:hint="eastAsia" w:ascii="方正公文黑体" w:hAnsi="方正公文黑体" w:eastAsia="方正公文黑体" w:cs="方正公文黑体"/>
          <w:color w:val="auto"/>
          <w:sz w:val="32"/>
          <w:szCs w:val="32"/>
        </w:rPr>
        <w:t>三、支</w:t>
      </w:r>
      <w:r>
        <w:rPr>
          <w:rStyle w:val="29"/>
          <w:rFonts w:hint="eastAsia" w:ascii="方正公文黑体" w:hAnsi="方正公文黑体" w:eastAsia="方正公文黑体" w:cs="方正公文黑体"/>
          <w:b w:val="0"/>
          <w:color w:val="auto"/>
        </w:rPr>
        <w:t>出决算情况说明</w:t>
      </w:r>
      <w:bookmarkEnd w:id="6"/>
      <w:bookmarkEnd w:id="7"/>
    </w:p>
    <w:p w14:paraId="57F46B27">
      <w:pPr>
        <w:pStyle w:val="27"/>
        <w:spacing w:line="600" w:lineRule="exact"/>
        <w:ind w:firstLine="640"/>
        <w:jc w:val="left"/>
        <w:outlineLvl w:val="1"/>
        <w:rPr>
          <w:rFonts w:eastAsia="仿宋_GB2312" w:cs="仿宋_GB2312"/>
          <w:color w:val="auto"/>
          <w:sz w:val="32"/>
          <w:szCs w:val="32"/>
        </w:rPr>
      </w:pPr>
      <w:r>
        <w:rPr>
          <w:rFonts w:hint="eastAsia" w:ascii="仿宋_GB2312" w:hAnsi="仿宋_GB2312" w:eastAsia="仿宋_GB2312" w:cs="仿宋_GB2312"/>
          <w:color w:val="auto"/>
          <w:sz w:val="32"/>
          <w:szCs w:val="32"/>
        </w:rPr>
        <w:t>2024年度本年支出合计342.39万元，其中：基本支出278.72万元，占81.4%；项目支出63.67万元，占18.6%；上缴上级支出0万元，占0%；经营支出0万元，占0%；对附属单位补助支出0万元，占0%。</w:t>
      </w:r>
    </w:p>
    <w:p w14:paraId="42F9908E">
      <w:pPr>
        <w:ind w:firstLine="800" w:firstLineChars="250"/>
        <w:rPr>
          <w:rFonts w:eastAsia="仿宋_GB2312" w:cs="仿宋_GB2312"/>
          <w:color w:val="auto"/>
          <w:sz w:val="32"/>
          <w:szCs w:val="32"/>
        </w:rPr>
      </w:pPr>
      <w:r>
        <w:rPr>
          <w:rFonts w:hint="eastAsia" w:eastAsia="仿宋_GB2312" w:cs="仿宋_GB2312"/>
          <w:color w:val="auto"/>
          <w:sz w:val="32"/>
          <w:szCs w:val="32"/>
        </w:rPr>
        <w:t>（图3：支出决算结构图）（饼状图）</w:t>
      </w:r>
    </w:p>
    <w:p w14:paraId="20FBD5EB">
      <w:pPr>
        <w:ind w:firstLine="800" w:firstLineChars="250"/>
        <w:rPr>
          <w:rFonts w:eastAsia="仿宋_GB2312" w:cs="仿宋_GB2312"/>
          <w:color w:val="00B0F0"/>
          <w:sz w:val="32"/>
          <w:szCs w:val="32"/>
        </w:rPr>
      </w:pPr>
      <w:r>
        <w:rPr>
          <w:rFonts w:eastAsia="仿宋_GB2312" w:cs="仿宋_GB2312"/>
          <w:color w:val="00B0F0"/>
          <w:sz w:val="32"/>
          <w:szCs w:val="32"/>
        </w:rPr>
        <w:drawing>
          <wp:inline distT="0" distB="0" distL="0" distR="0">
            <wp:extent cx="4508500" cy="2122805"/>
            <wp:effectExtent l="0" t="0" r="6350" b="1079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a:srcRect/>
                    <a:stretch>
                      <a:fillRect/>
                    </a:stretch>
                  </pic:blipFill>
                  <pic:spPr>
                    <a:xfrm>
                      <a:off x="0" y="0"/>
                      <a:ext cx="4508500" cy="2122805"/>
                    </a:xfrm>
                    <a:prstGeom prst="rect">
                      <a:avLst/>
                    </a:prstGeom>
                    <a:noFill/>
                    <a:ln w="9525">
                      <a:noFill/>
                      <a:miter lim="800000"/>
                      <a:headEnd/>
                      <a:tailEnd/>
                    </a:ln>
                  </pic:spPr>
                </pic:pic>
              </a:graphicData>
            </a:graphic>
          </wp:inline>
        </w:drawing>
      </w:r>
    </w:p>
    <w:p w14:paraId="20338CF4">
      <w:pPr>
        <w:spacing w:line="600" w:lineRule="exact"/>
        <w:ind w:firstLine="640" w:firstLineChars="200"/>
        <w:outlineLvl w:val="1"/>
        <w:rPr>
          <w:rStyle w:val="29"/>
          <w:rFonts w:hint="eastAsia" w:ascii="方正公文黑体" w:hAnsi="方正公文黑体" w:eastAsia="方正公文黑体" w:cs="方正公文黑体"/>
          <w:b w:val="0"/>
          <w:color w:val="auto"/>
        </w:rPr>
      </w:pPr>
      <w:bookmarkStart w:id="8" w:name="_Toc15377208"/>
      <w:bookmarkStart w:id="9" w:name="_Toc15396606"/>
      <w:r>
        <w:rPr>
          <w:rFonts w:hint="eastAsia" w:ascii="方正公文黑体" w:hAnsi="方正公文黑体" w:eastAsia="方正公文黑体" w:cs="方正公文黑体"/>
          <w:color w:val="auto"/>
          <w:sz w:val="32"/>
          <w:szCs w:val="32"/>
        </w:rPr>
        <w:t>四、财</w:t>
      </w:r>
      <w:r>
        <w:rPr>
          <w:rStyle w:val="29"/>
          <w:rFonts w:hint="eastAsia" w:ascii="方正公文黑体" w:hAnsi="方正公文黑体" w:eastAsia="方正公文黑体" w:cs="方正公文黑体"/>
          <w:b w:val="0"/>
          <w:color w:val="auto"/>
        </w:rPr>
        <w:t>政拨款收入支出决算总体情况说明</w:t>
      </w:r>
      <w:bookmarkEnd w:id="8"/>
      <w:bookmarkEnd w:id="9"/>
    </w:p>
    <w:p w14:paraId="32837602">
      <w:pPr>
        <w:spacing w:line="600" w:lineRule="exact"/>
        <w:ind w:firstLine="640"/>
        <w:rPr>
          <w:rFonts w:eastAsia="仿宋_GB2312" w:cs="仿宋_GB2312"/>
          <w:color w:val="auto"/>
          <w:sz w:val="32"/>
          <w:szCs w:val="32"/>
        </w:rPr>
      </w:pPr>
      <w:r>
        <w:rPr>
          <w:rFonts w:hint="eastAsia" w:eastAsia="仿宋_GB2312" w:cs="仿宋_GB2312"/>
          <w:color w:val="auto"/>
          <w:sz w:val="32"/>
          <w:szCs w:val="32"/>
        </w:rPr>
        <w:t>2024年度财政拨款收入、支出总计均为</w:t>
      </w:r>
      <w:r>
        <w:rPr>
          <w:rFonts w:hint="eastAsia" w:ascii="仿宋_GB2312" w:hAnsi="仿宋_GB2312" w:eastAsia="仿宋_GB2312" w:cs="仿宋_GB2312"/>
          <w:color w:val="auto"/>
          <w:sz w:val="32"/>
          <w:szCs w:val="32"/>
        </w:rPr>
        <w:t>342.39</w:t>
      </w:r>
      <w:r>
        <w:rPr>
          <w:rFonts w:hint="eastAsia" w:eastAsia="仿宋_GB2312" w:cs="仿宋_GB2312"/>
          <w:color w:val="auto"/>
          <w:sz w:val="32"/>
          <w:szCs w:val="32"/>
        </w:rPr>
        <w:t>万元。与2023年度相比，财政拨款收入总计、支出总计各减少277.83万元，下降44.8%。主要变动原因是本年度项目收入支出减少。（图4：财政拨款收、支决算总计变动情况）（柱状图）</w:t>
      </w:r>
    </w:p>
    <w:p w14:paraId="21B0C59C">
      <w:pPr>
        <w:pStyle w:val="7"/>
        <w:ind w:left="420"/>
        <w:rPr>
          <w:color w:val="00B0F0"/>
        </w:rPr>
      </w:pPr>
      <w:r>
        <w:rPr>
          <w:rFonts w:hint="eastAsia"/>
          <w:color w:val="00B0F0"/>
        </w:rPr>
        <w:drawing>
          <wp:inline distT="0" distB="0" distL="0" distR="0">
            <wp:extent cx="5041265" cy="2369185"/>
            <wp:effectExtent l="0" t="0" r="6985" b="1206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a:srcRect/>
                    <a:stretch>
                      <a:fillRect/>
                    </a:stretch>
                  </pic:blipFill>
                  <pic:spPr>
                    <a:xfrm>
                      <a:off x="0" y="0"/>
                      <a:ext cx="5041265" cy="2369185"/>
                    </a:xfrm>
                    <a:prstGeom prst="rect">
                      <a:avLst/>
                    </a:prstGeom>
                    <a:noFill/>
                    <a:ln w="9525">
                      <a:noFill/>
                      <a:miter lim="800000"/>
                      <a:headEnd/>
                      <a:tailEnd/>
                    </a:ln>
                  </pic:spPr>
                </pic:pic>
              </a:graphicData>
            </a:graphic>
          </wp:inline>
        </w:drawing>
      </w:r>
    </w:p>
    <w:p w14:paraId="7245FF40">
      <w:pPr>
        <w:spacing w:line="600" w:lineRule="exact"/>
        <w:ind w:firstLine="640" w:firstLineChars="200"/>
        <w:outlineLvl w:val="1"/>
        <w:rPr>
          <w:rFonts w:hint="eastAsia" w:ascii="方正公文黑体" w:hAnsi="方正公文黑体" w:eastAsia="方正公文黑体" w:cs="方正公文黑体"/>
          <w:color w:val="auto"/>
          <w:sz w:val="32"/>
          <w:szCs w:val="32"/>
        </w:rPr>
      </w:pPr>
      <w:bookmarkStart w:id="10" w:name="_Toc15396607"/>
      <w:bookmarkStart w:id="11" w:name="_Toc15377209"/>
    </w:p>
    <w:p w14:paraId="37427418">
      <w:pPr>
        <w:spacing w:line="600" w:lineRule="exact"/>
        <w:ind w:firstLine="640" w:firstLineChars="200"/>
        <w:outlineLvl w:val="1"/>
        <w:rPr>
          <w:rStyle w:val="29"/>
          <w:rFonts w:hint="eastAsia" w:ascii="方正公文黑体" w:hAnsi="方正公文黑体" w:eastAsia="方正公文黑体" w:cs="方正公文黑体"/>
          <w:b w:val="0"/>
          <w:color w:val="auto"/>
        </w:rPr>
      </w:pPr>
      <w:r>
        <w:rPr>
          <w:rFonts w:hint="eastAsia" w:ascii="方正公文黑体" w:hAnsi="方正公文黑体" w:eastAsia="方正公文黑体" w:cs="方正公文黑体"/>
          <w:color w:val="auto"/>
          <w:sz w:val="32"/>
          <w:szCs w:val="32"/>
        </w:rPr>
        <w:t>五、</w:t>
      </w:r>
      <w:r>
        <w:rPr>
          <w:rFonts w:hint="eastAsia" w:ascii="方正公文黑体" w:hAnsi="方正公文黑体" w:eastAsia="方正公文黑体" w:cs="方正公文黑体"/>
          <w:b/>
          <w:color w:val="auto"/>
          <w:sz w:val="32"/>
          <w:szCs w:val="32"/>
        </w:rPr>
        <w:t>一</w:t>
      </w:r>
      <w:r>
        <w:rPr>
          <w:rStyle w:val="29"/>
          <w:rFonts w:hint="eastAsia" w:ascii="方正公文黑体" w:hAnsi="方正公文黑体" w:eastAsia="方正公文黑体" w:cs="方正公文黑体"/>
          <w:b w:val="0"/>
          <w:color w:val="auto"/>
        </w:rPr>
        <w:t>般公共预算财政拨款支出决算情况说明</w:t>
      </w:r>
      <w:bookmarkEnd w:id="10"/>
      <w:bookmarkEnd w:id="11"/>
    </w:p>
    <w:p w14:paraId="24BF674B">
      <w:pPr>
        <w:spacing w:line="600" w:lineRule="exact"/>
        <w:ind w:firstLine="643" w:firstLineChars="200"/>
        <w:outlineLvl w:val="2"/>
        <w:rPr>
          <w:rFonts w:eastAsia="楷体_GB2312" w:cs="楷体_GB2312"/>
          <w:b/>
          <w:color w:val="auto"/>
          <w:sz w:val="32"/>
          <w:szCs w:val="32"/>
        </w:rPr>
      </w:pPr>
      <w:bookmarkStart w:id="12" w:name="_Toc15377210"/>
      <w:r>
        <w:rPr>
          <w:rFonts w:hint="eastAsia" w:eastAsia="楷体_GB2312" w:cs="楷体_GB2312"/>
          <w:b/>
          <w:color w:val="auto"/>
          <w:sz w:val="32"/>
          <w:szCs w:val="32"/>
        </w:rPr>
        <w:t>（一）一般公共预算财政拨款支出决算总体情况</w:t>
      </w:r>
      <w:bookmarkEnd w:id="12"/>
    </w:p>
    <w:p w14:paraId="53874494">
      <w:pPr>
        <w:spacing w:line="600" w:lineRule="exact"/>
        <w:ind w:firstLine="640"/>
        <w:rPr>
          <w:rFonts w:eastAsia="仿宋_GB2312" w:cs="仿宋_GB2312"/>
          <w:color w:val="auto"/>
          <w:sz w:val="32"/>
          <w:szCs w:val="32"/>
        </w:rPr>
      </w:pPr>
      <w:r>
        <w:rPr>
          <w:rFonts w:hint="eastAsia" w:ascii="仿宋_GB2312" w:hAnsi="仿宋_GB2312" w:eastAsia="仿宋_GB2312" w:cs="仿宋_GB2312"/>
          <w:color w:val="auto"/>
          <w:sz w:val="32"/>
          <w:szCs w:val="32"/>
        </w:rPr>
        <w:t>2024年度一般公共预算财政拨款支出342.39万元，占本年支出合计的100%。与2023年度相比，一般公共预算财政拨款支出</w:t>
      </w:r>
      <w:r>
        <w:rPr>
          <w:rFonts w:hint="eastAsia" w:eastAsia="仿宋_GB2312" w:cs="仿宋_GB2312"/>
          <w:color w:val="auto"/>
          <w:sz w:val="32"/>
          <w:szCs w:val="32"/>
        </w:rPr>
        <w:t>减少97.88万元，下降22.2%。主要变动原因是本年度项目收入支出减少。</w:t>
      </w:r>
    </w:p>
    <w:p w14:paraId="1B03DFD2">
      <w:pPr>
        <w:spacing w:line="600" w:lineRule="exact"/>
        <w:ind w:firstLine="640"/>
        <w:rPr>
          <w:rFonts w:eastAsia="仿宋_GB2312" w:cs="仿宋_GB2312"/>
          <w:color w:val="auto"/>
          <w:sz w:val="32"/>
          <w:szCs w:val="32"/>
        </w:rPr>
      </w:pPr>
      <w:r>
        <w:rPr>
          <w:rFonts w:hint="eastAsia" w:eastAsia="仿宋_GB2312" w:cs="仿宋_GB2312"/>
          <w:color w:val="auto"/>
          <w:sz w:val="32"/>
          <w:szCs w:val="32"/>
        </w:rPr>
        <w:t>（图5：一般公共预算财政拨款支出决算变动情况）（柱状图）</w:t>
      </w:r>
    </w:p>
    <w:p w14:paraId="5BF50714">
      <w:pPr>
        <w:pStyle w:val="7"/>
        <w:ind w:left="420"/>
        <w:rPr>
          <w:color w:val="00B0F0"/>
        </w:rPr>
      </w:pPr>
      <w:r>
        <w:rPr>
          <w:rFonts w:hint="eastAsia"/>
          <w:color w:val="00B0F0"/>
        </w:rPr>
        <w:drawing>
          <wp:inline distT="0" distB="0" distL="0" distR="0">
            <wp:extent cx="4197985" cy="2361565"/>
            <wp:effectExtent l="0" t="0" r="12065"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5"/>
                    <a:srcRect/>
                    <a:stretch>
                      <a:fillRect/>
                    </a:stretch>
                  </pic:blipFill>
                  <pic:spPr>
                    <a:xfrm>
                      <a:off x="0" y="0"/>
                      <a:ext cx="4197985" cy="2361565"/>
                    </a:xfrm>
                    <a:prstGeom prst="rect">
                      <a:avLst/>
                    </a:prstGeom>
                    <a:noFill/>
                    <a:ln w="9525">
                      <a:noFill/>
                      <a:miter lim="800000"/>
                      <a:headEnd/>
                      <a:tailEnd/>
                    </a:ln>
                  </pic:spPr>
                </pic:pic>
              </a:graphicData>
            </a:graphic>
          </wp:inline>
        </w:drawing>
      </w:r>
    </w:p>
    <w:p w14:paraId="5F2EC0A3">
      <w:pPr>
        <w:pStyle w:val="7"/>
        <w:ind w:left="420"/>
        <w:rPr>
          <w:color w:val="00B0F0"/>
        </w:rPr>
      </w:pPr>
    </w:p>
    <w:p w14:paraId="36A6C8CC">
      <w:pPr>
        <w:spacing w:line="600" w:lineRule="exact"/>
        <w:ind w:firstLine="643" w:firstLineChars="200"/>
        <w:outlineLvl w:val="2"/>
        <w:rPr>
          <w:rFonts w:hint="eastAsia" w:eastAsia="楷体_GB2312" w:cs="楷体_GB2312"/>
          <w:b/>
          <w:color w:val="auto"/>
          <w:sz w:val="32"/>
          <w:szCs w:val="32"/>
        </w:rPr>
      </w:pPr>
      <w:bookmarkStart w:id="13" w:name="_Toc15377211"/>
    </w:p>
    <w:p w14:paraId="2576B740">
      <w:pPr>
        <w:spacing w:line="600" w:lineRule="exact"/>
        <w:ind w:firstLine="643" w:firstLineChars="200"/>
        <w:outlineLvl w:val="2"/>
        <w:rPr>
          <w:rFonts w:eastAsia="楷体_GB2312" w:cs="楷体_GB2312"/>
          <w:b/>
          <w:color w:val="auto"/>
          <w:sz w:val="32"/>
          <w:szCs w:val="32"/>
        </w:rPr>
      </w:pPr>
      <w:r>
        <w:rPr>
          <w:rFonts w:hint="eastAsia" w:eastAsia="楷体_GB2312" w:cs="楷体_GB2312"/>
          <w:b/>
          <w:color w:val="auto"/>
          <w:sz w:val="32"/>
          <w:szCs w:val="32"/>
        </w:rPr>
        <w:t>（二）一般公共预算财政拨款支出决算结构情况</w:t>
      </w:r>
      <w:bookmarkEnd w:id="13"/>
    </w:p>
    <w:p w14:paraId="74C40C26">
      <w:pPr>
        <w:spacing w:line="600" w:lineRule="exact"/>
        <w:ind w:firstLine="640"/>
        <w:rPr>
          <w:rFonts w:eastAsia="仿宋_GB2312" w:cs="仿宋_GB2312"/>
          <w:b/>
          <w:bCs/>
          <w:color w:val="auto"/>
          <w:sz w:val="32"/>
          <w:szCs w:val="32"/>
        </w:rPr>
      </w:pPr>
      <w:r>
        <w:rPr>
          <w:rFonts w:hint="eastAsia" w:eastAsia="仿宋_GB2312" w:cs="仿宋_GB2312"/>
          <w:color w:val="auto"/>
          <w:sz w:val="32"/>
          <w:szCs w:val="32"/>
        </w:rPr>
        <w:t>2024年度一般公共预算财政拨款支出</w:t>
      </w:r>
      <w:r>
        <w:rPr>
          <w:rFonts w:hint="eastAsia" w:ascii="仿宋_GB2312" w:hAnsi="仿宋_GB2312" w:eastAsia="仿宋_GB2312" w:cs="仿宋_GB2312"/>
          <w:color w:val="auto"/>
          <w:sz w:val="32"/>
          <w:szCs w:val="32"/>
        </w:rPr>
        <w:t>342.39万元</w:t>
      </w:r>
      <w:r>
        <w:rPr>
          <w:rFonts w:hint="eastAsia" w:eastAsia="仿宋_GB2312" w:cs="仿宋_GB2312"/>
          <w:color w:val="auto"/>
          <w:sz w:val="32"/>
          <w:szCs w:val="32"/>
        </w:rPr>
        <w:t>，主要用于以下方面：一般公共服务支出0万元，占0%；教育支出0万元，占0%；科学技术支出0万元，占0%；文化旅游体育与传媒支出0万元，占0%；社会保障和就业支出53.57万元，占15.6%；卫生健康支出266.86万元，占78%；住房保障支出21.96万元，占6.4%。</w:t>
      </w:r>
    </w:p>
    <w:p w14:paraId="7CD90B15">
      <w:pPr>
        <w:spacing w:line="600" w:lineRule="exact"/>
        <w:ind w:firstLine="640"/>
        <w:rPr>
          <w:rFonts w:eastAsia="仿宋_GB2312" w:cs="仿宋_GB2312"/>
          <w:color w:val="auto"/>
          <w:sz w:val="32"/>
          <w:szCs w:val="32"/>
        </w:rPr>
      </w:pPr>
      <w:r>
        <w:rPr>
          <w:rFonts w:hint="eastAsia" w:eastAsia="仿宋_GB2312" w:cs="仿宋_GB2312"/>
          <w:color w:val="auto"/>
          <w:sz w:val="32"/>
          <w:szCs w:val="32"/>
        </w:rPr>
        <w:t>（图6：一般公共预算财政拨款支出决算结构）（饼状图）</w:t>
      </w:r>
    </w:p>
    <w:p w14:paraId="4FE36531">
      <w:pPr>
        <w:pStyle w:val="7"/>
        <w:ind w:left="420"/>
        <w:rPr>
          <w:color w:val="00B0F0"/>
        </w:rPr>
      </w:pPr>
      <w:r>
        <w:rPr>
          <w:color w:val="00B0F0"/>
        </w:rPr>
        <w:drawing>
          <wp:inline distT="0" distB="0" distL="0" distR="0">
            <wp:extent cx="5274310" cy="3006090"/>
            <wp:effectExtent l="0" t="0" r="2540" b="38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6"/>
                    <a:srcRect/>
                    <a:stretch>
                      <a:fillRect/>
                    </a:stretch>
                  </pic:blipFill>
                  <pic:spPr>
                    <a:xfrm>
                      <a:off x="0" y="0"/>
                      <a:ext cx="5274310" cy="3006380"/>
                    </a:xfrm>
                    <a:prstGeom prst="rect">
                      <a:avLst/>
                    </a:prstGeom>
                    <a:noFill/>
                    <a:ln w="9525">
                      <a:noFill/>
                      <a:miter lim="800000"/>
                      <a:headEnd/>
                      <a:tailEnd/>
                    </a:ln>
                  </pic:spPr>
                </pic:pic>
              </a:graphicData>
            </a:graphic>
          </wp:inline>
        </w:drawing>
      </w:r>
    </w:p>
    <w:p w14:paraId="16AC6B72">
      <w:pPr>
        <w:spacing w:line="600" w:lineRule="exact"/>
        <w:ind w:firstLine="643" w:firstLineChars="200"/>
        <w:outlineLvl w:val="2"/>
        <w:rPr>
          <w:rFonts w:eastAsia="楷体_GB2312" w:cs="楷体_GB2312"/>
          <w:b/>
          <w:color w:val="auto"/>
          <w:sz w:val="32"/>
          <w:szCs w:val="32"/>
        </w:rPr>
      </w:pPr>
      <w:bookmarkStart w:id="14" w:name="_Toc15377212"/>
      <w:r>
        <w:rPr>
          <w:rFonts w:hint="eastAsia" w:eastAsia="楷体_GB2312" w:cs="楷体_GB2312"/>
          <w:b/>
          <w:color w:val="auto"/>
          <w:sz w:val="32"/>
          <w:szCs w:val="32"/>
        </w:rPr>
        <w:t>（三）一般公共预算财政拨款支出决算具体情况</w:t>
      </w:r>
      <w:bookmarkEnd w:id="14"/>
    </w:p>
    <w:p w14:paraId="6FDCBF97">
      <w:pPr>
        <w:spacing w:line="600" w:lineRule="exact"/>
        <w:ind w:firstLine="640"/>
        <w:rPr>
          <w:rFonts w:eastAsia="仿宋_GB2312" w:cs="仿宋_GB2312"/>
          <w:color w:val="auto"/>
          <w:sz w:val="32"/>
          <w:szCs w:val="32"/>
        </w:rPr>
      </w:pPr>
      <w:bookmarkStart w:id="15" w:name="_Toc15378460"/>
      <w:bookmarkStart w:id="16" w:name="_Toc15377444"/>
      <w:bookmarkStart w:id="17" w:name="_Toc15377213"/>
      <w:r>
        <w:rPr>
          <w:rFonts w:hint="eastAsia" w:eastAsia="仿宋_GB2312" w:cs="仿宋_GB2312"/>
          <w:color w:val="auto"/>
          <w:sz w:val="32"/>
          <w:szCs w:val="32"/>
        </w:rPr>
        <w:t>2024年度一般公共预算财政拨款支出决算数为</w:t>
      </w:r>
      <w:r>
        <w:rPr>
          <w:rFonts w:hint="eastAsia" w:ascii="仿宋_GB2312" w:hAnsi="仿宋_GB2312" w:eastAsia="仿宋_GB2312" w:cs="仿宋_GB2312"/>
          <w:color w:val="auto"/>
          <w:sz w:val="32"/>
          <w:szCs w:val="32"/>
        </w:rPr>
        <w:t>342.39万元，</w:t>
      </w:r>
      <w:r>
        <w:rPr>
          <w:rFonts w:hint="eastAsia" w:eastAsia="仿宋_GB2312" w:cs="仿宋_GB2312"/>
          <w:color w:val="auto"/>
          <w:sz w:val="32"/>
          <w:szCs w:val="32"/>
        </w:rPr>
        <w:t>完成预算100%。其中：</w:t>
      </w:r>
      <w:bookmarkEnd w:id="15"/>
      <w:bookmarkEnd w:id="16"/>
      <w:bookmarkEnd w:id="17"/>
    </w:p>
    <w:p w14:paraId="49EBCA56">
      <w:pPr>
        <w:spacing w:line="600" w:lineRule="exact"/>
        <w:ind w:firstLine="643" w:firstLineChars="200"/>
        <w:outlineLvl w:val="2"/>
        <w:rPr>
          <w:rFonts w:ascii="仿宋" w:hAnsi="仿宋" w:eastAsia="仿宋"/>
          <w:color w:val="auto"/>
          <w:sz w:val="32"/>
          <w:szCs w:val="32"/>
        </w:rPr>
      </w:pPr>
      <w:r>
        <w:rPr>
          <w:rFonts w:ascii="仿宋_GB2312" w:eastAsia="仿宋_GB2312" w:cs="仿宋_GB2312"/>
          <w:b/>
          <w:bCs/>
          <w:color w:val="auto"/>
          <w:sz w:val="32"/>
          <w:szCs w:val="32"/>
        </w:rPr>
        <w:t>1.</w:t>
      </w:r>
      <w:r>
        <w:rPr>
          <w:color w:val="auto"/>
        </w:rPr>
        <w:t xml:space="preserve"> </w:t>
      </w:r>
      <w:r>
        <w:rPr>
          <w:rFonts w:hint="eastAsia" w:ascii="仿宋_GB2312" w:eastAsia="仿宋_GB2312" w:cs="仿宋_GB2312"/>
          <w:b/>
          <w:bCs/>
          <w:color w:val="auto"/>
          <w:sz w:val="32"/>
          <w:szCs w:val="32"/>
        </w:rPr>
        <w:t>社会保障和就业支出（类）行政事业单位养老支出（款）行政单位离退休（项）</w:t>
      </w:r>
      <w:r>
        <w:rPr>
          <w:rFonts w:ascii="仿宋_GB2312" w:eastAsia="仿宋_GB2312" w:cs="仿宋_GB2312"/>
          <w:b/>
          <w:bCs/>
          <w:color w:val="auto"/>
          <w:sz w:val="32"/>
          <w:szCs w:val="32"/>
        </w:rPr>
        <w:t>:</w:t>
      </w:r>
      <w:r>
        <w:rPr>
          <w:rFonts w:ascii="仿宋_GB2312" w:eastAsia="仿宋_GB2312" w:cs="仿宋_GB2312"/>
          <w:color w:val="auto"/>
          <w:sz w:val="32"/>
          <w:szCs w:val="32"/>
        </w:rPr>
        <w:t xml:space="preserve"> </w:t>
      </w:r>
      <w:r>
        <w:rPr>
          <w:rFonts w:hint="eastAsia" w:ascii="仿宋" w:eastAsia="仿宋" w:cs="仿宋"/>
          <w:color w:val="auto"/>
          <w:sz w:val="32"/>
          <w:szCs w:val="32"/>
        </w:rPr>
        <w:t>支出决算为3.51万元，完成预算</w:t>
      </w:r>
      <w:r>
        <w:rPr>
          <w:rFonts w:ascii="仿宋" w:eastAsia="仿宋" w:cs="仿宋"/>
          <w:color w:val="auto"/>
          <w:sz w:val="32"/>
          <w:szCs w:val="32"/>
        </w:rPr>
        <w:t>100%</w:t>
      </w:r>
      <w:r>
        <w:rPr>
          <w:rFonts w:hint="eastAsia" w:ascii="仿宋" w:eastAsia="仿宋" w:cs="仿宋"/>
          <w:color w:val="auto"/>
          <w:sz w:val="32"/>
          <w:szCs w:val="32"/>
        </w:rPr>
        <w:t>，决算数等于预算数。</w:t>
      </w:r>
    </w:p>
    <w:p w14:paraId="609F31F9">
      <w:pPr>
        <w:spacing w:line="600" w:lineRule="exact"/>
        <w:ind w:firstLine="643" w:firstLineChars="200"/>
        <w:outlineLvl w:val="2"/>
        <w:rPr>
          <w:rFonts w:ascii="仿宋" w:eastAsia="仿宋" w:cs="仿宋"/>
          <w:color w:val="auto"/>
          <w:sz w:val="32"/>
          <w:szCs w:val="32"/>
        </w:rPr>
      </w:pPr>
      <w:r>
        <w:rPr>
          <w:rFonts w:ascii="仿宋_GB2312" w:eastAsia="仿宋_GB2312" w:cs="仿宋_GB2312"/>
          <w:b/>
          <w:bCs/>
          <w:color w:val="auto"/>
          <w:sz w:val="32"/>
          <w:szCs w:val="32"/>
        </w:rPr>
        <w:t>2.</w:t>
      </w:r>
      <w:r>
        <w:rPr>
          <w:color w:val="auto"/>
        </w:rPr>
        <w:t xml:space="preserve"> </w:t>
      </w:r>
      <w:r>
        <w:rPr>
          <w:rFonts w:hint="eastAsia" w:ascii="仿宋_GB2312" w:eastAsia="仿宋_GB2312" w:cs="仿宋_GB2312"/>
          <w:b/>
          <w:bCs/>
          <w:color w:val="auto"/>
          <w:sz w:val="32"/>
          <w:szCs w:val="32"/>
        </w:rPr>
        <w:t>社会保障和就业支出（类）行政事业单位养老支出（款）机关事业单位基本养老保险缴费支出（项）</w:t>
      </w:r>
      <w:r>
        <w:rPr>
          <w:rFonts w:ascii="仿宋_GB2312" w:eastAsia="仿宋_GB2312" w:cs="仿宋_GB2312"/>
          <w:b/>
          <w:bCs/>
          <w:color w:val="auto"/>
          <w:sz w:val="32"/>
          <w:szCs w:val="32"/>
        </w:rPr>
        <w:t>:</w:t>
      </w:r>
      <w:r>
        <w:rPr>
          <w:rFonts w:ascii="仿宋_GB2312" w:eastAsia="仿宋_GB2312" w:cs="仿宋_GB2312"/>
          <w:color w:val="auto"/>
          <w:sz w:val="32"/>
          <w:szCs w:val="32"/>
        </w:rPr>
        <w:t xml:space="preserve"> </w:t>
      </w:r>
      <w:r>
        <w:rPr>
          <w:rFonts w:hint="eastAsia" w:ascii="仿宋" w:eastAsia="仿宋" w:cs="仿宋"/>
          <w:color w:val="auto"/>
          <w:sz w:val="32"/>
          <w:szCs w:val="32"/>
        </w:rPr>
        <w:t>支出决算为27.06万元，完成预算</w:t>
      </w:r>
      <w:r>
        <w:rPr>
          <w:rFonts w:ascii="仿宋" w:eastAsia="仿宋" w:cs="仿宋"/>
          <w:color w:val="auto"/>
          <w:sz w:val="32"/>
          <w:szCs w:val="32"/>
        </w:rPr>
        <w:t>100%</w:t>
      </w:r>
      <w:r>
        <w:rPr>
          <w:rFonts w:hint="eastAsia" w:ascii="仿宋" w:eastAsia="仿宋" w:cs="仿宋"/>
          <w:color w:val="auto"/>
          <w:sz w:val="32"/>
          <w:szCs w:val="32"/>
        </w:rPr>
        <w:t>，决算数等于预算数。</w:t>
      </w:r>
    </w:p>
    <w:p w14:paraId="763B8451">
      <w:pPr>
        <w:spacing w:line="600" w:lineRule="exact"/>
        <w:ind w:firstLine="643" w:firstLineChars="200"/>
        <w:outlineLvl w:val="2"/>
        <w:rPr>
          <w:rFonts w:ascii="仿宋" w:eastAsia="仿宋" w:cs="仿宋"/>
          <w:color w:val="auto"/>
          <w:sz w:val="32"/>
          <w:szCs w:val="32"/>
        </w:rPr>
      </w:pPr>
      <w:r>
        <w:rPr>
          <w:rFonts w:hint="eastAsia" w:ascii="仿宋_GB2312" w:eastAsia="仿宋_GB2312" w:cs="仿宋_GB2312"/>
          <w:b/>
          <w:bCs/>
          <w:color w:val="auto"/>
          <w:sz w:val="32"/>
          <w:szCs w:val="32"/>
        </w:rPr>
        <w:t>3</w:t>
      </w:r>
      <w:r>
        <w:rPr>
          <w:rFonts w:ascii="仿宋_GB2312" w:eastAsia="仿宋_GB2312" w:cs="仿宋_GB2312"/>
          <w:b/>
          <w:bCs/>
          <w:color w:val="auto"/>
          <w:sz w:val="32"/>
          <w:szCs w:val="32"/>
        </w:rPr>
        <w:t>.</w:t>
      </w:r>
      <w:r>
        <w:rPr>
          <w:color w:val="auto"/>
        </w:rPr>
        <w:t xml:space="preserve"> </w:t>
      </w:r>
      <w:r>
        <w:rPr>
          <w:rFonts w:hint="eastAsia" w:ascii="仿宋_GB2312" w:eastAsia="仿宋_GB2312" w:cs="仿宋_GB2312"/>
          <w:b/>
          <w:bCs/>
          <w:color w:val="auto"/>
          <w:sz w:val="32"/>
          <w:szCs w:val="32"/>
        </w:rPr>
        <w:t>社会保障和就业支出（类）企业改革补助（款）其他企业改革发展补助（项）</w:t>
      </w:r>
      <w:r>
        <w:rPr>
          <w:rFonts w:ascii="仿宋_GB2312" w:eastAsia="仿宋_GB2312" w:cs="仿宋_GB2312"/>
          <w:b/>
          <w:bCs/>
          <w:color w:val="auto"/>
          <w:sz w:val="32"/>
          <w:szCs w:val="32"/>
        </w:rPr>
        <w:t>:</w:t>
      </w:r>
      <w:r>
        <w:rPr>
          <w:rFonts w:ascii="仿宋_GB2312" w:eastAsia="仿宋_GB2312" w:cs="仿宋_GB2312"/>
          <w:color w:val="auto"/>
          <w:sz w:val="32"/>
          <w:szCs w:val="32"/>
        </w:rPr>
        <w:t xml:space="preserve"> </w:t>
      </w:r>
      <w:r>
        <w:rPr>
          <w:rFonts w:hint="eastAsia" w:ascii="仿宋" w:eastAsia="仿宋" w:cs="仿宋"/>
          <w:color w:val="auto"/>
          <w:sz w:val="32"/>
          <w:szCs w:val="32"/>
        </w:rPr>
        <w:t>支出决算为23万元，完成预算</w:t>
      </w:r>
      <w:r>
        <w:rPr>
          <w:rFonts w:ascii="仿宋" w:eastAsia="仿宋" w:cs="仿宋"/>
          <w:color w:val="auto"/>
          <w:sz w:val="32"/>
          <w:szCs w:val="32"/>
        </w:rPr>
        <w:t>100%</w:t>
      </w:r>
      <w:r>
        <w:rPr>
          <w:rFonts w:hint="eastAsia" w:ascii="仿宋" w:eastAsia="仿宋" w:cs="仿宋"/>
          <w:color w:val="auto"/>
          <w:sz w:val="32"/>
          <w:szCs w:val="32"/>
        </w:rPr>
        <w:t>，决算数等于预算数。</w:t>
      </w:r>
    </w:p>
    <w:p w14:paraId="18A0E32B">
      <w:pPr>
        <w:pStyle w:val="13"/>
        <w:rPr>
          <w:color w:val="auto"/>
        </w:rPr>
      </w:pPr>
    </w:p>
    <w:p w14:paraId="3229A95B">
      <w:pPr>
        <w:spacing w:line="600" w:lineRule="exact"/>
        <w:ind w:firstLine="643" w:firstLineChars="200"/>
        <w:outlineLvl w:val="2"/>
        <w:rPr>
          <w:rFonts w:ascii="仿宋" w:hAnsi="仿宋" w:eastAsia="仿宋"/>
          <w:color w:val="auto"/>
          <w:sz w:val="32"/>
          <w:szCs w:val="32"/>
        </w:rPr>
      </w:pPr>
      <w:r>
        <w:rPr>
          <w:rFonts w:hint="eastAsia" w:ascii="仿宋_GB2312" w:eastAsia="仿宋_GB2312" w:cs="仿宋_GB2312"/>
          <w:b/>
          <w:bCs/>
          <w:color w:val="auto"/>
          <w:sz w:val="32"/>
          <w:szCs w:val="32"/>
        </w:rPr>
        <w:t>4</w:t>
      </w:r>
      <w:r>
        <w:rPr>
          <w:rFonts w:ascii="仿宋_GB2312" w:eastAsia="仿宋_GB2312" w:cs="仿宋_GB2312"/>
          <w:b/>
          <w:bCs/>
          <w:color w:val="auto"/>
          <w:sz w:val="32"/>
          <w:szCs w:val="32"/>
        </w:rPr>
        <w:t>.</w:t>
      </w:r>
      <w:r>
        <w:rPr>
          <w:color w:val="auto"/>
        </w:rPr>
        <w:t xml:space="preserve"> </w:t>
      </w:r>
      <w:r>
        <w:rPr>
          <w:rFonts w:hint="eastAsia" w:ascii="仿宋_GB2312" w:eastAsia="仿宋_GB2312" w:cs="仿宋_GB2312"/>
          <w:b/>
          <w:bCs/>
          <w:color w:val="auto"/>
          <w:sz w:val="32"/>
          <w:szCs w:val="32"/>
        </w:rPr>
        <w:t>卫生健康支出（类）行政事业单位医疗（款）行政单位医疗（项）</w:t>
      </w:r>
      <w:r>
        <w:rPr>
          <w:rFonts w:ascii="仿宋_GB2312" w:eastAsia="仿宋_GB2312" w:cs="仿宋_GB2312"/>
          <w:b/>
          <w:bCs/>
          <w:color w:val="auto"/>
          <w:sz w:val="32"/>
          <w:szCs w:val="32"/>
        </w:rPr>
        <w:t>:</w:t>
      </w:r>
      <w:r>
        <w:rPr>
          <w:rFonts w:ascii="仿宋_GB2312" w:eastAsia="仿宋_GB2312" w:cs="仿宋_GB2312"/>
          <w:color w:val="auto"/>
          <w:sz w:val="32"/>
          <w:szCs w:val="32"/>
        </w:rPr>
        <w:t xml:space="preserve"> </w:t>
      </w:r>
      <w:r>
        <w:rPr>
          <w:rFonts w:hint="eastAsia" w:ascii="仿宋" w:eastAsia="仿宋" w:cs="仿宋"/>
          <w:color w:val="auto"/>
          <w:sz w:val="32"/>
          <w:szCs w:val="32"/>
        </w:rPr>
        <w:t>支出决算为12.59万元，完成预算</w:t>
      </w:r>
      <w:r>
        <w:rPr>
          <w:rFonts w:ascii="仿宋" w:eastAsia="仿宋" w:cs="仿宋"/>
          <w:color w:val="auto"/>
          <w:sz w:val="32"/>
          <w:szCs w:val="32"/>
        </w:rPr>
        <w:t>100%</w:t>
      </w:r>
      <w:r>
        <w:rPr>
          <w:rFonts w:hint="eastAsia" w:ascii="仿宋" w:eastAsia="仿宋" w:cs="仿宋"/>
          <w:color w:val="auto"/>
          <w:sz w:val="32"/>
          <w:szCs w:val="32"/>
        </w:rPr>
        <w:t>，决算数等于预算数。</w:t>
      </w:r>
    </w:p>
    <w:p w14:paraId="45EF6491">
      <w:pPr>
        <w:spacing w:line="600" w:lineRule="exact"/>
        <w:ind w:firstLine="643" w:firstLineChars="200"/>
        <w:outlineLvl w:val="2"/>
        <w:rPr>
          <w:rFonts w:ascii="仿宋" w:hAnsi="仿宋" w:eastAsia="仿宋"/>
          <w:color w:val="auto"/>
          <w:sz w:val="32"/>
          <w:szCs w:val="32"/>
        </w:rPr>
      </w:pPr>
      <w:r>
        <w:rPr>
          <w:rFonts w:hint="eastAsia" w:ascii="仿宋_GB2312" w:eastAsia="仿宋_GB2312" w:cs="仿宋_GB2312"/>
          <w:b/>
          <w:bCs/>
          <w:color w:val="auto"/>
          <w:sz w:val="32"/>
          <w:szCs w:val="32"/>
        </w:rPr>
        <w:t>5</w:t>
      </w:r>
      <w:r>
        <w:rPr>
          <w:rFonts w:ascii="仿宋_GB2312" w:eastAsia="仿宋_GB2312" w:cs="仿宋_GB2312"/>
          <w:b/>
          <w:bCs/>
          <w:color w:val="auto"/>
          <w:sz w:val="32"/>
          <w:szCs w:val="32"/>
        </w:rPr>
        <w:t xml:space="preserve">. </w:t>
      </w:r>
      <w:r>
        <w:rPr>
          <w:rFonts w:hint="eastAsia" w:ascii="仿宋_GB2312" w:eastAsia="仿宋_GB2312" w:cs="仿宋_GB2312"/>
          <w:b/>
          <w:bCs/>
          <w:color w:val="auto"/>
          <w:sz w:val="32"/>
          <w:szCs w:val="32"/>
        </w:rPr>
        <w:t>卫生健康支出（类）行政事业单位医疗（款）事业单位医疗（项）</w:t>
      </w:r>
      <w:r>
        <w:rPr>
          <w:rFonts w:ascii="仿宋_GB2312" w:eastAsia="仿宋_GB2312" w:cs="仿宋_GB2312"/>
          <w:b/>
          <w:bCs/>
          <w:color w:val="auto"/>
          <w:sz w:val="32"/>
          <w:szCs w:val="32"/>
        </w:rPr>
        <w:t>:</w:t>
      </w:r>
      <w:r>
        <w:rPr>
          <w:rFonts w:hint="eastAsia" w:ascii="仿宋" w:eastAsia="仿宋" w:cs="仿宋"/>
          <w:color w:val="auto"/>
          <w:sz w:val="32"/>
          <w:szCs w:val="32"/>
        </w:rPr>
        <w:t>支出决算为1.57万元，完成预算</w:t>
      </w:r>
      <w:r>
        <w:rPr>
          <w:rFonts w:ascii="仿宋" w:eastAsia="仿宋" w:cs="仿宋"/>
          <w:color w:val="auto"/>
          <w:sz w:val="32"/>
          <w:szCs w:val="32"/>
        </w:rPr>
        <w:t>100%</w:t>
      </w:r>
      <w:r>
        <w:rPr>
          <w:rFonts w:hint="eastAsia" w:ascii="仿宋" w:eastAsia="仿宋" w:cs="仿宋"/>
          <w:color w:val="auto"/>
          <w:sz w:val="32"/>
          <w:szCs w:val="32"/>
        </w:rPr>
        <w:t>，决算数等于预算数。</w:t>
      </w:r>
    </w:p>
    <w:p w14:paraId="0B07419E">
      <w:pPr>
        <w:spacing w:line="600" w:lineRule="exact"/>
        <w:ind w:firstLine="643" w:firstLineChars="200"/>
        <w:outlineLvl w:val="2"/>
        <w:rPr>
          <w:rFonts w:ascii="仿宋" w:hAnsi="仿宋" w:eastAsia="仿宋"/>
          <w:color w:val="auto"/>
          <w:sz w:val="32"/>
          <w:szCs w:val="32"/>
        </w:rPr>
      </w:pPr>
      <w:r>
        <w:rPr>
          <w:rFonts w:hint="eastAsia" w:ascii="仿宋_GB2312" w:eastAsia="仿宋_GB2312" w:cs="仿宋_GB2312"/>
          <w:b/>
          <w:bCs/>
          <w:color w:val="auto"/>
          <w:sz w:val="32"/>
          <w:szCs w:val="32"/>
        </w:rPr>
        <w:t>6</w:t>
      </w:r>
      <w:r>
        <w:rPr>
          <w:rFonts w:ascii="仿宋_GB2312" w:eastAsia="仿宋_GB2312" w:cs="仿宋_GB2312"/>
          <w:b/>
          <w:bCs/>
          <w:color w:val="auto"/>
          <w:sz w:val="32"/>
          <w:szCs w:val="32"/>
        </w:rPr>
        <w:t xml:space="preserve">. </w:t>
      </w:r>
      <w:r>
        <w:rPr>
          <w:rFonts w:hint="eastAsia" w:ascii="仿宋_GB2312" w:eastAsia="仿宋_GB2312" w:cs="仿宋_GB2312"/>
          <w:b/>
          <w:bCs/>
          <w:color w:val="auto"/>
          <w:sz w:val="32"/>
          <w:szCs w:val="32"/>
        </w:rPr>
        <w:t>卫生健康支出（类）行政事业单位医疗（款）公务员医疗补助（项）</w:t>
      </w:r>
      <w:r>
        <w:rPr>
          <w:rFonts w:ascii="仿宋_GB2312" w:eastAsia="仿宋_GB2312" w:cs="仿宋_GB2312"/>
          <w:b/>
          <w:bCs/>
          <w:color w:val="auto"/>
          <w:sz w:val="32"/>
          <w:szCs w:val="32"/>
        </w:rPr>
        <w:t>:</w:t>
      </w:r>
      <w:r>
        <w:rPr>
          <w:rFonts w:hint="eastAsia" w:ascii="仿宋" w:eastAsia="仿宋" w:cs="仿宋"/>
          <w:color w:val="auto"/>
          <w:sz w:val="32"/>
          <w:szCs w:val="32"/>
        </w:rPr>
        <w:t>支出决算为2.22万元，完成预算</w:t>
      </w:r>
      <w:r>
        <w:rPr>
          <w:rFonts w:ascii="仿宋" w:eastAsia="仿宋" w:cs="仿宋"/>
          <w:color w:val="auto"/>
          <w:sz w:val="32"/>
          <w:szCs w:val="32"/>
        </w:rPr>
        <w:t>100%</w:t>
      </w:r>
      <w:r>
        <w:rPr>
          <w:rFonts w:hint="eastAsia" w:ascii="仿宋" w:eastAsia="仿宋" w:cs="仿宋"/>
          <w:color w:val="auto"/>
          <w:sz w:val="32"/>
          <w:szCs w:val="32"/>
        </w:rPr>
        <w:t>，决算数等于预算数。</w:t>
      </w:r>
    </w:p>
    <w:p w14:paraId="10689F3A">
      <w:pPr>
        <w:spacing w:line="600" w:lineRule="exact"/>
        <w:ind w:firstLine="643" w:firstLineChars="200"/>
        <w:outlineLvl w:val="2"/>
        <w:rPr>
          <w:rFonts w:ascii="仿宋" w:hAnsi="仿宋" w:eastAsia="仿宋"/>
          <w:color w:val="auto"/>
          <w:sz w:val="32"/>
          <w:szCs w:val="32"/>
        </w:rPr>
      </w:pPr>
      <w:r>
        <w:rPr>
          <w:rFonts w:hint="eastAsia" w:ascii="仿宋_GB2312" w:eastAsia="仿宋_GB2312" w:cs="仿宋_GB2312"/>
          <w:b/>
          <w:bCs/>
          <w:color w:val="auto"/>
          <w:sz w:val="32"/>
          <w:szCs w:val="32"/>
        </w:rPr>
        <w:t>7</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卫生健康支出（类）医疗保障管理事务（款）行政运行（项）</w:t>
      </w:r>
      <w:r>
        <w:rPr>
          <w:rFonts w:ascii="仿宋_GB2312" w:eastAsia="仿宋_GB2312" w:cs="仿宋_GB2312"/>
          <w:b/>
          <w:bCs/>
          <w:color w:val="auto"/>
          <w:sz w:val="32"/>
          <w:szCs w:val="32"/>
        </w:rPr>
        <w:t>:</w:t>
      </w:r>
      <w:r>
        <w:rPr>
          <w:rFonts w:hint="eastAsia" w:ascii="仿宋" w:eastAsia="仿宋" w:cs="仿宋"/>
          <w:color w:val="auto"/>
          <w:sz w:val="32"/>
          <w:szCs w:val="32"/>
        </w:rPr>
        <w:t>支出决算为188.96万元，完成预算</w:t>
      </w:r>
      <w:r>
        <w:rPr>
          <w:rFonts w:ascii="仿宋" w:eastAsia="仿宋" w:cs="仿宋"/>
          <w:color w:val="auto"/>
          <w:sz w:val="32"/>
          <w:szCs w:val="32"/>
        </w:rPr>
        <w:t>100%</w:t>
      </w:r>
      <w:r>
        <w:rPr>
          <w:rFonts w:hint="eastAsia" w:ascii="仿宋" w:eastAsia="仿宋" w:cs="仿宋"/>
          <w:color w:val="auto"/>
          <w:sz w:val="32"/>
          <w:szCs w:val="32"/>
        </w:rPr>
        <w:t>，决算数等于预算数。</w:t>
      </w:r>
    </w:p>
    <w:p w14:paraId="7A8B4F93">
      <w:pPr>
        <w:spacing w:line="600" w:lineRule="exact"/>
        <w:ind w:firstLine="643" w:firstLineChars="200"/>
        <w:outlineLvl w:val="2"/>
        <w:rPr>
          <w:rFonts w:ascii="仿宋" w:hAnsi="仿宋" w:eastAsia="仿宋"/>
          <w:color w:val="auto"/>
          <w:sz w:val="32"/>
          <w:szCs w:val="32"/>
        </w:rPr>
      </w:pPr>
      <w:r>
        <w:rPr>
          <w:rFonts w:hint="eastAsia" w:ascii="仿宋_GB2312" w:eastAsia="仿宋_GB2312" w:cs="仿宋_GB2312"/>
          <w:b/>
          <w:bCs/>
          <w:color w:val="auto"/>
          <w:sz w:val="32"/>
          <w:szCs w:val="32"/>
        </w:rPr>
        <w:t>8</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卫生健康支出（类）医疗保障管理事务（款）事业运行（项）</w:t>
      </w:r>
      <w:r>
        <w:rPr>
          <w:rFonts w:ascii="仿宋_GB2312" w:eastAsia="仿宋_GB2312" w:cs="仿宋_GB2312"/>
          <w:b/>
          <w:bCs/>
          <w:color w:val="auto"/>
          <w:sz w:val="32"/>
          <w:szCs w:val="32"/>
        </w:rPr>
        <w:t>:</w:t>
      </w:r>
      <w:r>
        <w:rPr>
          <w:rFonts w:hint="eastAsia" w:ascii="仿宋" w:eastAsia="仿宋" w:cs="仿宋"/>
          <w:color w:val="auto"/>
          <w:sz w:val="32"/>
          <w:szCs w:val="32"/>
        </w:rPr>
        <w:t>支出决算为20.84万元，完成预算</w:t>
      </w:r>
      <w:r>
        <w:rPr>
          <w:rFonts w:ascii="仿宋" w:eastAsia="仿宋" w:cs="仿宋"/>
          <w:color w:val="auto"/>
          <w:sz w:val="32"/>
          <w:szCs w:val="32"/>
        </w:rPr>
        <w:t>100%</w:t>
      </w:r>
      <w:r>
        <w:rPr>
          <w:rFonts w:hint="eastAsia" w:ascii="仿宋" w:eastAsia="仿宋" w:cs="仿宋"/>
          <w:color w:val="auto"/>
          <w:sz w:val="32"/>
          <w:szCs w:val="32"/>
        </w:rPr>
        <w:t>，决算数等于预算数。</w:t>
      </w:r>
    </w:p>
    <w:p w14:paraId="09C79D29">
      <w:pPr>
        <w:keepNext/>
        <w:keepLines/>
        <w:spacing w:line="576" w:lineRule="exact"/>
        <w:ind w:firstLine="643"/>
        <w:rPr>
          <w:rFonts w:ascii="仿宋" w:eastAsia="仿宋" w:cs="仿宋"/>
          <w:color w:val="auto"/>
          <w:sz w:val="32"/>
          <w:szCs w:val="32"/>
        </w:rPr>
      </w:pPr>
      <w:r>
        <w:rPr>
          <w:rFonts w:ascii="仿宋_GB2312" w:eastAsia="仿宋_GB2312" w:cs="仿宋_GB2312"/>
          <w:b/>
          <w:bCs/>
          <w:color w:val="auto"/>
          <w:sz w:val="32"/>
          <w:szCs w:val="32"/>
        </w:rPr>
        <w:t>9.</w:t>
      </w:r>
      <w:r>
        <w:rPr>
          <w:rFonts w:hint="eastAsia" w:ascii="仿宋_GB2312" w:eastAsia="仿宋_GB2312" w:cs="仿宋_GB2312"/>
          <w:b/>
          <w:bCs/>
          <w:color w:val="auto"/>
          <w:sz w:val="32"/>
          <w:szCs w:val="32"/>
        </w:rPr>
        <w:t>卫生健康支出（类）医疗保障管理事务（款）其他医疗保障管理事务支出（项）</w:t>
      </w:r>
      <w:r>
        <w:rPr>
          <w:rFonts w:ascii="仿宋_GB2312" w:eastAsia="仿宋_GB2312" w:cs="仿宋_GB2312"/>
          <w:b/>
          <w:bCs/>
          <w:color w:val="auto"/>
          <w:sz w:val="32"/>
          <w:szCs w:val="32"/>
        </w:rPr>
        <w:t>:</w:t>
      </w:r>
      <w:r>
        <w:rPr>
          <w:rFonts w:hint="eastAsia" w:ascii="仿宋" w:eastAsia="仿宋" w:cs="仿宋"/>
          <w:color w:val="auto"/>
          <w:sz w:val="32"/>
          <w:szCs w:val="32"/>
        </w:rPr>
        <w:t>支出决算为40.67万元，完成预算</w:t>
      </w:r>
      <w:r>
        <w:rPr>
          <w:rFonts w:ascii="仿宋" w:eastAsia="仿宋" w:cs="仿宋"/>
          <w:color w:val="auto"/>
          <w:sz w:val="32"/>
          <w:szCs w:val="32"/>
        </w:rPr>
        <w:t>100%</w:t>
      </w:r>
      <w:r>
        <w:rPr>
          <w:rFonts w:hint="eastAsia" w:ascii="仿宋" w:eastAsia="仿宋" w:cs="仿宋"/>
          <w:color w:val="auto"/>
          <w:sz w:val="32"/>
          <w:szCs w:val="32"/>
        </w:rPr>
        <w:t>，决算数等于预算数。</w:t>
      </w:r>
    </w:p>
    <w:p w14:paraId="5A665EF4">
      <w:pPr>
        <w:keepNext/>
        <w:keepLines/>
        <w:spacing w:line="576" w:lineRule="exact"/>
        <w:ind w:firstLine="643"/>
        <w:rPr>
          <w:rFonts w:ascii="仿宋" w:eastAsia="仿宋" w:cs="仿宋"/>
          <w:color w:val="auto"/>
          <w:sz w:val="32"/>
          <w:szCs w:val="32"/>
        </w:rPr>
      </w:pPr>
      <w:r>
        <w:rPr>
          <w:rFonts w:ascii="仿宋_GB2312" w:eastAsia="仿宋_GB2312" w:cs="仿宋_GB2312"/>
          <w:b/>
          <w:bCs/>
          <w:color w:val="auto"/>
          <w:sz w:val="32"/>
          <w:szCs w:val="32"/>
        </w:rPr>
        <w:t>10.</w:t>
      </w:r>
      <w:r>
        <w:rPr>
          <w:color w:val="auto"/>
        </w:rPr>
        <w:t xml:space="preserve"> </w:t>
      </w:r>
      <w:r>
        <w:rPr>
          <w:rFonts w:hint="eastAsia" w:ascii="仿宋_GB2312" w:eastAsia="仿宋_GB2312" w:cs="仿宋_GB2312"/>
          <w:b/>
          <w:bCs/>
          <w:color w:val="auto"/>
          <w:sz w:val="32"/>
          <w:szCs w:val="32"/>
        </w:rPr>
        <w:t>住房保障支出（类）住房改革支出（款）住房公积金（项）</w:t>
      </w:r>
      <w:r>
        <w:rPr>
          <w:rFonts w:ascii="仿宋_GB2312" w:eastAsia="仿宋_GB2312" w:cs="仿宋_GB2312"/>
          <w:b/>
          <w:bCs/>
          <w:color w:val="auto"/>
          <w:sz w:val="32"/>
          <w:szCs w:val="32"/>
        </w:rPr>
        <w:t>:</w:t>
      </w:r>
      <w:r>
        <w:rPr>
          <w:rFonts w:hint="eastAsia" w:ascii="仿宋" w:eastAsia="仿宋" w:cs="仿宋"/>
          <w:color w:val="auto"/>
          <w:sz w:val="32"/>
          <w:szCs w:val="32"/>
        </w:rPr>
        <w:t>支出决算为21.96万元，完成预算</w:t>
      </w:r>
      <w:r>
        <w:rPr>
          <w:rFonts w:ascii="仿宋" w:eastAsia="仿宋" w:cs="仿宋"/>
          <w:color w:val="auto"/>
          <w:sz w:val="32"/>
          <w:szCs w:val="32"/>
        </w:rPr>
        <w:t>100%</w:t>
      </w:r>
      <w:r>
        <w:rPr>
          <w:rFonts w:hint="eastAsia" w:ascii="仿宋" w:eastAsia="仿宋" w:cs="仿宋"/>
          <w:color w:val="auto"/>
          <w:sz w:val="32"/>
          <w:szCs w:val="32"/>
        </w:rPr>
        <w:t>，决算数等于预算数。</w:t>
      </w:r>
    </w:p>
    <w:p w14:paraId="49DFB5E3">
      <w:pPr>
        <w:tabs>
          <w:tab w:val="right" w:pos="8306"/>
        </w:tabs>
        <w:spacing w:line="600" w:lineRule="exact"/>
        <w:ind w:firstLine="640"/>
        <w:outlineLvl w:val="1"/>
        <w:rPr>
          <w:rStyle w:val="29"/>
          <w:rFonts w:hint="eastAsia" w:ascii="方正公文黑体" w:hAnsi="方正公文黑体" w:eastAsia="方正公文黑体" w:cs="方正公文黑体"/>
          <w:color w:val="auto"/>
        </w:rPr>
      </w:pPr>
      <w:bookmarkStart w:id="18" w:name="_Toc15377214"/>
      <w:bookmarkStart w:id="19" w:name="_Toc15396608"/>
      <w:r>
        <w:rPr>
          <w:rFonts w:hint="eastAsia" w:ascii="方正公文黑体" w:hAnsi="方正公文黑体" w:eastAsia="方正公文黑体" w:cs="方正公文黑体"/>
          <w:color w:val="auto"/>
          <w:sz w:val="32"/>
          <w:szCs w:val="32"/>
        </w:rPr>
        <w:t>六</w:t>
      </w:r>
      <w:r>
        <w:rPr>
          <w:rFonts w:hint="eastAsia" w:ascii="方正公文黑体" w:hAnsi="方正公文黑体" w:eastAsia="方正公文黑体" w:cs="方正公文黑体"/>
          <w:b/>
          <w:color w:val="auto"/>
          <w:sz w:val="32"/>
          <w:szCs w:val="32"/>
        </w:rPr>
        <w:t>、一</w:t>
      </w:r>
      <w:r>
        <w:rPr>
          <w:rStyle w:val="29"/>
          <w:rFonts w:hint="eastAsia" w:ascii="方正公文黑体" w:hAnsi="方正公文黑体" w:eastAsia="方正公文黑体" w:cs="方正公文黑体"/>
          <w:b w:val="0"/>
          <w:color w:val="auto"/>
        </w:rPr>
        <w:t>般公共预算财政拨款基本支出决算情况说明</w:t>
      </w:r>
      <w:bookmarkEnd w:id="18"/>
      <w:bookmarkEnd w:id="19"/>
      <w:r>
        <w:rPr>
          <w:rStyle w:val="29"/>
          <w:rFonts w:hint="eastAsia" w:ascii="方正公文黑体" w:hAnsi="方正公文黑体" w:eastAsia="方正公文黑体" w:cs="方正公文黑体"/>
          <w:b w:val="0"/>
          <w:color w:val="auto"/>
        </w:rPr>
        <w:tab/>
      </w:r>
    </w:p>
    <w:p w14:paraId="5DED44AB">
      <w:pPr>
        <w:spacing w:line="600" w:lineRule="exact"/>
        <w:ind w:firstLine="640"/>
        <w:rPr>
          <w:rFonts w:eastAsia="仿宋_GB2312" w:cs="仿宋_GB2312"/>
          <w:color w:val="auto"/>
          <w:sz w:val="32"/>
          <w:szCs w:val="32"/>
        </w:rPr>
      </w:pPr>
      <w:r>
        <w:rPr>
          <w:rFonts w:hint="eastAsia" w:eastAsia="仿宋_GB2312" w:cs="仿宋_GB2312"/>
          <w:color w:val="auto"/>
          <w:sz w:val="32"/>
          <w:szCs w:val="32"/>
        </w:rPr>
        <w:t>2024年度一般公共预算财政拨款基本支出</w:t>
      </w:r>
      <w:r>
        <w:rPr>
          <w:rFonts w:hint="eastAsia" w:ascii="仿宋_GB2312" w:hAnsi="仿宋_GB2312" w:eastAsia="仿宋_GB2312" w:cs="仿宋_GB2312"/>
          <w:color w:val="auto"/>
          <w:sz w:val="32"/>
          <w:szCs w:val="32"/>
        </w:rPr>
        <w:t>278.72万</w:t>
      </w:r>
      <w:r>
        <w:rPr>
          <w:rFonts w:hint="eastAsia" w:eastAsia="仿宋_GB2312" w:cs="仿宋_GB2312"/>
          <w:color w:val="auto"/>
          <w:sz w:val="32"/>
          <w:szCs w:val="32"/>
        </w:rPr>
        <w:t>元，其中：</w:t>
      </w:r>
    </w:p>
    <w:p w14:paraId="53833089">
      <w:pPr>
        <w:spacing w:line="600" w:lineRule="exact"/>
        <w:ind w:firstLine="640"/>
        <w:rPr>
          <w:rFonts w:eastAsia="仿宋_GB2312" w:cs="仿宋_GB2312"/>
          <w:color w:val="auto"/>
          <w:sz w:val="32"/>
          <w:szCs w:val="32"/>
        </w:rPr>
      </w:pPr>
      <w:r>
        <w:rPr>
          <w:rFonts w:hint="eastAsia" w:eastAsia="仿宋_GB2312" w:cs="仿宋_GB2312"/>
          <w:color w:val="auto"/>
          <w:sz w:val="32"/>
          <w:szCs w:val="32"/>
        </w:rPr>
        <w:t>人员经费</w:t>
      </w:r>
      <w:r>
        <w:rPr>
          <w:rFonts w:hint="eastAsia" w:ascii="仿宋_GB2312" w:hAnsi="仿宋_GB2312" w:eastAsia="仿宋_GB2312" w:cs="仿宋_GB2312"/>
          <w:color w:val="auto"/>
          <w:sz w:val="32"/>
          <w:szCs w:val="32"/>
        </w:rPr>
        <w:t>271.22万</w:t>
      </w:r>
      <w:r>
        <w:rPr>
          <w:rFonts w:hint="eastAsia" w:eastAsia="仿宋_GB2312" w:cs="仿宋_GB2312"/>
          <w:color w:val="auto"/>
          <w:sz w:val="32"/>
          <w:szCs w:val="32"/>
        </w:rPr>
        <w:t>元，主要包括：基本工资、津贴补贴、奖金、职工基本医疗保险缴费、绩效工资、机关事业单位基本养老保险缴费、公务员医疗补助缴费、其他社会保障缴费、其他工资福利支出、生活补助、医疗费补助住房公积金等。</w:t>
      </w:r>
      <w:r>
        <w:rPr>
          <w:rFonts w:hint="eastAsia" w:eastAsia="仿宋_GB2312" w:cs="仿宋_GB2312"/>
          <w:color w:val="auto"/>
          <w:sz w:val="32"/>
          <w:szCs w:val="32"/>
        </w:rPr>
        <w:br w:type="textWrapping"/>
      </w:r>
      <w:r>
        <w:rPr>
          <w:rFonts w:hint="eastAsia" w:eastAsia="仿宋_GB2312" w:cs="仿宋_GB2312"/>
          <w:color w:val="auto"/>
          <w:sz w:val="32"/>
          <w:szCs w:val="32"/>
        </w:rPr>
        <w:t>　　公用经费</w:t>
      </w:r>
      <w:r>
        <w:rPr>
          <w:rFonts w:hint="eastAsia" w:ascii="仿宋_GB2312" w:hAnsi="仿宋_GB2312" w:eastAsia="仿宋_GB2312" w:cs="仿宋_GB2312"/>
          <w:color w:val="auto"/>
          <w:sz w:val="32"/>
          <w:szCs w:val="32"/>
        </w:rPr>
        <w:t>7.51万</w:t>
      </w:r>
      <w:r>
        <w:rPr>
          <w:rFonts w:hint="eastAsia" w:eastAsia="仿宋_GB2312" w:cs="仿宋_GB2312"/>
          <w:color w:val="auto"/>
          <w:sz w:val="32"/>
          <w:szCs w:val="32"/>
        </w:rPr>
        <w:t>元，主要包括：办公费、水费、电费、邮电费、差旅费、培训费、公务接待费、工会经费、福利费、其他商品和服务支出等。</w:t>
      </w:r>
    </w:p>
    <w:p w14:paraId="6E3843C8">
      <w:pPr>
        <w:spacing w:line="600" w:lineRule="exact"/>
        <w:ind w:firstLine="640"/>
        <w:outlineLvl w:val="1"/>
        <w:rPr>
          <w:rFonts w:hint="eastAsia" w:ascii="方正公文黑体" w:hAnsi="方正公文黑体" w:eastAsia="方正公文黑体" w:cs="方正公文黑体"/>
          <w:color w:val="auto"/>
          <w:sz w:val="32"/>
          <w:szCs w:val="32"/>
        </w:rPr>
      </w:pPr>
      <w:bookmarkStart w:id="20" w:name="_Toc15377215"/>
      <w:bookmarkStart w:id="21" w:name="_Toc15396609"/>
    </w:p>
    <w:p w14:paraId="7BCF7ED9">
      <w:pPr>
        <w:spacing w:line="600" w:lineRule="exact"/>
        <w:ind w:firstLine="640"/>
        <w:outlineLvl w:val="1"/>
        <w:rPr>
          <w:rStyle w:val="29"/>
          <w:rFonts w:hint="eastAsia" w:ascii="方正公文黑体" w:hAnsi="方正公文黑体" w:eastAsia="方正公文黑体" w:cs="方正公文黑体"/>
          <w:b w:val="0"/>
          <w:color w:val="auto"/>
        </w:rPr>
      </w:pPr>
      <w:r>
        <w:rPr>
          <w:rFonts w:hint="eastAsia" w:ascii="方正公文黑体" w:hAnsi="方正公文黑体" w:eastAsia="方正公文黑体" w:cs="方正公文黑体"/>
          <w:color w:val="auto"/>
          <w:sz w:val="32"/>
          <w:szCs w:val="32"/>
        </w:rPr>
        <w:t>七、</w:t>
      </w:r>
      <w:r>
        <w:rPr>
          <w:rStyle w:val="29"/>
          <w:rFonts w:hint="eastAsia" w:ascii="方正公文黑体" w:hAnsi="方正公文黑体" w:eastAsia="方正公文黑体" w:cs="方正公文黑体"/>
          <w:b w:val="0"/>
          <w:color w:val="auto"/>
        </w:rPr>
        <w:t>财政拨款</w:t>
      </w:r>
      <w:r>
        <w:rPr>
          <w:rStyle w:val="29"/>
          <w:rFonts w:hint="eastAsia" w:ascii="方正公文黑体" w:hAnsi="方正公文黑体" w:eastAsia="方正公文黑体" w:cs="方正公文黑体"/>
          <w:color w:val="auto"/>
        </w:rPr>
        <w:t>“</w:t>
      </w:r>
      <w:r>
        <w:rPr>
          <w:rStyle w:val="29"/>
          <w:rFonts w:hint="eastAsia" w:ascii="方正公文黑体" w:hAnsi="方正公文黑体" w:eastAsia="方正公文黑体" w:cs="方正公文黑体"/>
          <w:b w:val="0"/>
          <w:color w:val="auto"/>
        </w:rPr>
        <w:t>三公”经费支出决算情况说明</w:t>
      </w:r>
      <w:bookmarkEnd w:id="20"/>
      <w:bookmarkEnd w:id="21"/>
    </w:p>
    <w:p w14:paraId="5732EEEF">
      <w:pPr>
        <w:spacing w:line="600" w:lineRule="exact"/>
        <w:ind w:firstLine="643" w:firstLineChars="200"/>
        <w:outlineLvl w:val="2"/>
        <w:rPr>
          <w:rFonts w:hint="eastAsia" w:eastAsia="楷体_GB2312" w:cs="楷体_GB2312"/>
          <w:b/>
          <w:color w:val="auto"/>
          <w:sz w:val="32"/>
          <w:szCs w:val="32"/>
        </w:rPr>
      </w:pPr>
      <w:bookmarkStart w:id="22" w:name="_Toc15377216"/>
    </w:p>
    <w:p w14:paraId="6D875FCB">
      <w:pPr>
        <w:spacing w:line="600" w:lineRule="exact"/>
        <w:ind w:firstLine="643" w:firstLineChars="200"/>
        <w:outlineLvl w:val="2"/>
        <w:rPr>
          <w:rFonts w:eastAsia="楷体_GB2312" w:cs="楷体_GB2312"/>
          <w:b/>
          <w:color w:val="auto"/>
          <w:sz w:val="32"/>
          <w:szCs w:val="32"/>
        </w:rPr>
      </w:pPr>
      <w:r>
        <w:rPr>
          <w:rFonts w:hint="eastAsia" w:eastAsia="楷体_GB2312" w:cs="楷体_GB2312"/>
          <w:b/>
          <w:color w:val="auto"/>
          <w:sz w:val="32"/>
          <w:szCs w:val="32"/>
        </w:rPr>
        <w:t>（一）“三公”经费财政拨款支出决算总体情况说明</w:t>
      </w:r>
      <w:bookmarkEnd w:id="22"/>
    </w:p>
    <w:p w14:paraId="18611144">
      <w:pPr>
        <w:spacing w:line="600" w:lineRule="exact"/>
        <w:ind w:firstLine="640"/>
        <w:rPr>
          <w:rFonts w:eastAsia="仿宋_GB2312" w:cs="仿宋_GB2312"/>
          <w:color w:val="auto"/>
          <w:sz w:val="32"/>
          <w:szCs w:val="32"/>
        </w:rPr>
      </w:pPr>
      <w:r>
        <w:rPr>
          <w:rFonts w:hint="eastAsia" w:eastAsia="仿宋_GB2312" w:cs="仿宋_GB2312"/>
          <w:color w:val="auto"/>
          <w:sz w:val="32"/>
          <w:szCs w:val="32"/>
        </w:rPr>
        <w:t>2024年度“三公”经费财政拨款支出决算为</w:t>
      </w:r>
      <w:r>
        <w:rPr>
          <w:rFonts w:hint="eastAsia" w:ascii="仿宋_GB2312" w:hAnsi="仿宋_GB2312" w:eastAsia="仿宋_GB2312" w:cs="仿宋_GB2312"/>
          <w:color w:val="auto"/>
          <w:sz w:val="32"/>
          <w:szCs w:val="32"/>
        </w:rPr>
        <w:t>0.27万元，完成预算100%，</w:t>
      </w:r>
      <w:r>
        <w:rPr>
          <w:rFonts w:hint="eastAsia" w:eastAsia="仿宋_GB2312" w:cs="仿宋_GB2312"/>
          <w:color w:val="auto"/>
          <w:sz w:val="32"/>
          <w:szCs w:val="32"/>
        </w:rPr>
        <w:t>较上年度增加</w:t>
      </w:r>
      <w:r>
        <w:rPr>
          <w:rFonts w:hint="eastAsia" w:ascii="仿宋_GB2312" w:hAnsi="仿宋_GB2312" w:eastAsia="仿宋_GB2312" w:cs="仿宋_GB2312"/>
          <w:color w:val="auto"/>
          <w:sz w:val="32"/>
          <w:szCs w:val="32"/>
        </w:rPr>
        <w:t>0.27</w:t>
      </w:r>
      <w:r>
        <w:rPr>
          <w:rFonts w:hint="eastAsia" w:eastAsia="仿宋_GB2312" w:cs="仿宋_GB2312"/>
          <w:color w:val="auto"/>
          <w:sz w:val="32"/>
          <w:szCs w:val="32"/>
        </w:rPr>
        <w:t>万元，增长100%。决算数与预算数持平的主要原因是本年度严格按照预算执行。</w:t>
      </w:r>
    </w:p>
    <w:p w14:paraId="718834AE">
      <w:pPr>
        <w:spacing w:line="600" w:lineRule="exact"/>
        <w:ind w:firstLine="643" w:firstLineChars="200"/>
        <w:outlineLvl w:val="2"/>
        <w:rPr>
          <w:rFonts w:eastAsia="楷体_GB2312" w:cs="楷体_GB2312"/>
          <w:b/>
          <w:color w:val="auto"/>
          <w:sz w:val="32"/>
          <w:szCs w:val="32"/>
        </w:rPr>
      </w:pPr>
      <w:bookmarkStart w:id="23" w:name="_Toc15377217"/>
      <w:r>
        <w:rPr>
          <w:rFonts w:hint="eastAsia" w:eastAsia="楷体_GB2312" w:cs="楷体_GB2312"/>
          <w:b/>
          <w:color w:val="auto"/>
          <w:sz w:val="32"/>
          <w:szCs w:val="32"/>
        </w:rPr>
        <w:t>（二）“三公”经费财政拨款支出决算具体情况说明</w:t>
      </w:r>
      <w:bookmarkEnd w:id="23"/>
    </w:p>
    <w:p w14:paraId="0CA6BFEC">
      <w:pPr>
        <w:spacing w:line="60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2024年度“三公”经费财政拨款支出决算中，因公出国（境）费支出决算0万元，占0%；公务用车购置及运行维护费支出决算0万元，占0%；公务接待费支出决算0.27万元，占100%。具体情况如下：</w:t>
      </w:r>
    </w:p>
    <w:p w14:paraId="10ED16E9">
      <w:pPr>
        <w:spacing w:line="600" w:lineRule="exact"/>
        <w:ind w:firstLine="640"/>
        <w:rPr>
          <w:rFonts w:eastAsia="仿宋_GB2312" w:cs="仿宋_GB2312"/>
          <w:color w:val="auto"/>
          <w:sz w:val="32"/>
          <w:szCs w:val="32"/>
        </w:rPr>
      </w:pPr>
      <w:r>
        <w:rPr>
          <w:rFonts w:hint="eastAsia" w:eastAsia="仿宋_GB2312" w:cs="仿宋_GB2312"/>
          <w:color w:val="auto"/>
          <w:sz w:val="32"/>
          <w:szCs w:val="32"/>
        </w:rPr>
        <w:t>（图7：“三公”经费财政拨款支出结构）（饼状图）</w:t>
      </w:r>
    </w:p>
    <w:p w14:paraId="08701264">
      <w:pPr>
        <w:pStyle w:val="7"/>
        <w:ind w:left="420"/>
        <w:rPr>
          <w:color w:val="00B0F0"/>
        </w:rPr>
      </w:pPr>
      <w:r>
        <w:rPr>
          <w:color w:val="00B0F0"/>
        </w:rPr>
        <w:drawing>
          <wp:inline distT="0" distB="0" distL="0" distR="0">
            <wp:extent cx="4429125" cy="217170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7"/>
                    <a:srcRect/>
                    <a:stretch>
                      <a:fillRect/>
                    </a:stretch>
                  </pic:blipFill>
                  <pic:spPr>
                    <a:xfrm>
                      <a:off x="0" y="0"/>
                      <a:ext cx="4429125" cy="2171700"/>
                    </a:xfrm>
                    <a:prstGeom prst="rect">
                      <a:avLst/>
                    </a:prstGeom>
                    <a:noFill/>
                    <a:ln w="9525">
                      <a:noFill/>
                      <a:miter lim="800000"/>
                      <a:headEnd/>
                      <a:tailEnd/>
                    </a:ln>
                  </pic:spPr>
                </pic:pic>
              </a:graphicData>
            </a:graphic>
          </wp:inline>
        </w:drawing>
      </w:r>
    </w:p>
    <w:p w14:paraId="234D8D82">
      <w:pPr>
        <w:spacing w:line="600" w:lineRule="exact"/>
        <w:ind w:firstLine="640"/>
        <w:rPr>
          <w:rFonts w:eastAsia="仿宋_GB2312" w:cs="仿宋_GB2312"/>
          <w:color w:val="auto"/>
          <w:sz w:val="32"/>
          <w:szCs w:val="32"/>
        </w:rPr>
      </w:pPr>
      <w:r>
        <w:rPr>
          <w:rFonts w:hint="eastAsia" w:eastAsia="仿宋_GB2312" w:cs="仿宋_GB2312"/>
          <w:b/>
          <w:bCs/>
          <w:color w:val="auto"/>
          <w:sz w:val="32"/>
          <w:szCs w:val="32"/>
        </w:rPr>
        <w:t>1.因公出国（境）经费支出0万元，完成预算0%。</w:t>
      </w:r>
      <w:r>
        <w:rPr>
          <w:rFonts w:hint="eastAsia" w:eastAsia="仿宋_GB2312" w:cs="仿宋_GB2312"/>
          <w:color w:val="auto"/>
          <w:sz w:val="32"/>
          <w:szCs w:val="32"/>
        </w:rPr>
        <w:t>全年安排因公出国（境）团</w:t>
      </w:r>
      <w:r>
        <w:rPr>
          <w:rFonts w:hint="eastAsia" w:ascii="仿宋_GB2312" w:hAnsi="仿宋_GB2312" w:eastAsia="仿宋_GB2312" w:cs="仿宋_GB2312"/>
          <w:color w:val="auto"/>
          <w:sz w:val="32"/>
          <w:szCs w:val="32"/>
        </w:rPr>
        <w:t>组0</w:t>
      </w:r>
      <w:r>
        <w:rPr>
          <w:rFonts w:hint="eastAsia" w:eastAsia="仿宋_GB2312" w:cs="仿宋_GB2312"/>
          <w:color w:val="auto"/>
          <w:sz w:val="32"/>
          <w:szCs w:val="32"/>
        </w:rPr>
        <w:t>次，出国（境）</w:t>
      </w:r>
      <w:r>
        <w:rPr>
          <w:rFonts w:hint="eastAsia" w:ascii="仿宋_GB2312" w:hAnsi="仿宋_GB2312" w:eastAsia="仿宋_GB2312" w:cs="仿宋_GB2312"/>
          <w:color w:val="auto"/>
          <w:sz w:val="32"/>
          <w:szCs w:val="32"/>
        </w:rPr>
        <w:t>0人</w:t>
      </w:r>
      <w:r>
        <w:rPr>
          <w:rFonts w:hint="eastAsia" w:eastAsia="仿宋_GB2312" w:cs="仿宋_GB2312"/>
          <w:color w:val="auto"/>
          <w:sz w:val="32"/>
          <w:szCs w:val="32"/>
        </w:rPr>
        <w:t>。因公出国（境）支出决算比2023年增加/减少0万元，增长/下降0%。</w:t>
      </w:r>
    </w:p>
    <w:p w14:paraId="4F0B11C9">
      <w:pPr>
        <w:spacing w:line="600" w:lineRule="exact"/>
        <w:ind w:firstLine="640"/>
        <w:rPr>
          <w:rFonts w:eastAsia="仿宋_GB2312" w:cs="仿宋_GB2312"/>
          <w:color w:val="auto"/>
          <w:sz w:val="32"/>
          <w:szCs w:val="32"/>
        </w:rPr>
      </w:pPr>
      <w:r>
        <w:rPr>
          <w:rFonts w:hint="eastAsia" w:eastAsia="仿宋_GB2312" w:cs="仿宋_GB2312"/>
          <w:b/>
          <w:bCs/>
          <w:color w:val="auto"/>
          <w:sz w:val="32"/>
          <w:szCs w:val="32"/>
        </w:rPr>
        <w:t>2.公务用车购置及运行维护费支出</w:t>
      </w:r>
      <w:r>
        <w:rPr>
          <w:rFonts w:hint="eastAsia" w:ascii="仿宋_GB2312" w:hAnsi="仿宋_GB2312" w:eastAsia="仿宋_GB2312" w:cs="仿宋_GB2312"/>
          <w:b/>
          <w:bCs/>
          <w:color w:val="auto"/>
          <w:sz w:val="32"/>
          <w:szCs w:val="32"/>
        </w:rPr>
        <w:t>0万</w:t>
      </w:r>
      <w:r>
        <w:rPr>
          <w:rFonts w:hint="eastAsia" w:eastAsia="仿宋_GB2312" w:cs="仿宋_GB2312"/>
          <w:b/>
          <w:bCs/>
          <w:color w:val="auto"/>
          <w:sz w:val="32"/>
          <w:szCs w:val="32"/>
        </w:rPr>
        <w:t>元，完成预算0%。</w:t>
      </w:r>
      <w:r>
        <w:rPr>
          <w:rFonts w:hint="eastAsia" w:eastAsia="仿宋_GB2312" w:cs="仿宋_GB2312"/>
          <w:color w:val="auto"/>
          <w:sz w:val="32"/>
          <w:szCs w:val="32"/>
        </w:rPr>
        <w:t>公务用车购置及运行维护费支出决算比2023年度增加/减少0万元，增长/下降0%。</w:t>
      </w:r>
    </w:p>
    <w:p w14:paraId="0EA821D3">
      <w:pPr>
        <w:spacing w:line="600" w:lineRule="exact"/>
        <w:ind w:firstLine="640"/>
        <w:rPr>
          <w:rFonts w:eastAsia="仿宋_GB2312" w:cs="仿宋_GB2312"/>
          <w:color w:val="auto"/>
          <w:sz w:val="32"/>
          <w:szCs w:val="32"/>
        </w:rPr>
      </w:pPr>
      <w:r>
        <w:rPr>
          <w:rFonts w:hint="eastAsia" w:eastAsia="仿宋_GB2312" w:cs="仿宋_GB2312"/>
          <w:color w:val="auto"/>
          <w:sz w:val="32"/>
          <w:szCs w:val="32"/>
        </w:rPr>
        <w:t>其中：公务用车购置支</w:t>
      </w:r>
      <w:r>
        <w:rPr>
          <w:rFonts w:hint="eastAsia" w:ascii="仿宋_GB2312" w:hAnsi="仿宋_GB2312" w:eastAsia="仿宋_GB2312" w:cs="仿宋_GB2312"/>
          <w:color w:val="auto"/>
          <w:sz w:val="32"/>
          <w:szCs w:val="32"/>
        </w:rPr>
        <w:t>出0</w:t>
      </w:r>
      <w:r>
        <w:rPr>
          <w:rFonts w:hint="eastAsia" w:eastAsia="仿宋_GB2312" w:cs="仿宋_GB2312"/>
          <w:color w:val="auto"/>
          <w:sz w:val="32"/>
          <w:szCs w:val="32"/>
        </w:rPr>
        <w:t>万元。全年按规定更新购置公务用车0辆，其中：轿车0辆、金额0万元，越野车0辆、金额0万元，载客汽车0辆、金额0万元。截至2024年12月31日，单位共有公务用车0辆，其中：轿车0辆、越野车0辆、载客汽车0辆。</w:t>
      </w:r>
    </w:p>
    <w:p w14:paraId="6F719ED7">
      <w:pPr>
        <w:spacing w:line="600" w:lineRule="exact"/>
        <w:ind w:firstLine="640"/>
        <w:rPr>
          <w:rFonts w:eastAsia="仿宋_GB2312" w:cs="仿宋_GB2312"/>
          <w:color w:val="auto"/>
          <w:sz w:val="32"/>
          <w:szCs w:val="32"/>
        </w:rPr>
      </w:pPr>
      <w:r>
        <w:rPr>
          <w:rFonts w:hint="eastAsia" w:eastAsia="仿宋_GB2312" w:cs="仿宋_GB2312"/>
          <w:color w:val="auto"/>
          <w:sz w:val="32"/>
          <w:szCs w:val="32"/>
        </w:rPr>
        <w:t>公务用车运行维护费支</w:t>
      </w:r>
      <w:r>
        <w:rPr>
          <w:rFonts w:hint="eastAsia" w:ascii="仿宋_GB2312" w:hAnsi="仿宋_GB2312" w:eastAsia="仿宋_GB2312" w:cs="仿宋_GB2312"/>
          <w:color w:val="auto"/>
          <w:sz w:val="32"/>
          <w:szCs w:val="32"/>
        </w:rPr>
        <w:t>出0</w:t>
      </w:r>
      <w:r>
        <w:rPr>
          <w:rFonts w:hint="eastAsia" w:eastAsia="仿宋_GB2312" w:cs="仿宋_GB2312"/>
          <w:color w:val="auto"/>
          <w:sz w:val="32"/>
          <w:szCs w:val="32"/>
        </w:rPr>
        <w:t>万元。</w:t>
      </w:r>
    </w:p>
    <w:p w14:paraId="6E657125">
      <w:pPr>
        <w:spacing w:line="600" w:lineRule="exact"/>
        <w:ind w:firstLine="640"/>
        <w:rPr>
          <w:rFonts w:eastAsia="仿宋_GB2312" w:cs="仿宋_GB2312"/>
          <w:color w:val="auto"/>
          <w:sz w:val="32"/>
          <w:szCs w:val="32"/>
        </w:rPr>
      </w:pPr>
      <w:r>
        <w:rPr>
          <w:rFonts w:hint="eastAsia" w:eastAsia="仿宋_GB2312" w:cs="仿宋_GB2312"/>
          <w:b/>
          <w:bCs/>
          <w:color w:val="auto"/>
          <w:sz w:val="32"/>
          <w:szCs w:val="32"/>
        </w:rPr>
        <w:t>3.公务接待费支出</w:t>
      </w:r>
      <w:r>
        <w:rPr>
          <w:rFonts w:hint="eastAsia" w:ascii="仿宋_GB2312" w:hAnsi="仿宋_GB2312" w:eastAsia="仿宋_GB2312" w:cs="仿宋_GB2312"/>
          <w:b/>
          <w:bCs/>
          <w:color w:val="auto"/>
          <w:sz w:val="32"/>
          <w:szCs w:val="32"/>
        </w:rPr>
        <w:t>0.27万</w:t>
      </w:r>
      <w:r>
        <w:rPr>
          <w:rFonts w:hint="eastAsia" w:eastAsia="仿宋_GB2312" w:cs="仿宋_GB2312"/>
          <w:b/>
          <w:bCs/>
          <w:color w:val="auto"/>
          <w:sz w:val="32"/>
          <w:szCs w:val="32"/>
        </w:rPr>
        <w:t>元，完成预算100%。</w:t>
      </w:r>
      <w:r>
        <w:rPr>
          <w:rFonts w:hint="eastAsia" w:eastAsia="仿宋_GB2312" w:cs="仿宋_GB2312"/>
          <w:color w:val="auto"/>
          <w:sz w:val="32"/>
          <w:szCs w:val="32"/>
        </w:rPr>
        <w:t>公务接待费支出决算比2023年度增加0.27万元，增长100%。主要原因是支付2022年医保工作接待费。其中：</w:t>
      </w:r>
    </w:p>
    <w:p w14:paraId="1632B23E">
      <w:pPr>
        <w:spacing w:line="600" w:lineRule="exact"/>
        <w:ind w:firstLine="640"/>
        <w:rPr>
          <w:rFonts w:eastAsia="仿宋_GB2312" w:cs="仿宋_GB2312"/>
          <w:color w:val="auto"/>
          <w:sz w:val="32"/>
          <w:szCs w:val="32"/>
        </w:rPr>
      </w:pPr>
      <w:r>
        <w:rPr>
          <w:rFonts w:hint="eastAsia" w:eastAsia="仿宋_GB2312" w:cs="仿宋_GB2312"/>
          <w:color w:val="auto"/>
          <w:sz w:val="32"/>
          <w:szCs w:val="32"/>
        </w:rPr>
        <w:t>国内公务接待支</w:t>
      </w:r>
      <w:r>
        <w:rPr>
          <w:rFonts w:hint="eastAsia" w:ascii="仿宋_GB2312" w:hAnsi="仿宋_GB2312" w:eastAsia="仿宋_GB2312" w:cs="仿宋_GB2312"/>
          <w:color w:val="auto"/>
          <w:sz w:val="32"/>
          <w:szCs w:val="32"/>
        </w:rPr>
        <w:t>出0.27万</w:t>
      </w:r>
      <w:r>
        <w:rPr>
          <w:rFonts w:hint="eastAsia" w:eastAsia="仿宋_GB2312" w:cs="仿宋_GB2312"/>
          <w:color w:val="auto"/>
          <w:sz w:val="32"/>
          <w:szCs w:val="32"/>
        </w:rPr>
        <w:t>元，主要用于开展业务活动开支的用餐费等。国内公务接</w:t>
      </w:r>
      <w:r>
        <w:rPr>
          <w:rFonts w:hint="eastAsia" w:ascii="仿宋_GB2312" w:hAnsi="仿宋_GB2312" w:eastAsia="仿宋_GB2312" w:cs="仿宋_GB2312"/>
          <w:color w:val="auto"/>
          <w:sz w:val="32"/>
          <w:szCs w:val="32"/>
        </w:rPr>
        <w:t>待3批次，18</w:t>
      </w:r>
      <w:r>
        <w:rPr>
          <w:rFonts w:hint="eastAsia" w:eastAsia="仿宋_GB2312" w:cs="仿宋_GB2312"/>
          <w:color w:val="auto"/>
          <w:sz w:val="32"/>
          <w:szCs w:val="32"/>
        </w:rPr>
        <w:t>人次（不包括陪同人员），共计支出0.27*万元，具体内容包括：支付2022年医保工作接待费。</w:t>
      </w:r>
    </w:p>
    <w:p w14:paraId="44B70F84">
      <w:pPr>
        <w:spacing w:line="600" w:lineRule="exact"/>
        <w:ind w:firstLine="640"/>
        <w:rPr>
          <w:rFonts w:eastAsia="仿宋_GB2312" w:cs="仿宋_GB2312"/>
          <w:color w:val="auto"/>
          <w:sz w:val="32"/>
          <w:szCs w:val="32"/>
        </w:rPr>
      </w:pPr>
      <w:r>
        <w:rPr>
          <w:rFonts w:hint="eastAsia" w:eastAsia="仿宋_GB2312" w:cs="仿宋_GB2312"/>
          <w:color w:val="auto"/>
          <w:sz w:val="32"/>
          <w:szCs w:val="32"/>
        </w:rPr>
        <w:t>外事接待支</w:t>
      </w:r>
      <w:r>
        <w:rPr>
          <w:rFonts w:hint="eastAsia" w:ascii="仿宋_GB2312" w:hAnsi="仿宋_GB2312" w:eastAsia="仿宋_GB2312" w:cs="仿宋_GB2312"/>
          <w:color w:val="auto"/>
          <w:sz w:val="32"/>
          <w:szCs w:val="32"/>
        </w:rPr>
        <w:t>出0万元。外事接待0批次，0人次（不包括陪同人员），共计支出0万</w:t>
      </w:r>
      <w:r>
        <w:rPr>
          <w:rFonts w:hint="eastAsia" w:eastAsia="仿宋_GB2312" w:cs="仿宋_GB2312"/>
          <w:color w:val="auto"/>
          <w:sz w:val="32"/>
          <w:szCs w:val="32"/>
        </w:rPr>
        <w:t>元。</w:t>
      </w:r>
      <w:bookmarkStart w:id="24" w:name="_Toc15377218"/>
      <w:bookmarkStart w:id="25" w:name="_Toc15396610"/>
    </w:p>
    <w:p w14:paraId="2FEDDA51">
      <w:pPr>
        <w:spacing w:line="600" w:lineRule="exact"/>
        <w:ind w:firstLine="640"/>
        <w:outlineLvl w:val="1"/>
        <w:rPr>
          <w:rStyle w:val="29"/>
          <w:rFonts w:hint="eastAsia" w:ascii="方正公文黑体" w:hAnsi="方正公文黑体" w:eastAsia="方正公文黑体" w:cs="方正公文黑体"/>
          <w:color w:val="auto"/>
        </w:rPr>
      </w:pPr>
      <w:r>
        <w:rPr>
          <w:rFonts w:hint="eastAsia" w:ascii="方正公文黑体" w:hAnsi="方正公文黑体" w:eastAsia="方正公文黑体" w:cs="方正公文黑体"/>
          <w:color w:val="auto"/>
          <w:sz w:val="32"/>
          <w:szCs w:val="32"/>
        </w:rPr>
        <w:t>八、</w:t>
      </w:r>
      <w:r>
        <w:rPr>
          <w:rStyle w:val="29"/>
          <w:rFonts w:hint="eastAsia" w:ascii="方正公文黑体" w:hAnsi="方正公文黑体" w:eastAsia="方正公文黑体" w:cs="方正公文黑体"/>
          <w:b w:val="0"/>
          <w:color w:val="auto"/>
        </w:rPr>
        <w:t>政府性基金预算支出决算情况说明</w:t>
      </w:r>
      <w:bookmarkEnd w:id="24"/>
      <w:bookmarkEnd w:id="25"/>
    </w:p>
    <w:p w14:paraId="2D59A5DA">
      <w:pPr>
        <w:spacing w:line="600" w:lineRule="exact"/>
        <w:ind w:firstLine="640"/>
        <w:rPr>
          <w:rFonts w:eastAsia="仿宋_GB2312" w:cs="仿宋_GB2312"/>
          <w:color w:val="auto"/>
          <w:sz w:val="32"/>
          <w:szCs w:val="32"/>
        </w:rPr>
      </w:pPr>
      <w:r>
        <w:rPr>
          <w:rFonts w:hint="eastAsia" w:ascii="仿宋_GB2312" w:hAnsi="仿宋_GB2312" w:eastAsia="仿宋_GB2312" w:cs="仿宋_GB2312"/>
          <w:color w:val="auto"/>
          <w:sz w:val="32"/>
          <w:szCs w:val="32"/>
        </w:rPr>
        <w:t>2024年度政府性基金预算财政拨款支出0万元，占本年支出合计的0%</w:t>
      </w:r>
      <w:r>
        <w:rPr>
          <w:rFonts w:hint="eastAsia" w:eastAsia="仿宋_GB2312" w:cs="仿宋_GB2312"/>
          <w:color w:val="auto"/>
          <w:sz w:val="32"/>
          <w:szCs w:val="32"/>
        </w:rPr>
        <w:t>。与2023年度相比，政府性基金预算财政拨款支出增加/减少0万元，增长/下降0%。</w:t>
      </w:r>
    </w:p>
    <w:p w14:paraId="467C8E1A">
      <w:pPr>
        <w:spacing w:line="600" w:lineRule="exact"/>
        <w:ind w:left="630"/>
        <w:outlineLvl w:val="1"/>
        <w:rPr>
          <w:rStyle w:val="29"/>
          <w:rFonts w:hint="eastAsia" w:ascii="方正公文黑体" w:hAnsi="方正公文黑体" w:eastAsia="方正公文黑体" w:cs="方正公文黑体"/>
          <w:b w:val="0"/>
          <w:color w:val="auto"/>
        </w:rPr>
      </w:pPr>
      <w:bookmarkStart w:id="26" w:name="_Toc15396611"/>
      <w:bookmarkStart w:id="27" w:name="_Toc15377219"/>
      <w:r>
        <w:rPr>
          <w:rStyle w:val="29"/>
          <w:rFonts w:hint="eastAsia" w:ascii="方正公文黑体" w:hAnsi="方正公文黑体" w:eastAsia="方正公文黑体" w:cs="方正公文黑体"/>
          <w:b w:val="0"/>
          <w:color w:val="auto"/>
        </w:rPr>
        <w:t>九、国有资本经营预算支出决算情况说明</w:t>
      </w:r>
      <w:bookmarkEnd w:id="26"/>
      <w:bookmarkEnd w:id="27"/>
    </w:p>
    <w:p w14:paraId="70A2C0E5">
      <w:pPr>
        <w:spacing w:line="600" w:lineRule="exact"/>
        <w:ind w:firstLine="640"/>
        <w:rPr>
          <w:rFonts w:eastAsia="仿宋_GB2312" w:cs="仿宋_GB2312"/>
          <w:color w:val="auto"/>
          <w:sz w:val="32"/>
          <w:szCs w:val="32"/>
        </w:rPr>
      </w:pPr>
      <w:r>
        <w:rPr>
          <w:rFonts w:hint="eastAsia" w:eastAsia="仿宋_GB2312" w:cs="仿宋_GB2312"/>
          <w:color w:val="auto"/>
          <w:sz w:val="32"/>
          <w:szCs w:val="32"/>
        </w:rPr>
        <w:t>2024年度国有资本经营预算财政拨款支出</w:t>
      </w:r>
      <w:r>
        <w:rPr>
          <w:rFonts w:hint="eastAsia" w:ascii="仿宋_GB2312" w:hAnsi="仿宋_GB2312" w:eastAsia="仿宋_GB2312" w:cs="仿宋_GB2312"/>
          <w:color w:val="auto"/>
          <w:sz w:val="32"/>
          <w:szCs w:val="32"/>
        </w:rPr>
        <w:t>0万元，占本年支出合计的0%</w:t>
      </w:r>
      <w:r>
        <w:rPr>
          <w:rFonts w:hint="eastAsia" w:eastAsia="仿宋_GB2312" w:cs="仿宋_GB2312"/>
          <w:color w:val="auto"/>
          <w:sz w:val="32"/>
          <w:szCs w:val="32"/>
        </w:rPr>
        <w:t>。与2023年度相比，国有资本经营预算财政拨款支出增加/减少0万元，增长/下降0%。</w:t>
      </w:r>
    </w:p>
    <w:p w14:paraId="0E5D8EC6">
      <w:pPr>
        <w:spacing w:line="600" w:lineRule="exact"/>
        <w:ind w:left="630"/>
        <w:outlineLvl w:val="1"/>
        <w:rPr>
          <w:rStyle w:val="29"/>
          <w:rFonts w:hint="eastAsia" w:ascii="方正公文黑体" w:hAnsi="方正公文黑体" w:eastAsia="方正公文黑体" w:cs="方正公文黑体"/>
          <w:b w:val="0"/>
          <w:color w:val="auto"/>
        </w:rPr>
      </w:pPr>
      <w:bookmarkStart w:id="28" w:name="_Toc15377221"/>
      <w:bookmarkStart w:id="29" w:name="_Toc15396612"/>
      <w:r>
        <w:rPr>
          <w:rStyle w:val="29"/>
          <w:rFonts w:hint="eastAsia" w:ascii="方正公文黑体" w:hAnsi="方正公文黑体" w:eastAsia="方正公文黑体" w:cs="方正公文黑体"/>
          <w:b w:val="0"/>
          <w:color w:val="auto"/>
        </w:rPr>
        <w:t>十、其他重要事项的情况说明</w:t>
      </w:r>
      <w:bookmarkEnd w:id="28"/>
      <w:bookmarkEnd w:id="29"/>
    </w:p>
    <w:p w14:paraId="2F6A5060">
      <w:pPr>
        <w:spacing w:line="600" w:lineRule="exact"/>
        <w:ind w:firstLine="643" w:firstLineChars="200"/>
        <w:outlineLvl w:val="2"/>
        <w:rPr>
          <w:rFonts w:eastAsia="楷体_GB2312" w:cs="楷体_GB2312"/>
          <w:b/>
          <w:color w:val="auto"/>
          <w:sz w:val="32"/>
          <w:szCs w:val="32"/>
        </w:rPr>
      </w:pPr>
      <w:bookmarkStart w:id="30" w:name="_Toc15377222"/>
      <w:r>
        <w:rPr>
          <w:rFonts w:hint="eastAsia" w:eastAsia="楷体_GB2312" w:cs="楷体_GB2312"/>
          <w:b/>
          <w:color w:val="auto"/>
          <w:sz w:val="32"/>
          <w:szCs w:val="32"/>
        </w:rPr>
        <w:t>（一）机关运行经费支出情况</w:t>
      </w:r>
      <w:bookmarkEnd w:id="30"/>
    </w:p>
    <w:p w14:paraId="7CD308E7">
      <w:pPr>
        <w:spacing w:line="600" w:lineRule="exact"/>
        <w:ind w:firstLine="640"/>
        <w:rPr>
          <w:rFonts w:eastAsia="仿宋_GB2312" w:cs="仿宋_GB2312"/>
          <w:color w:val="auto"/>
          <w:sz w:val="32"/>
          <w:szCs w:val="32"/>
        </w:rPr>
      </w:pPr>
      <w:r>
        <w:rPr>
          <w:rFonts w:hint="eastAsia" w:eastAsia="仿宋_GB2312" w:cs="仿宋_GB2312"/>
          <w:color w:val="auto"/>
          <w:sz w:val="32"/>
          <w:szCs w:val="32"/>
        </w:rPr>
        <w:t>2024年度</w:t>
      </w:r>
      <w:r>
        <w:rPr>
          <w:rFonts w:hint="eastAsia" w:ascii="仿宋_GB2312" w:hAnsi="仿宋_GB2312" w:eastAsia="仿宋_GB2312" w:cs="仿宋_GB2312"/>
          <w:color w:val="auto"/>
          <w:sz w:val="32"/>
          <w:szCs w:val="32"/>
        </w:rPr>
        <w:t>，攀枝花市仁和区医疗保障局机关运行经费支出7.51万</w:t>
      </w:r>
      <w:r>
        <w:rPr>
          <w:rFonts w:hint="eastAsia" w:eastAsia="仿宋_GB2312" w:cs="仿宋_GB2312"/>
          <w:color w:val="auto"/>
          <w:sz w:val="32"/>
          <w:szCs w:val="32"/>
        </w:rPr>
        <w:t>元，比2023年度减少13.58万元，下降64.4%。主要原因是本年度例行节约，减少不必要开支。</w:t>
      </w:r>
    </w:p>
    <w:p w14:paraId="29F7BF35">
      <w:pPr>
        <w:spacing w:line="600" w:lineRule="exact"/>
        <w:ind w:firstLine="643" w:firstLineChars="200"/>
        <w:outlineLvl w:val="2"/>
        <w:rPr>
          <w:rFonts w:eastAsia="楷体_GB2312" w:cs="楷体_GB2312"/>
          <w:b/>
          <w:color w:val="auto"/>
          <w:sz w:val="32"/>
          <w:szCs w:val="32"/>
        </w:rPr>
      </w:pPr>
      <w:bookmarkStart w:id="31" w:name="_Toc15377223"/>
      <w:r>
        <w:rPr>
          <w:rFonts w:hint="eastAsia" w:eastAsia="楷体_GB2312" w:cs="楷体_GB2312"/>
          <w:b/>
          <w:color w:val="auto"/>
          <w:sz w:val="32"/>
          <w:szCs w:val="32"/>
        </w:rPr>
        <w:t>（二）政府采购支出情况</w:t>
      </w:r>
      <w:bookmarkEnd w:id="31"/>
    </w:p>
    <w:p w14:paraId="130A5309">
      <w:pPr>
        <w:spacing w:line="600" w:lineRule="exact"/>
        <w:ind w:firstLine="640"/>
        <w:rPr>
          <w:rFonts w:eastAsia="仿宋_GB2312" w:cs="仿宋_GB2312"/>
          <w:color w:val="auto"/>
          <w:sz w:val="32"/>
          <w:szCs w:val="32"/>
        </w:rPr>
      </w:pPr>
      <w:r>
        <w:rPr>
          <w:rFonts w:hint="eastAsia" w:ascii="仿宋_GB2312" w:hAnsi="仿宋_GB2312" w:eastAsia="仿宋_GB2312" w:cs="仿宋_GB2312"/>
          <w:color w:val="auto"/>
          <w:sz w:val="32"/>
          <w:szCs w:val="32"/>
        </w:rPr>
        <w:t>2024年度，攀枝花市仁和区医疗保障局政府采购支出总额5.29万元，其中：政府采购货物支出5.29万元、政府采购工程支出0万元、政府采购服务支出0万元。授予中小企业合同金额5.29万元，占政府采购支出总额的100%，其中：授予小微企业合同金额5.29万元，占政府采购支出总额的100%。</w:t>
      </w:r>
    </w:p>
    <w:p w14:paraId="631BDC3A">
      <w:pPr>
        <w:spacing w:line="600" w:lineRule="exact"/>
        <w:ind w:firstLine="643" w:firstLineChars="200"/>
        <w:outlineLvl w:val="2"/>
        <w:rPr>
          <w:rFonts w:eastAsia="楷体_GB2312" w:cs="楷体_GB2312"/>
          <w:b/>
          <w:color w:val="auto"/>
          <w:sz w:val="32"/>
          <w:szCs w:val="32"/>
        </w:rPr>
      </w:pPr>
      <w:bookmarkStart w:id="32" w:name="_Toc15377224"/>
      <w:r>
        <w:rPr>
          <w:rFonts w:hint="eastAsia" w:eastAsia="楷体_GB2312" w:cs="楷体_GB2312"/>
          <w:b/>
          <w:color w:val="auto"/>
          <w:sz w:val="32"/>
          <w:szCs w:val="32"/>
        </w:rPr>
        <w:t>（三）国有资产占有使用情况</w:t>
      </w:r>
      <w:bookmarkEnd w:id="32"/>
    </w:p>
    <w:p w14:paraId="4E8A6368">
      <w:pPr>
        <w:spacing w:line="600" w:lineRule="exact"/>
        <w:ind w:firstLine="640"/>
        <w:rPr>
          <w:rFonts w:eastAsia="仿宋_GB2312" w:cs="仿宋_GB2312"/>
          <w:color w:val="auto"/>
          <w:sz w:val="32"/>
          <w:szCs w:val="32"/>
        </w:rPr>
      </w:pPr>
      <w:r>
        <w:rPr>
          <w:rFonts w:hint="eastAsia" w:ascii="仿宋_GB2312" w:hAnsi="仿宋_GB2312" w:eastAsia="仿宋_GB2312" w:cs="仿宋_GB2312"/>
          <w:color w:val="auto"/>
          <w:sz w:val="32"/>
          <w:szCs w:val="32"/>
        </w:rPr>
        <w:t>截至2024年12月31日，攀枝花市仁和区医疗保障局共有车辆0辆，其中：主要负责人用车0辆、机要通信用车0辆、应急保障用车0辆、其他用车0辆。单价100万元（含）以上设备（不含车辆）0台（套）</w:t>
      </w:r>
      <w:r>
        <w:rPr>
          <w:rFonts w:hint="eastAsia" w:eastAsia="仿宋_GB2312" w:cs="仿宋_GB2312"/>
          <w:color w:val="auto"/>
          <w:sz w:val="32"/>
          <w:szCs w:val="32"/>
        </w:rPr>
        <w:t>。</w:t>
      </w:r>
    </w:p>
    <w:p w14:paraId="2CFD5E2C">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4F54A360">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年度预算编制阶段，组织对城乡医疗救助经费</w:t>
      </w:r>
      <w:r>
        <w:rPr>
          <w:rFonts w:hint="eastAsia" w:ascii="仿宋_GB2312" w:hAnsi="仿宋_GB2312" w:eastAsia="仿宋_GB2312" w:cs="仿宋_GB2312"/>
          <w:color w:val="auto"/>
          <w:sz w:val="32"/>
          <w:szCs w:val="32"/>
          <w:highlight w:val="none"/>
          <w:lang w:eastAsia="zh-CN"/>
        </w:rPr>
        <w:t>、县级以上离休干部、二等乙级革命伤残军人等人员医疗费</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个项目开展绩效监控。</w:t>
      </w:r>
    </w:p>
    <w:p w14:paraId="090BAF6E">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组织对202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sz w:val="32"/>
          <w:szCs w:val="32"/>
          <w:highlight w:val="none"/>
          <w:lang w:val="en-US" w:eastAsia="zh-CN"/>
        </w:rPr>
        <w:t>攀枝花市仁和区医疗保障局</w:t>
      </w:r>
      <w:r>
        <w:rPr>
          <w:rFonts w:hint="eastAsia" w:ascii="仿宋_GB2312" w:hAnsi="仿宋_GB2312" w:eastAsia="仿宋_GB2312" w:cs="仿宋_GB2312"/>
          <w:color w:val="auto"/>
          <w:sz w:val="32"/>
          <w:szCs w:val="32"/>
          <w:highlight w:val="none"/>
        </w:rPr>
        <w:t>部门整体（含部门预算项目）绩效自评报告、城乡医疗救助经费</w:t>
      </w:r>
      <w:r>
        <w:rPr>
          <w:rFonts w:hint="eastAsia" w:ascii="仿宋_GB2312" w:hAnsi="仿宋_GB2312" w:eastAsia="仿宋_GB2312" w:cs="仿宋_GB2312"/>
          <w:color w:val="auto"/>
          <w:sz w:val="32"/>
          <w:szCs w:val="32"/>
          <w:highlight w:val="none"/>
          <w:lang w:eastAsia="zh-CN"/>
        </w:rPr>
        <w:t>、县级以上离休干部、二等乙级革命伤残军人等人员医疗费</w:t>
      </w:r>
      <w:r>
        <w:rPr>
          <w:rFonts w:hint="eastAsia" w:ascii="仿宋_GB2312" w:hAnsi="仿宋_GB2312" w:eastAsia="仿宋_GB2312" w:cs="仿宋_GB2312"/>
          <w:color w:val="auto"/>
          <w:sz w:val="32"/>
          <w:szCs w:val="32"/>
          <w:highlight w:val="none"/>
        </w:rPr>
        <w:t>等专项预算项目绩效自评报告，其中，</w:t>
      </w:r>
      <w:r>
        <w:rPr>
          <w:rFonts w:hint="eastAsia" w:ascii="仿宋_GB2312" w:hAnsi="仿宋_GB2312" w:eastAsia="仿宋_GB2312" w:cs="仿宋_GB2312"/>
          <w:color w:val="auto"/>
          <w:sz w:val="32"/>
          <w:szCs w:val="32"/>
          <w:highlight w:val="none"/>
          <w:lang w:val="en-US" w:eastAsia="zh-CN"/>
        </w:rPr>
        <w:t>攀枝花市仁和区医疗保障局</w:t>
      </w:r>
      <w:r>
        <w:rPr>
          <w:rFonts w:hint="eastAsia" w:ascii="仿宋_GB2312" w:hAnsi="仿宋_GB2312" w:eastAsia="仿宋_GB2312" w:cs="仿宋_GB2312"/>
          <w:color w:val="auto"/>
          <w:sz w:val="32"/>
          <w:szCs w:val="32"/>
          <w:highlight w:val="none"/>
        </w:rPr>
        <w:t>部门整体（含部门预算项目）绩效自评得分为</w:t>
      </w:r>
      <w:r>
        <w:rPr>
          <w:rFonts w:hint="eastAsia" w:ascii="仿宋_GB2312" w:hAnsi="仿宋_GB2312" w:eastAsia="仿宋_GB2312" w:cs="仿宋_GB2312"/>
          <w:color w:val="auto"/>
          <w:sz w:val="32"/>
          <w:szCs w:val="32"/>
          <w:highlight w:val="none"/>
          <w:lang w:val="en-US" w:eastAsia="zh-CN"/>
        </w:rPr>
        <w:t>95</w:t>
      </w:r>
      <w:r>
        <w:rPr>
          <w:rFonts w:hint="eastAsia" w:ascii="仿宋_GB2312" w:hAnsi="仿宋_GB2312" w:eastAsia="仿宋_GB2312" w:cs="仿宋_GB2312"/>
          <w:color w:val="auto"/>
          <w:sz w:val="32"/>
          <w:szCs w:val="32"/>
          <w:highlight w:val="none"/>
        </w:rPr>
        <w:t>分，绩效自评综述：整体上完成了年初设定的绩效目标，保障了部门的正常运转。城乡医疗救助专项预算项目绩效自评得分为</w:t>
      </w:r>
      <w:r>
        <w:rPr>
          <w:rFonts w:hint="eastAsia" w:ascii="仿宋_GB2312" w:hAnsi="仿宋_GB2312" w:eastAsia="仿宋_GB2312" w:cs="仿宋_GB2312"/>
          <w:color w:val="auto"/>
          <w:sz w:val="32"/>
          <w:szCs w:val="32"/>
          <w:highlight w:val="none"/>
          <w:lang w:val="en-US" w:eastAsia="zh-CN"/>
        </w:rPr>
        <w:t>95</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val="en-US" w:eastAsia="zh-CN"/>
        </w:rPr>
        <w:t>合理使用项目资金，通过医疗救助政策进一步减轻民政救助对象医疗负担。县级以上</w:t>
      </w:r>
      <w:r>
        <w:rPr>
          <w:rFonts w:hint="eastAsia" w:ascii="仿宋_GB2312" w:hAnsi="仿宋_GB2312" w:eastAsia="仿宋_GB2312" w:cs="仿宋_GB2312"/>
          <w:color w:val="auto"/>
          <w:sz w:val="32"/>
          <w:szCs w:val="32"/>
          <w:highlight w:val="none"/>
          <w:lang w:eastAsia="zh-CN"/>
        </w:rPr>
        <w:t>离休干部、二等乙级革命伤残军人等人员医疗费</w:t>
      </w:r>
      <w:r>
        <w:rPr>
          <w:rFonts w:hint="eastAsia" w:ascii="仿宋_GB2312" w:hAnsi="仿宋_GB2312" w:eastAsia="仿宋_GB2312" w:cs="仿宋_GB2312"/>
          <w:color w:val="auto"/>
          <w:sz w:val="32"/>
          <w:szCs w:val="32"/>
          <w:highlight w:val="none"/>
          <w:lang w:val="en-US" w:eastAsia="zh-CN"/>
        </w:rPr>
        <w:t>专项预算项目绩效自评得分95，绩效自评综述：按实际产生费用拨付医疗费补助，</w:t>
      </w:r>
      <w:r>
        <w:rPr>
          <w:rFonts w:hint="eastAsia" w:ascii="仿宋_GB2312" w:hAnsi="仿宋_GB2312" w:eastAsia="仿宋_GB2312" w:cs="仿宋_GB2312"/>
          <w:color w:val="auto"/>
          <w:sz w:val="32"/>
          <w:szCs w:val="32"/>
          <w:highlight w:val="none"/>
        </w:rPr>
        <w:t>保证医疗补助到位，进一步关心和照顾建国初期参加革命工作的退休干部。</w:t>
      </w:r>
    </w:p>
    <w:p w14:paraId="205EEE04">
      <w:pPr>
        <w:spacing w:line="600" w:lineRule="exact"/>
        <w:ind w:firstLine="640"/>
        <w:rPr>
          <w:rFonts w:hint="eastAsia" w:ascii="仿宋_GB2312" w:hAnsi="仿宋_GB2312" w:eastAsia="仿宋_GB2312" w:cs="仿宋_GB2312"/>
          <w:color w:val="auto"/>
          <w:sz w:val="32"/>
          <w:szCs w:val="32"/>
          <w:highlight w:val="none"/>
        </w:rPr>
      </w:pPr>
    </w:p>
    <w:p w14:paraId="4AE5E2CA">
      <w:pPr>
        <w:spacing w:line="600" w:lineRule="exact"/>
        <w:ind w:firstLine="640"/>
        <w:rPr>
          <w:rFonts w:hint="eastAsia" w:ascii="仿宋_GB2312" w:hAnsi="仿宋_GB2312" w:eastAsia="仿宋_GB2312" w:cs="仿宋_GB2312"/>
          <w:color w:val="auto"/>
          <w:sz w:val="32"/>
          <w:szCs w:val="32"/>
          <w:highlight w:val="none"/>
        </w:rPr>
      </w:pPr>
    </w:p>
    <w:p w14:paraId="4D37C0F6">
      <w:pPr>
        <w:spacing w:line="600" w:lineRule="exact"/>
        <w:ind w:firstLine="640"/>
        <w:rPr>
          <w:rFonts w:hint="eastAsia" w:ascii="仿宋_GB2312" w:hAnsi="仿宋_GB2312" w:eastAsia="仿宋_GB2312" w:cs="仿宋_GB2312"/>
          <w:color w:val="auto"/>
          <w:sz w:val="32"/>
          <w:szCs w:val="32"/>
          <w:highlight w:val="none"/>
        </w:rPr>
      </w:pPr>
    </w:p>
    <w:p w14:paraId="1CD56187">
      <w:pPr>
        <w:spacing w:line="600" w:lineRule="exact"/>
        <w:ind w:firstLine="640"/>
        <w:rPr>
          <w:rFonts w:hint="eastAsia" w:ascii="仿宋_GB2312" w:hAnsi="仿宋_GB2312" w:eastAsia="仿宋_GB2312" w:cs="仿宋_GB2312"/>
          <w:color w:val="auto"/>
          <w:sz w:val="32"/>
          <w:szCs w:val="32"/>
          <w:highlight w:val="none"/>
        </w:rPr>
      </w:pPr>
    </w:p>
    <w:p w14:paraId="162178B1">
      <w:pPr>
        <w:spacing w:line="600" w:lineRule="exact"/>
        <w:ind w:firstLine="640"/>
        <w:rPr>
          <w:rFonts w:hint="eastAsia" w:ascii="仿宋_GB2312" w:hAnsi="仿宋_GB2312" w:eastAsia="仿宋_GB2312" w:cs="仿宋_GB2312"/>
          <w:color w:val="auto"/>
          <w:sz w:val="32"/>
          <w:szCs w:val="32"/>
          <w:highlight w:val="none"/>
        </w:rPr>
      </w:pPr>
    </w:p>
    <w:p w14:paraId="60775EB3">
      <w:pPr>
        <w:spacing w:line="600" w:lineRule="exact"/>
        <w:ind w:firstLine="640"/>
        <w:rPr>
          <w:rFonts w:hint="eastAsia" w:ascii="仿宋_GB2312" w:hAnsi="仿宋_GB2312" w:eastAsia="仿宋_GB2312" w:cs="仿宋_GB2312"/>
          <w:color w:val="auto"/>
          <w:sz w:val="32"/>
          <w:szCs w:val="32"/>
          <w:highlight w:val="none"/>
        </w:rPr>
      </w:pPr>
    </w:p>
    <w:p w14:paraId="28C4CA96">
      <w:pPr>
        <w:spacing w:line="600" w:lineRule="exact"/>
        <w:ind w:firstLine="640"/>
        <w:rPr>
          <w:rFonts w:hint="eastAsia" w:ascii="仿宋_GB2312" w:hAnsi="仿宋_GB2312" w:eastAsia="仿宋_GB2312" w:cs="仿宋_GB2312"/>
          <w:color w:val="auto"/>
          <w:sz w:val="32"/>
          <w:szCs w:val="32"/>
          <w:highlight w:val="none"/>
        </w:rPr>
      </w:pPr>
    </w:p>
    <w:p w14:paraId="26C1C016">
      <w:pPr>
        <w:spacing w:line="600" w:lineRule="exact"/>
        <w:ind w:firstLine="640"/>
        <w:rPr>
          <w:rFonts w:hint="eastAsia" w:ascii="仿宋_GB2312" w:hAnsi="仿宋_GB2312" w:eastAsia="仿宋_GB2312" w:cs="仿宋_GB2312"/>
          <w:color w:val="auto"/>
          <w:sz w:val="32"/>
          <w:szCs w:val="32"/>
          <w:highlight w:val="none"/>
        </w:rPr>
      </w:pPr>
    </w:p>
    <w:p w14:paraId="798FC770">
      <w:pPr>
        <w:spacing w:line="600" w:lineRule="exact"/>
        <w:ind w:firstLine="640"/>
        <w:rPr>
          <w:rFonts w:hint="eastAsia" w:ascii="仿宋_GB2312" w:hAnsi="仿宋_GB2312" w:eastAsia="仿宋_GB2312" w:cs="仿宋_GB2312"/>
          <w:color w:val="auto"/>
          <w:sz w:val="32"/>
          <w:szCs w:val="32"/>
          <w:highlight w:val="none"/>
        </w:rPr>
      </w:pPr>
    </w:p>
    <w:p w14:paraId="237A25D7">
      <w:pPr>
        <w:spacing w:line="600" w:lineRule="exact"/>
        <w:ind w:firstLine="640"/>
        <w:rPr>
          <w:rFonts w:hint="eastAsia" w:ascii="仿宋_GB2312" w:hAnsi="仿宋_GB2312" w:eastAsia="仿宋_GB2312" w:cs="仿宋_GB2312"/>
          <w:color w:val="auto"/>
          <w:sz w:val="32"/>
          <w:szCs w:val="32"/>
          <w:highlight w:val="none"/>
        </w:rPr>
      </w:pPr>
    </w:p>
    <w:p w14:paraId="1AA167E7">
      <w:pPr>
        <w:spacing w:line="600" w:lineRule="exact"/>
        <w:ind w:firstLine="640"/>
        <w:rPr>
          <w:rFonts w:hint="eastAsia" w:ascii="仿宋_GB2312" w:hAnsi="仿宋_GB2312" w:eastAsia="仿宋_GB2312" w:cs="仿宋_GB2312"/>
          <w:color w:val="auto"/>
          <w:sz w:val="32"/>
          <w:szCs w:val="32"/>
          <w:highlight w:val="none"/>
        </w:rPr>
      </w:pPr>
    </w:p>
    <w:p w14:paraId="476A0C5A">
      <w:pPr>
        <w:spacing w:line="600" w:lineRule="exact"/>
        <w:ind w:firstLine="640"/>
        <w:rPr>
          <w:rFonts w:hint="eastAsia" w:ascii="仿宋_GB2312" w:hAnsi="仿宋_GB2312" w:eastAsia="仿宋_GB2312" w:cs="仿宋_GB2312"/>
          <w:color w:val="auto"/>
          <w:sz w:val="32"/>
          <w:szCs w:val="32"/>
          <w:highlight w:val="none"/>
        </w:rPr>
      </w:pPr>
    </w:p>
    <w:p w14:paraId="442E2B5B">
      <w:pPr>
        <w:spacing w:line="600" w:lineRule="exact"/>
        <w:rPr>
          <w:rFonts w:hint="eastAsia" w:ascii="仿宋_GB2312" w:hAnsi="仿宋_GB2312" w:eastAsia="仿宋_GB2312" w:cs="仿宋_GB2312"/>
          <w:color w:val="auto"/>
          <w:sz w:val="32"/>
          <w:szCs w:val="32"/>
          <w:highlight w:val="none"/>
        </w:rPr>
      </w:pPr>
    </w:p>
    <w:p w14:paraId="4E1C9E6A">
      <w:pPr>
        <w:spacing w:line="600" w:lineRule="exact"/>
        <w:rPr>
          <w:rFonts w:hint="eastAsia" w:ascii="仿宋_GB2312" w:hAnsi="仿宋_GB2312" w:eastAsia="仿宋_GB2312" w:cs="仿宋_GB2312"/>
          <w:color w:val="auto"/>
          <w:sz w:val="32"/>
          <w:szCs w:val="32"/>
          <w:highlight w:val="none"/>
        </w:rPr>
      </w:pPr>
    </w:p>
    <w:p w14:paraId="72E2ACAA">
      <w:pPr>
        <w:spacing w:line="600" w:lineRule="exact"/>
        <w:rPr>
          <w:rFonts w:hint="eastAsia" w:ascii="仿宋_GB2312" w:hAnsi="仿宋_GB2312" w:eastAsia="仿宋_GB2312" w:cs="仿宋_GB2312"/>
          <w:color w:val="auto"/>
          <w:sz w:val="32"/>
          <w:szCs w:val="32"/>
          <w:highlight w:val="none"/>
        </w:rPr>
      </w:pPr>
    </w:p>
    <w:p w14:paraId="57DE4D1E">
      <w:pPr>
        <w:spacing w:line="600" w:lineRule="exact"/>
        <w:rPr>
          <w:rFonts w:hint="eastAsia" w:ascii="仿宋_GB2312" w:hAnsi="仿宋_GB2312" w:eastAsia="仿宋_GB2312" w:cs="仿宋_GB2312"/>
          <w:color w:val="auto"/>
          <w:sz w:val="32"/>
          <w:szCs w:val="32"/>
          <w:highlight w:val="none"/>
        </w:rPr>
      </w:pPr>
    </w:p>
    <w:p w14:paraId="5DAF0AFF">
      <w:pPr>
        <w:spacing w:line="600" w:lineRule="exact"/>
        <w:rPr>
          <w:rFonts w:hint="eastAsia" w:ascii="仿宋_GB2312" w:hAnsi="仿宋_GB2312" w:eastAsia="仿宋_GB2312" w:cs="仿宋_GB2312"/>
          <w:color w:val="auto"/>
          <w:sz w:val="32"/>
          <w:szCs w:val="32"/>
          <w:highlight w:val="none"/>
        </w:rPr>
      </w:pPr>
    </w:p>
    <w:p w14:paraId="4060F294">
      <w:pPr>
        <w:spacing w:line="600" w:lineRule="exact"/>
        <w:rPr>
          <w:rFonts w:hint="eastAsia" w:ascii="仿宋_GB2312" w:hAnsi="仿宋_GB2312" w:eastAsia="仿宋_GB2312" w:cs="仿宋_GB2312"/>
          <w:color w:val="auto"/>
          <w:sz w:val="32"/>
          <w:szCs w:val="32"/>
          <w:highlight w:val="none"/>
        </w:rPr>
      </w:pPr>
    </w:p>
    <w:p w14:paraId="64CD654D">
      <w:pPr>
        <w:spacing w:line="600" w:lineRule="exact"/>
        <w:rPr>
          <w:rFonts w:hint="eastAsia" w:ascii="仿宋_GB2312" w:hAnsi="仿宋_GB2312" w:eastAsia="仿宋_GB2312" w:cs="仿宋_GB2312"/>
          <w:color w:val="auto"/>
          <w:sz w:val="32"/>
          <w:szCs w:val="32"/>
          <w:highlight w:val="none"/>
        </w:rPr>
      </w:pPr>
    </w:p>
    <w:p w14:paraId="5C483F59">
      <w:pPr>
        <w:numPr>
          <w:ilvl w:val="0"/>
          <w:numId w:val="1"/>
        </w:numPr>
        <w:spacing w:line="600" w:lineRule="exact"/>
        <w:ind w:firstLine="660" w:firstLineChars="150"/>
        <w:jc w:val="center"/>
        <w:outlineLvl w:val="0"/>
        <w:rPr>
          <w:rFonts w:hint="eastAsia" w:ascii="方正小标宋_GBK" w:hAnsi="方正小标宋_GBK" w:eastAsia="方正小标宋_GBK" w:cs="方正小标宋_GBK"/>
          <w:b/>
          <w:color w:val="auto"/>
          <w:sz w:val="44"/>
          <w:szCs w:val="44"/>
          <w:highlight w:val="none"/>
        </w:rPr>
      </w:pPr>
      <w:r>
        <w:rPr>
          <w:rFonts w:hint="eastAsia" w:ascii="方正小标宋_GBK" w:hAnsi="方正小标宋_GBK" w:eastAsia="方正小标宋_GBK" w:cs="方正小标宋_GBK"/>
          <w:color w:val="auto"/>
          <w:sz w:val="44"/>
          <w:szCs w:val="44"/>
          <w:highlight w:val="none"/>
        </w:rPr>
        <w:t>名</w:t>
      </w:r>
      <w:r>
        <w:rPr>
          <w:rStyle w:val="28"/>
          <w:rFonts w:hint="eastAsia" w:ascii="方正小标宋_GBK" w:hAnsi="方正小标宋_GBK" w:eastAsia="方正小标宋_GBK" w:cs="方正小标宋_GBK"/>
          <w:b w:val="0"/>
          <w:color w:val="auto"/>
          <w:highlight w:val="none"/>
        </w:rPr>
        <w:t>词解释</w:t>
      </w:r>
    </w:p>
    <w:p w14:paraId="58966A40">
      <w:pPr>
        <w:pStyle w:val="26"/>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3F14C334">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其他收入：指单位取得的除上述收入以外的各项收入</w:t>
      </w:r>
      <w:r>
        <w:rPr>
          <w:rFonts w:hint="eastAsia" w:ascii="仿宋_GB2312" w:eastAsia="仿宋_GB2312"/>
          <w:color w:val="auto"/>
          <w:sz w:val="32"/>
          <w:szCs w:val="32"/>
          <w:highlight w:val="none"/>
          <w:lang w:eastAsia="zh-CN"/>
        </w:rPr>
        <w:t>。</w:t>
      </w:r>
      <w:r>
        <w:rPr>
          <w:rFonts w:ascii="仿宋_GB2312" w:eastAsia="仿宋_GB2312"/>
          <w:color w:val="auto"/>
          <w:sz w:val="32"/>
          <w:szCs w:val="32"/>
          <w:highlight w:val="none"/>
        </w:rPr>
        <w:t xml:space="preserve"> </w:t>
      </w:r>
    </w:p>
    <w:p w14:paraId="76056C93">
      <w:pPr>
        <w:ind w:firstLine="640"/>
      </w:pPr>
      <w:r>
        <w:rPr>
          <w:rFonts w:hint="eastAsia" w:ascii="仿宋_GB2312" w:hAnsi="仿宋_GB2312" w:eastAsia="仿宋_GB2312"/>
          <w:sz w:val="32"/>
          <w:szCs w:val="32"/>
          <w:lang w:val="en-US" w:eastAsia="zh-CN"/>
        </w:rPr>
        <w:t>3</w:t>
      </w:r>
      <w:r>
        <w:rPr>
          <w:rFonts w:hint="eastAsia" w:ascii="仿宋_GB2312" w:hAnsi="仿宋_GB2312" w:eastAsia="仿宋_GB2312"/>
          <w:sz w:val="32"/>
          <w:szCs w:val="32"/>
        </w:rPr>
        <w:t>.一般公共服务（类）财政事务（款） 信息化建设（项）：指财政部门用于“金财工程”等信息化建设方面的支出。</w:t>
      </w:r>
    </w:p>
    <w:p w14:paraId="152CEA8C">
      <w:pPr>
        <w:pStyle w:val="26"/>
        <w:spacing w:line="560" w:lineRule="exact"/>
        <w:ind w:firstLine="640"/>
      </w:pPr>
      <w:r>
        <w:rPr>
          <w:rFonts w:hint="eastAsia" w:ascii="仿宋_GB2312" w:hAnsi="仿宋_GB2312" w:eastAsia="仿宋_GB2312"/>
          <w:sz w:val="32"/>
          <w:szCs w:val="32"/>
          <w:lang w:val="en-US" w:eastAsia="zh-CN"/>
        </w:rPr>
        <w:t>4</w:t>
      </w:r>
      <w:r>
        <w:rPr>
          <w:rFonts w:ascii="仿宋_GB2312" w:hAnsi="仿宋_GB2312" w:eastAsia="仿宋_GB2312"/>
          <w:sz w:val="32"/>
          <w:szCs w:val="32"/>
        </w:rPr>
        <w:t>.</w:t>
      </w:r>
      <w:r>
        <w:rPr>
          <w:rFonts w:hint="eastAsia" w:ascii="仿宋_GB2312" w:hAnsi="仿宋_GB2312" w:eastAsia="仿宋_GB2312"/>
          <w:sz w:val="32"/>
          <w:szCs w:val="32"/>
        </w:rPr>
        <w:t>社会保障和就业（类）行政事业单位养老支出（款） 行政单位离退休（项）：指行政单位包括实行公务员管理的事业单位）开支的离退休支出。</w:t>
      </w:r>
    </w:p>
    <w:p w14:paraId="247D6DBD">
      <w:pPr>
        <w:pStyle w:val="26"/>
        <w:spacing w:line="560" w:lineRule="exact"/>
        <w:ind w:firstLine="640"/>
      </w:pPr>
      <w:r>
        <w:rPr>
          <w:rFonts w:hint="eastAsia" w:ascii="仿宋_GB2312" w:hAnsi="仿宋_GB2312" w:eastAsia="仿宋_GB2312"/>
          <w:sz w:val="32"/>
          <w:szCs w:val="32"/>
          <w:lang w:val="en-US" w:eastAsia="zh-CN"/>
        </w:rPr>
        <w:t>5</w:t>
      </w:r>
      <w:r>
        <w:rPr>
          <w:rFonts w:ascii="仿宋_GB2312" w:hAnsi="仿宋_GB2312" w:eastAsia="仿宋_GB2312"/>
          <w:sz w:val="32"/>
          <w:szCs w:val="32"/>
        </w:rPr>
        <w:t>.</w:t>
      </w:r>
      <w:r>
        <w:rPr>
          <w:rFonts w:hint="eastAsia" w:ascii="仿宋_GB2312" w:hAnsi="仿宋_GB2312" w:eastAsia="仿宋_GB2312"/>
          <w:sz w:val="32"/>
          <w:szCs w:val="32"/>
        </w:rPr>
        <w:t>社会保障和就业（类）行政事业单位养老支出（款） 机关事业单位基本养老保险缴费支出（项）：指机关事业单位实施养老保险制度由单位缴纳的基本养老保险费支出。</w:t>
      </w:r>
    </w:p>
    <w:p w14:paraId="7B38770D">
      <w:pPr>
        <w:pStyle w:val="26"/>
        <w:spacing w:line="560" w:lineRule="exact"/>
        <w:ind w:firstLine="640"/>
      </w:pPr>
      <w:r>
        <w:rPr>
          <w:rFonts w:hint="eastAsia" w:ascii="仿宋_GB2312" w:hAnsi="仿宋_GB2312" w:eastAsia="仿宋_GB2312"/>
          <w:sz w:val="32"/>
          <w:szCs w:val="32"/>
          <w:lang w:val="en-US" w:eastAsia="zh-CN"/>
        </w:rPr>
        <w:t>6</w:t>
      </w:r>
      <w:r>
        <w:rPr>
          <w:rFonts w:ascii="仿宋_GB2312" w:hAnsi="仿宋_GB2312" w:eastAsia="仿宋_GB2312"/>
          <w:sz w:val="32"/>
          <w:szCs w:val="32"/>
        </w:rPr>
        <w:t>.</w:t>
      </w:r>
      <w:r>
        <w:rPr>
          <w:rFonts w:hint="eastAsia" w:ascii="仿宋_GB2312" w:hAnsi="仿宋_GB2312" w:eastAsia="仿宋_GB2312"/>
          <w:sz w:val="32"/>
          <w:szCs w:val="32"/>
        </w:rPr>
        <w:t>社会保障和就业（类）行政事业单位养老支出（款） 机关事业单位职业年金缴费支出（项）：指机关事业单位实施养老保险制度由单位缴纳的职业年金的支出。</w:t>
      </w:r>
    </w:p>
    <w:p w14:paraId="368A2AB5">
      <w:pPr>
        <w:pStyle w:val="26"/>
        <w:spacing w:line="560" w:lineRule="exact"/>
        <w:ind w:firstLine="640"/>
      </w:pPr>
      <w:r>
        <w:rPr>
          <w:rFonts w:hint="eastAsia" w:ascii="仿宋_GB2312" w:hAnsi="仿宋_GB2312" w:eastAsia="仿宋_GB2312"/>
          <w:sz w:val="32"/>
          <w:szCs w:val="32"/>
          <w:lang w:val="en-US" w:eastAsia="zh-CN"/>
        </w:rPr>
        <w:t>7</w:t>
      </w:r>
      <w:r>
        <w:rPr>
          <w:rFonts w:hint="eastAsia" w:ascii="仿宋_GB2312" w:hAnsi="仿宋_GB2312" w:eastAsia="仿宋_GB2312"/>
          <w:sz w:val="32"/>
          <w:szCs w:val="32"/>
        </w:rPr>
        <w:t>.卫生健康支出（类）行政事业单位医疗（款）行政单位医疗（项）:指财政部门安排行政单位用于缴纳单位基本医疗保险支出。</w:t>
      </w:r>
    </w:p>
    <w:p w14:paraId="7500647C">
      <w:pPr>
        <w:pStyle w:val="26"/>
        <w:spacing w:line="560" w:lineRule="exact"/>
        <w:ind w:firstLine="640"/>
      </w:pP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rPr>
        <w:t>.卫生健康支出（类）行政事业单位医疗（款）事业单位医疗（项）：指财政部门安排的事业单位用于缴纳单位基本医疗保险支出。</w:t>
      </w:r>
    </w:p>
    <w:p w14:paraId="0D326181">
      <w:pPr>
        <w:pStyle w:val="26"/>
        <w:spacing w:line="560" w:lineRule="exact"/>
        <w:ind w:firstLine="640"/>
      </w:pPr>
      <w:r>
        <w:rPr>
          <w:rFonts w:hint="eastAsia" w:ascii="仿宋_GB2312" w:hAnsi="仿宋_GB2312" w:eastAsia="仿宋_GB2312"/>
          <w:sz w:val="32"/>
          <w:szCs w:val="32"/>
          <w:lang w:val="en-US" w:eastAsia="zh-CN"/>
        </w:rPr>
        <w:t>9</w:t>
      </w:r>
      <w:r>
        <w:rPr>
          <w:rFonts w:hint="eastAsia" w:ascii="仿宋_GB2312" w:hAnsi="仿宋_GB2312" w:eastAsia="仿宋_GB2312"/>
          <w:sz w:val="32"/>
          <w:szCs w:val="32"/>
        </w:rPr>
        <w:t>.卫生健康支出（类）行政事业单位医疗（款） 公务员医疗补助（项）：指财政部门安排的用于集中缴纳公务员医疗补助支出。</w:t>
      </w:r>
    </w:p>
    <w:p w14:paraId="30A5FC6A">
      <w:pPr>
        <w:pStyle w:val="26"/>
        <w:spacing w:line="560" w:lineRule="exact"/>
        <w:ind w:firstLine="640"/>
        <w:rPr>
          <w:rFonts w:ascii="仿宋" w:hAnsi="仿宋" w:eastAsia="仿宋"/>
          <w:b/>
          <w:color w:val="auto"/>
          <w:sz w:val="32"/>
          <w:szCs w:val="32"/>
          <w:highlight w:val="none"/>
        </w:rPr>
      </w:pPr>
      <w:r>
        <w:rPr>
          <w:rFonts w:hint="eastAsia" w:ascii="仿宋_GB2312" w:hAnsi="仿宋_GB2312" w:eastAsia="仿宋_GB2312"/>
          <w:sz w:val="32"/>
          <w:szCs w:val="32"/>
        </w:rPr>
        <w:t>1</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 住房保障支出（类）住房改革支出（款）住房公积金（项）：指按人力资源和社会保障部、财政部规定的基本工资和津贴补贴以及规定比例为职工缴纳的住房公积金。</w:t>
      </w:r>
    </w:p>
    <w:p w14:paraId="39DB61FA">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529149A7">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52F2DE1C">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A9D2C3B">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62F331C">
      <w:pPr>
        <w:pStyle w:val="12"/>
        <w:adjustRightInd w:val="0"/>
        <w:snapToGrid w:val="0"/>
        <w:spacing w:before="0" w:line="560" w:lineRule="exact"/>
        <w:jc w:val="center"/>
        <w:rPr>
          <w:rFonts w:hint="eastAsia" w:ascii="Times New Roman" w:hAnsi="Times New Roman" w:eastAsia="黑体" w:cs="黑体"/>
          <w:color w:val="FF0000"/>
          <w:sz w:val="48"/>
          <w:szCs w:val="48"/>
        </w:rPr>
      </w:pPr>
    </w:p>
    <w:p w14:paraId="6EE9D910">
      <w:pPr>
        <w:pStyle w:val="12"/>
        <w:adjustRightInd w:val="0"/>
        <w:snapToGrid w:val="0"/>
        <w:spacing w:before="0" w:line="560" w:lineRule="exact"/>
        <w:jc w:val="center"/>
        <w:rPr>
          <w:rFonts w:hint="eastAsia" w:ascii="Times New Roman" w:hAnsi="Times New Roman" w:eastAsia="黑体" w:cs="黑体"/>
          <w:color w:val="FF0000"/>
          <w:sz w:val="48"/>
          <w:szCs w:val="48"/>
        </w:rPr>
      </w:pPr>
    </w:p>
    <w:p w14:paraId="4E915BC4">
      <w:pPr>
        <w:pStyle w:val="12"/>
        <w:adjustRightInd w:val="0"/>
        <w:snapToGrid w:val="0"/>
        <w:spacing w:before="0" w:line="560" w:lineRule="exact"/>
        <w:jc w:val="center"/>
        <w:rPr>
          <w:rFonts w:hint="eastAsia" w:ascii="Times New Roman" w:hAnsi="Times New Roman" w:eastAsia="黑体" w:cs="黑体"/>
          <w:color w:val="FF0000"/>
          <w:sz w:val="48"/>
          <w:szCs w:val="48"/>
        </w:rPr>
      </w:pPr>
    </w:p>
    <w:p w14:paraId="45E232B8">
      <w:pPr>
        <w:pStyle w:val="12"/>
        <w:numPr>
          <w:ilvl w:val="0"/>
          <w:numId w:val="0"/>
        </w:numPr>
        <w:adjustRightInd w:val="0"/>
        <w:snapToGrid w:val="0"/>
        <w:spacing w:before="0" w:line="560" w:lineRule="exact"/>
        <w:ind w:firstLine="2640" w:firstLineChars="600"/>
        <w:jc w:val="both"/>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lang w:val="en-US" w:eastAsia="zh-CN"/>
        </w:rPr>
        <w:t xml:space="preserve">第四部分  </w:t>
      </w:r>
      <w:r>
        <w:rPr>
          <w:rFonts w:hint="eastAsia" w:ascii="方正小标宋_GBK" w:hAnsi="方正小标宋_GBK" w:eastAsia="方正小标宋_GBK" w:cs="方正小标宋_GBK"/>
          <w:b w:val="0"/>
          <w:bCs w:val="0"/>
          <w:color w:val="auto"/>
          <w:sz w:val="44"/>
          <w:szCs w:val="44"/>
        </w:rPr>
        <w:t>附件</w:t>
      </w:r>
    </w:p>
    <w:p w14:paraId="579304F4">
      <w:pPr>
        <w:pStyle w:val="12"/>
        <w:numPr>
          <w:ilvl w:val="0"/>
          <w:numId w:val="0"/>
        </w:numPr>
        <w:adjustRightInd w:val="0"/>
        <w:snapToGrid w:val="0"/>
        <w:spacing w:before="0" w:line="560" w:lineRule="exact"/>
        <w:jc w:val="center"/>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highlight w:val="none"/>
          <w:shd w:val="clear" w:color="auto" w:fill="FFFFFF"/>
        </w:rPr>
        <w:t>20</w:t>
      </w:r>
      <w:r>
        <w:rPr>
          <w:rFonts w:hint="eastAsia" w:ascii="方正小标宋_GBK" w:hAnsi="方正小标宋_GBK" w:eastAsia="方正小标宋_GBK" w:cs="方正小标宋_GBK"/>
          <w:b w:val="0"/>
          <w:bCs w:val="0"/>
          <w:color w:val="auto"/>
          <w:sz w:val="44"/>
          <w:szCs w:val="44"/>
          <w:highlight w:val="none"/>
          <w:shd w:val="clear" w:color="auto" w:fill="FFFFFF"/>
          <w:lang w:val="en-US" w:eastAsia="zh-CN"/>
        </w:rPr>
        <w:t>24</w:t>
      </w:r>
      <w:r>
        <w:rPr>
          <w:rFonts w:hint="eastAsia" w:ascii="方正小标宋_GBK" w:hAnsi="方正小标宋_GBK" w:eastAsia="方正小标宋_GBK" w:cs="方正小标宋_GBK"/>
          <w:b w:val="0"/>
          <w:bCs w:val="0"/>
          <w:color w:val="auto"/>
          <w:sz w:val="44"/>
          <w:szCs w:val="44"/>
          <w:highlight w:val="none"/>
          <w:shd w:val="clear" w:color="auto" w:fill="FFFFFF"/>
        </w:rPr>
        <w:t>年</w:t>
      </w:r>
      <w:r>
        <w:rPr>
          <w:rFonts w:hint="eastAsia" w:ascii="方正小标宋_GBK" w:hAnsi="方正小标宋_GBK" w:eastAsia="方正小标宋_GBK" w:cs="方正小标宋_GBK"/>
          <w:b w:val="0"/>
          <w:bCs w:val="0"/>
          <w:color w:val="auto"/>
          <w:sz w:val="44"/>
          <w:szCs w:val="44"/>
          <w:highlight w:val="none"/>
          <w:shd w:val="clear" w:color="auto" w:fill="FFFFFF"/>
          <w:lang w:val="en-US" w:eastAsia="zh-CN"/>
        </w:rPr>
        <w:t>攀枝花市仁和区医疗保障局</w:t>
      </w:r>
      <w:r>
        <w:rPr>
          <w:rFonts w:hint="eastAsia" w:ascii="方正小标宋_GBK" w:hAnsi="方正小标宋_GBK" w:eastAsia="方正小标宋_GBK" w:cs="方正小标宋_GBK"/>
          <w:b w:val="0"/>
          <w:bCs w:val="0"/>
          <w:color w:val="auto"/>
          <w:sz w:val="44"/>
          <w:szCs w:val="44"/>
          <w:highlight w:val="none"/>
          <w:shd w:val="clear" w:color="auto" w:fill="FFFFFF"/>
        </w:rPr>
        <w:t>部门整体绩效评价报告</w:t>
      </w:r>
    </w:p>
    <w:p w14:paraId="0C5F027C">
      <w:pPr>
        <w:keepNext w:val="0"/>
        <w:keepLines w:val="0"/>
        <w:pageBreakBefore w:val="0"/>
        <w:widowControl/>
        <w:numPr>
          <w:ilvl w:val="0"/>
          <w:numId w:val="2"/>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lang w:val="zh-CN"/>
        </w:rPr>
        <w:t>部门（单位）基本情况</w:t>
      </w:r>
    </w:p>
    <w:p w14:paraId="08BEFD2A">
      <w:pPr>
        <w:keepNext w:val="0"/>
        <w:keepLines w:val="0"/>
        <w:pageBreakBefore w:val="0"/>
        <w:widowControl/>
        <w:numPr>
          <w:ilvl w:val="0"/>
          <w:numId w:val="3"/>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机构组成。</w:t>
      </w:r>
    </w:p>
    <w:p w14:paraId="7F003C35">
      <w:pPr>
        <w:ind w:firstLine="630" w:firstLineChars="300"/>
        <w:rPr>
          <w:rFonts w:hint="default" w:ascii="仿宋" w:hAnsi="仿宋" w:eastAsia="仿宋" w:cs="仿宋"/>
          <w:color w:val="auto"/>
          <w:sz w:val="32"/>
          <w:szCs w:val="32"/>
          <w:lang w:val="en-US" w:eastAsia="zh-CN"/>
        </w:rPr>
      </w:pPr>
      <w:r>
        <w:rPr>
          <w:rFonts w:hint="eastAsia"/>
          <w:lang w:val="en-US" w:eastAsia="zh-CN"/>
        </w:rPr>
        <w:t xml:space="preserve"> </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攀枝花市仁和区医疗保障局属行政单位，</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下设1个股室（综合股）和1个</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参照公务员法管理的事业单位1个（仁和区医疗保障事务中</w:t>
      </w:r>
      <w:r>
        <w:rPr>
          <w:rFonts w:hint="eastAsia" w:ascii="仿宋" w:hAnsi="仿宋" w:eastAsia="仿宋" w:cs="仿宋"/>
          <w:color w:val="auto"/>
          <w:sz w:val="32"/>
          <w:szCs w:val="32"/>
          <w:lang w:val="zh-CN"/>
        </w:rPr>
        <w:t>心）。</w:t>
      </w:r>
    </w:p>
    <w:p w14:paraId="01128CBB">
      <w:pPr>
        <w:keepNext w:val="0"/>
        <w:keepLines w:val="0"/>
        <w:pageBreakBefore w:val="0"/>
        <w:widowControl/>
        <w:numPr>
          <w:ilvl w:val="0"/>
          <w:numId w:val="3"/>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机构职能</w:t>
      </w:r>
    </w:p>
    <w:p w14:paraId="596B8BB9">
      <w:pPr>
        <w:ind w:firstLine="960" w:firstLineChars="300"/>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1.机构职能</w:t>
      </w:r>
    </w:p>
    <w:p w14:paraId="2B2BFD80">
      <w:pPr>
        <w:ind w:firstLine="640" w:firstLineChars="200"/>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（1）贯彻执行医疗保险、生育保险、医疗救助等医疗保障的各项法律、法规、规章。参与拟订医疗保障事业发展规划、政策和标准，并组织实施和监督检查。</w:t>
      </w:r>
    </w:p>
    <w:p w14:paraId="5F452082">
      <w:pPr>
        <w:ind w:firstLine="640" w:firstLineChars="200"/>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（2）组织拟订并实施医疗保障基（资）金监督管理制度，建立健全医疗保障基（资）金安全防控机制，监督强化全区医疗保障基（资）金运行管理。</w:t>
      </w:r>
    </w:p>
    <w:p w14:paraId="65817536">
      <w:pPr>
        <w:ind w:firstLine="640" w:firstLineChars="200"/>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组织拟订并组织实施医疗保障筹资和待遇政策，落实医疗保障筹资标准动态调整机制，统筹城乡医疗保障待遇标准，建立健全与筹资水平相适应的待遇调整机制。组织实施长期护理保险制度改革方案。组织实施医疗救助。</w:t>
      </w:r>
    </w:p>
    <w:p w14:paraId="5A7D1601">
      <w:pPr>
        <w:ind w:firstLine="640" w:firstLineChars="200"/>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（4）组织实施全省、全市统一的药品、医用耗材、医疗服务项目、医疗服务设施等医疗保障目录和支付标准，根据授权在医疗保障目录准入谈判规则下进行目录增补和支付标准的调整。</w:t>
      </w:r>
    </w:p>
    <w:p w14:paraId="74DBBC64">
      <w:pPr>
        <w:ind w:firstLine="640" w:firstLineChars="200"/>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5）参与拟订并组织实施全市城乡统一的药品、医用耗材价格和医疗服务项目、医疗服务设施收费等政策，建立医保支付医药服务价格合理确定和动态调整机制，推动建立市场主导的社会医药服务价格形成机制，建立价格信息监测和信息发布制度。</w:t>
      </w:r>
    </w:p>
    <w:p w14:paraId="3DF176BB">
      <w:pPr>
        <w:ind w:firstLine="640" w:firstLineChars="200"/>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（6）贯彻执行全省药品、医用耗材的招标采购政策并监督实施，根据省、市统一安排部署，参与全省药品、医用耗材招标采购平台建设，承担并完成相关工作任务。</w:t>
      </w:r>
    </w:p>
    <w:p w14:paraId="5A020DFD">
      <w:pPr>
        <w:ind w:firstLine="640" w:firstLineChars="200"/>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7）推进医疗保障基金支付方式改革，组织拟订全区定点医药机构服务协议和基金支付管理办法并组织实施。承担全区医疗保障定点机构管理，建立健全医疗保障信用评价体系和信息披露制度，监督管理纳入医疗保障范围内的医疗服务行为和医疗费用，依法查处医疗保障领域违法违规行为。</w:t>
      </w:r>
    </w:p>
    <w:p w14:paraId="0A8C4173">
      <w:pPr>
        <w:ind w:firstLine="640" w:firstLineChars="200"/>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8）负责全区医疗保障业务经办管理和公共服务体系建设。组织实施异地就医管理规定和费用结算政策。执行医疗保障关系转移接续规定。指导和监督管理全区医保经办服务工作。开展医疗保障领域对外合作交流。</w:t>
      </w:r>
    </w:p>
    <w:p w14:paraId="3F944A6D">
      <w:pPr>
        <w:ind w:firstLine="640" w:firstLineChars="200"/>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（9）组织拟订全区医疗保障信息化规划并参与全市医疗保障信息化建设。组织开展医疗保障大数据管理和应用。</w:t>
      </w:r>
    </w:p>
    <w:p w14:paraId="32BF6317">
      <w:pPr>
        <w:ind w:firstLine="640" w:firstLineChars="200"/>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（10）拟订并组织实施区本级离休干部、六级以上革命伤残军人的医疗保障政策和副县级及以上干部、高级知识分子的医疗照顾政策。</w:t>
      </w:r>
    </w:p>
    <w:p w14:paraId="13F6AE07">
      <w:pPr>
        <w:ind w:firstLine="640" w:firstLineChars="200"/>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（11）负责职责范围内的安全生产和职业健康、生态环境保护、审批服务便民化等工作。按省、市的要求和指导，推进相对集中行政许可权改革。</w:t>
      </w:r>
    </w:p>
    <w:p w14:paraId="4766886A">
      <w:pPr>
        <w:ind w:firstLine="640" w:firstLineChars="200"/>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（12）指导各乡镇（街道）医疗保障相关政策实施和工作落实。</w:t>
      </w:r>
    </w:p>
    <w:p w14:paraId="3D8FF20C">
      <w:pPr>
        <w:ind w:firstLine="640" w:firstLineChars="200"/>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（13）完成区委、区政府交办的其他任务。</w:t>
      </w:r>
    </w:p>
    <w:p w14:paraId="39299128">
      <w:pPr>
        <w:ind w:firstLine="640" w:firstLineChars="200"/>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14）职能转变。完善统一的城乡居民基本医疗保险和大病保险制度，不断提高医疗保障水平，建立健全覆盖全民、城乡统筹的多层次医疗保障体系，确保医疗保障资金合理使用、安全可控，推进医疗、医保、医药“三医联动”改革，更好地保障人民群众就医需求、减轻医药费用负担。</w:t>
      </w:r>
    </w:p>
    <w:p w14:paraId="16C6659B">
      <w:pPr>
        <w:ind w:firstLine="640" w:firstLineChars="200"/>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（15）有关职责分工。</w:t>
      </w:r>
    </w:p>
    <w:p w14:paraId="3A4B2467">
      <w:pPr>
        <w:ind w:firstLine="640" w:firstLineChars="200"/>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与区卫生健康局的有关职责分工。两部门在医疗、医保、医药等方面加强制度、政策衔接，建立沟通协商机制，协同推进改革，提高医疗资源使用效率和医疗保障水平。</w:t>
      </w:r>
    </w:p>
    <w:p w14:paraId="0E99A993">
      <w:pPr>
        <w:ind w:firstLine="640" w:firstLineChars="200"/>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与国家税务总局攀枝花市仁和区税务局有关职责分工。两部门在医疗、生育、长期护理保险基金征缴工作等方面加强协调，建立沟通机制，共同做好社会保险费税务征缴的相关工作。</w:t>
      </w:r>
    </w:p>
    <w:p w14:paraId="0F4C7B5C">
      <w:pPr>
        <w:numPr>
          <w:ilvl w:val="0"/>
          <w:numId w:val="3"/>
        </w:numPr>
        <w:ind w:left="0" w:leftChars="0" w:firstLine="643" w:firstLineChars="200"/>
        <w:rPr>
          <w:rFonts w:hint="eastAsia" w:ascii="楷体_GB2312" w:hAnsi="楷体_GB2312" w:eastAsia="楷体_GB2312" w:cs="楷体_GB2312"/>
          <w:b/>
          <w:bCs/>
          <w:color w:val="auto"/>
          <w:kern w:val="0"/>
          <w:sz w:val="32"/>
          <w:szCs w:val="32"/>
          <w:highlight w:val="none"/>
          <w:shd w:val="clear" w:color="auto" w:fill="FFFFFF"/>
          <w:lang w:val="en-US" w:eastAsia="zh-CN"/>
        </w:rPr>
      </w:pPr>
      <w:r>
        <w:rPr>
          <w:rFonts w:hint="eastAsia" w:ascii="楷体_GB2312" w:hAnsi="楷体_GB2312" w:eastAsia="楷体_GB2312" w:cs="楷体_GB2312"/>
          <w:b/>
          <w:bCs/>
          <w:color w:val="auto"/>
          <w:kern w:val="0"/>
          <w:sz w:val="32"/>
          <w:szCs w:val="32"/>
          <w:highlight w:val="none"/>
          <w:shd w:val="clear" w:color="auto" w:fill="FFFFFF"/>
          <w:lang w:val="en-US" w:eastAsia="zh-CN"/>
        </w:rPr>
        <w:t>人员概况。</w:t>
      </w:r>
    </w:p>
    <w:p w14:paraId="4669BBAA">
      <w:pPr>
        <w:spacing w:line="560" w:lineRule="exact"/>
        <w:ind w:firstLine="640" w:firstLineChars="200"/>
        <w:jc w:val="left"/>
        <w:rPr>
          <w:rFonts w:hint="eastAsia" w:eastAsia="仿宋_GB2312"/>
          <w:bCs/>
          <w:sz w:val="32"/>
          <w:szCs w:val="32"/>
        </w:rPr>
      </w:pPr>
      <w:r>
        <w:rPr>
          <w:rFonts w:hint="eastAsia" w:eastAsia="仿宋_GB2312"/>
          <w:bCs/>
          <w:sz w:val="32"/>
          <w:szCs w:val="32"/>
        </w:rPr>
        <w:t>攀枝花市仁和区医疗保障局行政编制</w:t>
      </w:r>
      <w:r>
        <w:rPr>
          <w:rFonts w:hint="eastAsia" w:eastAsia="仿宋_GB2312"/>
          <w:bCs/>
          <w:color w:val="auto"/>
          <w:sz w:val="32"/>
          <w:szCs w:val="32"/>
          <w:lang w:val="en-US" w:eastAsia="zh-CN"/>
        </w:rPr>
        <w:t>3</w:t>
      </w:r>
      <w:r>
        <w:rPr>
          <w:rFonts w:hint="eastAsia" w:eastAsia="仿宋_GB2312"/>
          <w:bCs/>
          <w:sz w:val="32"/>
          <w:szCs w:val="32"/>
        </w:rPr>
        <w:t>个，局长1名，</w:t>
      </w:r>
      <w:r>
        <w:rPr>
          <w:rFonts w:hint="eastAsia" w:eastAsia="仿宋_GB2312"/>
          <w:bCs/>
          <w:color w:val="auto"/>
          <w:sz w:val="32"/>
          <w:szCs w:val="32"/>
        </w:rPr>
        <w:t>副局长</w:t>
      </w:r>
      <w:r>
        <w:rPr>
          <w:rFonts w:hint="eastAsia" w:eastAsia="仿宋_GB2312"/>
          <w:bCs/>
          <w:color w:val="auto"/>
          <w:sz w:val="32"/>
          <w:szCs w:val="32"/>
          <w:lang w:val="en-US" w:eastAsia="zh-CN"/>
        </w:rPr>
        <w:t>1</w:t>
      </w:r>
      <w:r>
        <w:rPr>
          <w:rFonts w:hint="eastAsia" w:eastAsia="仿宋_GB2312"/>
          <w:bCs/>
          <w:color w:val="auto"/>
          <w:sz w:val="32"/>
          <w:szCs w:val="32"/>
        </w:rPr>
        <w:t>名，</w:t>
      </w:r>
      <w:r>
        <w:rPr>
          <w:rFonts w:hint="eastAsia" w:eastAsia="仿宋_GB2312"/>
          <w:bCs/>
          <w:sz w:val="32"/>
          <w:szCs w:val="32"/>
        </w:rPr>
        <w:t>内设综合股。下属参照公务员法管理的事业单位参公编制1</w:t>
      </w:r>
      <w:r>
        <w:rPr>
          <w:rFonts w:eastAsia="仿宋_GB2312"/>
          <w:bCs/>
          <w:sz w:val="32"/>
          <w:szCs w:val="32"/>
        </w:rPr>
        <w:t>4</w:t>
      </w:r>
      <w:r>
        <w:rPr>
          <w:rFonts w:hint="eastAsia" w:eastAsia="仿宋_GB2312"/>
          <w:bCs/>
          <w:sz w:val="32"/>
          <w:szCs w:val="32"/>
        </w:rPr>
        <w:t>个，其中参公编制1</w:t>
      </w:r>
      <w:r>
        <w:rPr>
          <w:rFonts w:hint="eastAsia" w:eastAsia="仿宋_GB2312"/>
          <w:bCs/>
          <w:sz w:val="32"/>
          <w:szCs w:val="32"/>
          <w:lang w:val="en-US" w:eastAsia="zh-CN"/>
        </w:rPr>
        <w:t>0</w:t>
      </w:r>
      <w:r>
        <w:rPr>
          <w:rFonts w:hint="eastAsia" w:eastAsia="仿宋_GB2312"/>
          <w:bCs/>
          <w:sz w:val="32"/>
          <w:szCs w:val="32"/>
        </w:rPr>
        <w:t>人，事业编制1人，编内聘用1人，购买劳务4人，实有在职人数</w:t>
      </w:r>
      <w:r>
        <w:rPr>
          <w:rFonts w:eastAsia="仿宋_GB2312"/>
          <w:bCs/>
          <w:sz w:val="32"/>
          <w:szCs w:val="32"/>
        </w:rPr>
        <w:t>1</w:t>
      </w:r>
      <w:r>
        <w:rPr>
          <w:rFonts w:hint="eastAsia" w:eastAsia="仿宋_GB2312"/>
          <w:bCs/>
          <w:sz w:val="32"/>
          <w:szCs w:val="32"/>
          <w:lang w:val="en-US" w:eastAsia="zh-CN"/>
        </w:rPr>
        <w:t>4</w:t>
      </w:r>
      <w:r>
        <w:rPr>
          <w:rFonts w:hint="eastAsia" w:eastAsia="仿宋_GB2312"/>
          <w:bCs/>
          <w:sz w:val="32"/>
          <w:szCs w:val="32"/>
        </w:rPr>
        <w:t>人，退休人员</w:t>
      </w:r>
      <w:r>
        <w:rPr>
          <w:rFonts w:hint="eastAsia" w:eastAsia="仿宋_GB2312"/>
          <w:bCs/>
          <w:sz w:val="32"/>
          <w:szCs w:val="32"/>
          <w:lang w:val="en-US" w:eastAsia="zh-CN"/>
        </w:rPr>
        <w:t>5</w:t>
      </w:r>
      <w:r>
        <w:rPr>
          <w:rFonts w:hint="eastAsia" w:eastAsia="仿宋_GB2312"/>
          <w:bCs/>
          <w:sz w:val="32"/>
          <w:szCs w:val="32"/>
        </w:rPr>
        <w:t>人。无公用车辆。</w:t>
      </w:r>
    </w:p>
    <w:p w14:paraId="53F2D96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部门</w:t>
      </w:r>
      <w:r>
        <w:rPr>
          <w:rFonts w:hint="eastAsia" w:ascii="黑体" w:hAnsi="宋体" w:eastAsia="黑体" w:cs="宋体"/>
          <w:color w:val="auto"/>
          <w:kern w:val="0"/>
          <w:sz w:val="32"/>
          <w:szCs w:val="32"/>
          <w:highlight w:val="none"/>
          <w:shd w:val="clear" w:color="auto" w:fill="FFFFFF"/>
        </w:rPr>
        <w:t>资金收支情况</w:t>
      </w:r>
    </w:p>
    <w:p w14:paraId="13E3D96C">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（一）收</w:t>
      </w:r>
      <w:r>
        <w:rPr>
          <w:rFonts w:hint="eastAsia" w:ascii="楷体_GB2312" w:hAnsi="楷体_GB2312" w:eastAsia="楷体_GB2312" w:cs="楷体_GB2312"/>
          <w:b/>
          <w:bCs/>
          <w:color w:val="auto"/>
          <w:kern w:val="0"/>
          <w:sz w:val="32"/>
          <w:szCs w:val="32"/>
          <w:highlight w:val="none"/>
          <w:shd w:val="clear" w:color="auto" w:fill="FFFFFF"/>
          <w:lang w:val="en-US" w:eastAsia="zh-CN"/>
        </w:rPr>
        <w:t>入</w:t>
      </w:r>
      <w:r>
        <w:rPr>
          <w:rFonts w:hint="eastAsia" w:ascii="楷体_GB2312" w:hAnsi="楷体_GB2312" w:eastAsia="楷体_GB2312" w:cs="楷体_GB2312"/>
          <w:b/>
          <w:bCs/>
          <w:color w:val="auto"/>
          <w:kern w:val="0"/>
          <w:sz w:val="32"/>
          <w:szCs w:val="32"/>
          <w:highlight w:val="none"/>
          <w:shd w:val="clear" w:color="auto" w:fill="FFFFFF"/>
          <w:lang w:val="zh-CN"/>
        </w:rPr>
        <w:t>情况。</w:t>
      </w:r>
    </w:p>
    <w:p w14:paraId="6D9C890C">
      <w:pPr>
        <w:pStyle w:val="7"/>
        <w:rPr>
          <w:rFonts w:hint="eastAsia" w:ascii="仿宋" w:hAnsi="仿宋" w:eastAsia="仿宋"/>
          <w:color w:val="auto"/>
          <w:sz w:val="32"/>
          <w:szCs w:val="32"/>
          <w:lang w:eastAsia="zh-CN"/>
        </w:r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年度本年收入合计</w:t>
      </w:r>
      <w:r>
        <w:rPr>
          <w:rFonts w:hint="eastAsia" w:ascii="仿宋" w:hAnsi="仿宋" w:eastAsia="仿宋"/>
          <w:color w:val="auto"/>
          <w:sz w:val="32"/>
          <w:szCs w:val="32"/>
          <w:lang w:val="en-US" w:eastAsia="zh-CN"/>
        </w:rPr>
        <w:t>322.81</w:t>
      </w:r>
      <w:r>
        <w:rPr>
          <w:rFonts w:hint="eastAsia" w:ascii="仿宋" w:hAnsi="仿宋" w:eastAsia="仿宋"/>
          <w:color w:val="auto"/>
          <w:sz w:val="32"/>
          <w:szCs w:val="32"/>
        </w:rPr>
        <w:t>万元，其中：一般公共预算财政拨款收入</w:t>
      </w:r>
      <w:r>
        <w:rPr>
          <w:rFonts w:hint="eastAsia" w:ascii="仿宋" w:hAnsi="仿宋" w:eastAsia="仿宋"/>
          <w:color w:val="auto"/>
          <w:sz w:val="32"/>
          <w:szCs w:val="32"/>
          <w:lang w:val="en-US" w:eastAsia="zh-CN"/>
        </w:rPr>
        <w:t>322.81</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100</w:t>
      </w:r>
      <w:r>
        <w:rPr>
          <w:rFonts w:ascii="仿宋" w:hAnsi="仿宋" w:eastAsia="仿宋"/>
          <w:color w:val="auto"/>
          <w:sz w:val="32"/>
          <w:szCs w:val="32"/>
        </w:rPr>
        <w:t>%</w:t>
      </w:r>
      <w:r>
        <w:rPr>
          <w:rFonts w:hint="eastAsia" w:ascii="仿宋" w:hAnsi="仿宋" w:eastAsia="仿宋"/>
          <w:color w:val="auto"/>
          <w:sz w:val="32"/>
          <w:szCs w:val="32"/>
        </w:rPr>
        <w:t>；政府性基金预算财政拨款收入</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；国有资本经营预算财政拨款收入</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lang w:eastAsia="zh-CN"/>
        </w:rPr>
        <w:t>。</w:t>
      </w:r>
    </w:p>
    <w:p w14:paraId="5953BC92">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w:t>
      </w:r>
      <w:r>
        <w:rPr>
          <w:rFonts w:hint="eastAsia" w:ascii="楷体_GB2312" w:hAnsi="楷体_GB2312" w:eastAsia="楷体_GB2312" w:cs="楷体_GB2312"/>
          <w:b/>
          <w:bCs/>
          <w:color w:val="auto"/>
          <w:kern w:val="0"/>
          <w:sz w:val="32"/>
          <w:szCs w:val="32"/>
          <w:highlight w:val="none"/>
          <w:shd w:val="clear" w:color="auto" w:fill="FFFFFF"/>
          <w:lang w:val="en-US" w:eastAsia="zh-CN"/>
        </w:rPr>
        <w:t>二</w:t>
      </w:r>
      <w:r>
        <w:rPr>
          <w:rFonts w:hint="eastAsia" w:ascii="楷体_GB2312" w:hAnsi="楷体_GB2312" w:eastAsia="楷体_GB2312" w:cs="楷体_GB2312"/>
          <w:b/>
          <w:bCs/>
          <w:color w:val="auto"/>
          <w:kern w:val="0"/>
          <w:sz w:val="32"/>
          <w:szCs w:val="32"/>
          <w:highlight w:val="none"/>
          <w:shd w:val="clear" w:color="auto" w:fill="FFFFFF"/>
          <w:lang w:val="zh-CN"/>
        </w:rPr>
        <w:t>）</w:t>
      </w:r>
      <w:r>
        <w:rPr>
          <w:rFonts w:hint="eastAsia" w:ascii="楷体_GB2312" w:hAnsi="楷体_GB2312" w:eastAsia="楷体_GB2312" w:cs="楷体_GB2312"/>
          <w:b/>
          <w:bCs/>
          <w:color w:val="auto"/>
          <w:kern w:val="0"/>
          <w:sz w:val="32"/>
          <w:szCs w:val="32"/>
          <w:highlight w:val="none"/>
          <w:shd w:val="clear" w:color="auto" w:fill="FFFFFF"/>
          <w:lang w:val="en-US" w:eastAsia="zh-CN"/>
        </w:rPr>
        <w:t>支出</w:t>
      </w:r>
      <w:r>
        <w:rPr>
          <w:rFonts w:hint="eastAsia" w:ascii="楷体_GB2312" w:hAnsi="楷体_GB2312" w:eastAsia="楷体_GB2312" w:cs="楷体_GB2312"/>
          <w:b/>
          <w:bCs/>
          <w:color w:val="auto"/>
          <w:kern w:val="0"/>
          <w:sz w:val="32"/>
          <w:szCs w:val="32"/>
          <w:highlight w:val="none"/>
          <w:shd w:val="clear" w:color="auto" w:fill="FFFFFF"/>
          <w:lang w:val="zh-CN"/>
        </w:rPr>
        <w:t>情况。</w:t>
      </w:r>
    </w:p>
    <w:p w14:paraId="0AEBF7F8">
      <w:pPr>
        <w:spacing w:line="600" w:lineRule="exact"/>
        <w:ind w:firstLine="960" w:firstLineChars="300"/>
        <w:outlineLvl w:val="1"/>
        <w:rPr>
          <w:rFonts w:hint="eastAsia" w:ascii="仿宋" w:hAnsi="仿宋" w:eastAsia="仿宋"/>
          <w:color w:val="auto"/>
          <w:sz w:val="32"/>
          <w:szCs w:val="32"/>
        </w:r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年度本年支出合计</w:t>
      </w:r>
      <w:r>
        <w:rPr>
          <w:rFonts w:hint="eastAsia" w:ascii="仿宋" w:hAnsi="仿宋" w:eastAsia="仿宋"/>
          <w:color w:val="auto"/>
          <w:sz w:val="32"/>
          <w:szCs w:val="32"/>
          <w:lang w:val="en-US" w:eastAsia="zh-CN"/>
        </w:rPr>
        <w:t>342.39</w:t>
      </w:r>
      <w:r>
        <w:rPr>
          <w:rFonts w:hint="eastAsia" w:ascii="仿宋" w:hAnsi="仿宋" w:eastAsia="仿宋"/>
          <w:color w:val="auto"/>
          <w:sz w:val="32"/>
          <w:szCs w:val="32"/>
        </w:rPr>
        <w:t>万元，其中：基本支出</w:t>
      </w:r>
      <w:r>
        <w:rPr>
          <w:rFonts w:hint="eastAsia" w:ascii="仿宋" w:hAnsi="仿宋" w:eastAsia="仿宋"/>
          <w:color w:val="auto"/>
          <w:sz w:val="32"/>
          <w:szCs w:val="32"/>
          <w:lang w:val="en-US" w:eastAsia="zh-CN"/>
        </w:rPr>
        <w:t>278.72</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81.4</w:t>
      </w:r>
      <w:r>
        <w:rPr>
          <w:rFonts w:hint="eastAsia" w:ascii="仿宋" w:hAnsi="仿宋" w:eastAsia="仿宋"/>
          <w:color w:val="auto"/>
          <w:sz w:val="32"/>
          <w:szCs w:val="32"/>
        </w:rPr>
        <w:t>6</w:t>
      </w:r>
      <w:r>
        <w:rPr>
          <w:rFonts w:ascii="仿宋" w:hAnsi="仿宋" w:eastAsia="仿宋"/>
          <w:color w:val="auto"/>
          <w:sz w:val="32"/>
          <w:szCs w:val="32"/>
        </w:rPr>
        <w:t>%</w:t>
      </w:r>
      <w:r>
        <w:rPr>
          <w:rFonts w:hint="eastAsia" w:ascii="仿宋" w:hAnsi="仿宋" w:eastAsia="仿宋"/>
          <w:color w:val="auto"/>
          <w:sz w:val="32"/>
          <w:szCs w:val="32"/>
        </w:rPr>
        <w:t>；项目支出</w:t>
      </w:r>
      <w:r>
        <w:rPr>
          <w:rFonts w:hint="eastAsia" w:ascii="仿宋" w:hAnsi="仿宋" w:eastAsia="仿宋"/>
          <w:color w:val="auto"/>
          <w:sz w:val="32"/>
          <w:szCs w:val="32"/>
          <w:lang w:val="en-US" w:eastAsia="zh-CN"/>
        </w:rPr>
        <w:t>63.67</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18.6</w:t>
      </w:r>
      <w:r>
        <w:rPr>
          <w:rFonts w:ascii="仿宋" w:hAnsi="仿宋" w:eastAsia="仿宋"/>
          <w:color w:val="auto"/>
          <w:sz w:val="32"/>
          <w:szCs w:val="32"/>
        </w:rPr>
        <w:t>%</w:t>
      </w:r>
      <w:r>
        <w:rPr>
          <w:rFonts w:hint="eastAsia" w:ascii="仿宋" w:hAnsi="仿宋" w:eastAsia="仿宋"/>
          <w:color w:val="auto"/>
          <w:sz w:val="32"/>
          <w:szCs w:val="32"/>
        </w:rPr>
        <w:t>；上缴上级支出</w:t>
      </w:r>
      <w:r>
        <w:rPr>
          <w:rFonts w:ascii="仿宋" w:hAnsi="仿宋" w:eastAsia="仿宋"/>
          <w:color w:val="auto"/>
          <w:sz w:val="32"/>
          <w:szCs w:val="32"/>
        </w:rPr>
        <w:t>0</w:t>
      </w:r>
      <w:r>
        <w:rPr>
          <w:rFonts w:hint="eastAsia" w:ascii="仿宋" w:hAnsi="仿宋" w:eastAsia="仿宋"/>
          <w:color w:val="auto"/>
          <w:sz w:val="32"/>
          <w:szCs w:val="32"/>
        </w:rPr>
        <w:t>万元，占</w:t>
      </w:r>
      <w:r>
        <w:rPr>
          <w:rFonts w:ascii="仿宋" w:hAnsi="仿宋" w:eastAsia="仿宋"/>
          <w:color w:val="auto"/>
          <w:sz w:val="32"/>
          <w:szCs w:val="32"/>
        </w:rPr>
        <w:t>0%</w:t>
      </w:r>
      <w:r>
        <w:rPr>
          <w:rFonts w:hint="eastAsia" w:ascii="仿宋" w:hAnsi="仿宋" w:eastAsia="仿宋"/>
          <w:color w:val="auto"/>
          <w:sz w:val="32"/>
          <w:szCs w:val="32"/>
        </w:rPr>
        <w:t>；经营支出</w:t>
      </w:r>
      <w:r>
        <w:rPr>
          <w:rFonts w:ascii="仿宋" w:hAnsi="仿宋" w:eastAsia="仿宋"/>
          <w:color w:val="auto"/>
          <w:sz w:val="32"/>
          <w:szCs w:val="32"/>
        </w:rPr>
        <w:t>0</w:t>
      </w:r>
      <w:r>
        <w:rPr>
          <w:rFonts w:hint="eastAsia" w:ascii="仿宋" w:hAnsi="仿宋" w:eastAsia="仿宋"/>
          <w:color w:val="auto"/>
          <w:sz w:val="32"/>
          <w:szCs w:val="32"/>
        </w:rPr>
        <w:t>万元，占</w:t>
      </w:r>
      <w:r>
        <w:rPr>
          <w:rFonts w:ascii="仿宋" w:hAnsi="仿宋" w:eastAsia="仿宋"/>
          <w:color w:val="auto"/>
          <w:sz w:val="32"/>
          <w:szCs w:val="32"/>
        </w:rPr>
        <w:t>0%</w:t>
      </w:r>
      <w:r>
        <w:rPr>
          <w:rFonts w:hint="eastAsia" w:ascii="仿宋" w:hAnsi="仿宋" w:eastAsia="仿宋"/>
          <w:color w:val="auto"/>
          <w:sz w:val="32"/>
          <w:szCs w:val="32"/>
        </w:rPr>
        <w:t>；对附属单位补助支出</w:t>
      </w:r>
      <w:r>
        <w:rPr>
          <w:rFonts w:ascii="仿宋" w:hAnsi="仿宋" w:eastAsia="仿宋"/>
          <w:color w:val="auto"/>
          <w:sz w:val="32"/>
          <w:szCs w:val="32"/>
        </w:rPr>
        <w:t>0</w:t>
      </w:r>
      <w:r>
        <w:rPr>
          <w:rFonts w:hint="eastAsia" w:ascii="仿宋" w:hAnsi="仿宋" w:eastAsia="仿宋"/>
          <w:color w:val="auto"/>
          <w:sz w:val="32"/>
          <w:szCs w:val="32"/>
        </w:rPr>
        <w:t>万元，占</w:t>
      </w:r>
      <w:r>
        <w:rPr>
          <w:rFonts w:ascii="仿宋" w:hAnsi="仿宋" w:eastAsia="仿宋"/>
          <w:color w:val="auto"/>
          <w:sz w:val="32"/>
          <w:szCs w:val="32"/>
        </w:rPr>
        <w:t>0%</w:t>
      </w:r>
      <w:r>
        <w:rPr>
          <w:rFonts w:hint="eastAsia" w:ascii="仿宋" w:hAnsi="仿宋" w:eastAsia="仿宋"/>
          <w:color w:val="auto"/>
          <w:sz w:val="32"/>
          <w:szCs w:val="32"/>
        </w:rPr>
        <w:t>。</w:t>
      </w:r>
    </w:p>
    <w:p w14:paraId="54FF21B1">
      <w:pPr>
        <w:spacing w:line="600" w:lineRule="exact"/>
        <w:ind w:firstLine="643" w:firstLineChars="200"/>
        <w:outlineLvl w:val="1"/>
        <w:rPr>
          <w:rFonts w:hint="default" w:ascii="仿宋" w:hAnsi="仿宋" w:eastAsia="仿宋"/>
          <w:color w:val="auto"/>
          <w:sz w:val="32"/>
          <w:szCs w:val="32"/>
          <w:lang w:val="en-US" w:eastAsia="zh-CN"/>
        </w:rPr>
      </w:pPr>
      <w:r>
        <w:rPr>
          <w:rFonts w:hint="eastAsia" w:ascii="楷体_GB2312" w:hAnsi="楷体_GB2312" w:eastAsia="楷体_GB2312" w:cs="楷体_GB2312"/>
          <w:b/>
          <w:bCs/>
          <w:color w:val="auto"/>
          <w:kern w:val="0"/>
          <w:sz w:val="32"/>
          <w:szCs w:val="32"/>
          <w:highlight w:val="none"/>
          <w:shd w:val="clear" w:color="auto" w:fill="FFFFFF"/>
          <w:lang w:val="zh-CN" w:eastAsia="zh-CN"/>
        </w:rPr>
        <w:t>（</w:t>
      </w:r>
      <w:r>
        <w:rPr>
          <w:rFonts w:hint="eastAsia" w:ascii="楷体_GB2312" w:hAnsi="楷体_GB2312" w:eastAsia="楷体_GB2312" w:cs="楷体_GB2312"/>
          <w:b/>
          <w:bCs/>
          <w:color w:val="auto"/>
          <w:kern w:val="0"/>
          <w:sz w:val="32"/>
          <w:szCs w:val="32"/>
          <w:highlight w:val="none"/>
          <w:shd w:val="clear" w:color="auto" w:fill="FFFFFF"/>
          <w:lang w:val="en-US" w:eastAsia="zh-CN"/>
        </w:rPr>
        <w:t>三）结余分配和结转结余情况。</w:t>
      </w:r>
    </w:p>
    <w:p w14:paraId="7D137735">
      <w:pPr>
        <w:pStyle w:val="5"/>
        <w:numPr>
          <w:ilvl w:val="0"/>
          <w:numId w:val="0"/>
        </w:numPr>
        <w:rPr>
          <w:rFonts w:hint="eastAsia" w:ascii="仿宋" w:hAnsi="仿宋" w:eastAsia="仿宋" w:cs="Times New Roman"/>
          <w:color w:val="auto"/>
          <w:kern w:val="2"/>
          <w:sz w:val="32"/>
          <w:szCs w:val="32"/>
          <w:lang w:val="zh-CN" w:eastAsia="zh-CN" w:bidi="ar-SA"/>
        </w:rPr>
      </w:pPr>
      <w:r>
        <w:rPr>
          <w:rFonts w:hint="eastAsia"/>
          <w:lang w:val="en-US" w:eastAsia="zh-CN"/>
        </w:rPr>
        <w:t xml:space="preserve"> </w:t>
      </w:r>
      <w:r>
        <w:rPr>
          <w:rFonts w:hint="eastAsia" w:ascii="仿宋" w:hAnsi="仿宋" w:eastAsia="仿宋" w:cs="Times New Roman"/>
          <w:color w:val="auto"/>
          <w:kern w:val="2"/>
          <w:sz w:val="32"/>
          <w:szCs w:val="32"/>
          <w:lang w:val="en-US" w:eastAsia="zh-CN" w:bidi="ar-SA"/>
        </w:rPr>
        <w:t xml:space="preserve"> 结转2023年资金19.58万元。</w:t>
      </w:r>
    </w:p>
    <w:p w14:paraId="60029AA2">
      <w:pPr>
        <w:widowControl/>
        <w:adjustRightInd w:val="0"/>
        <w:snapToGrid w:val="0"/>
        <w:spacing w:line="578" w:lineRule="exact"/>
        <w:ind w:firstLine="640" w:firstLineChars="200"/>
        <w:contextualSpacing/>
        <w:jc w:val="left"/>
        <w:rPr>
          <w:rFonts w:hint="eastAsia" w:ascii="仿宋" w:hAnsi="仿宋" w:eastAsia="仿宋" w:cs="Times New Roman"/>
          <w:color w:val="auto"/>
          <w:kern w:val="2"/>
          <w:sz w:val="32"/>
          <w:szCs w:val="32"/>
          <w:lang w:val="zh-CN" w:eastAsia="zh-CN" w:bidi="ar-SA"/>
        </w:rPr>
      </w:pPr>
      <w:r>
        <w:rPr>
          <w:rFonts w:hint="eastAsia" w:ascii="仿宋" w:hAnsi="仿宋" w:eastAsia="仿宋" w:cs="Times New Roman"/>
          <w:color w:val="auto"/>
          <w:kern w:val="2"/>
          <w:sz w:val="32"/>
          <w:szCs w:val="32"/>
          <w:lang w:val="zh-CN" w:eastAsia="zh-CN" w:bidi="ar-SA"/>
        </w:rPr>
        <w:t>三、部门预算绩效分析</w:t>
      </w:r>
    </w:p>
    <w:p w14:paraId="245494A5">
      <w:pPr>
        <w:adjustRightInd w:val="0"/>
        <w:snapToGrid w:val="0"/>
        <w:spacing w:line="578" w:lineRule="exact"/>
        <w:ind w:firstLine="643" w:firstLineChars="200"/>
        <w:contextualSpacing/>
        <w:jc w:val="left"/>
        <w:rPr>
          <w:rFonts w:ascii="Times New Roman" w:hAnsi="Times New Roman" w:eastAsia="楷体_GB2312"/>
          <w:b/>
          <w:bCs/>
          <w:color w:val="auto"/>
          <w:kern w:val="0"/>
          <w:sz w:val="32"/>
          <w:szCs w:val="32"/>
          <w:shd w:val="clear" w:color="auto" w:fill="FFFFFF"/>
          <w:lang w:val="zh-CN"/>
        </w:rPr>
      </w:pPr>
      <w:r>
        <w:rPr>
          <w:rFonts w:ascii="Times New Roman" w:hAnsi="Times New Roman" w:eastAsia="楷体_GB2312"/>
          <w:b/>
          <w:bCs/>
          <w:color w:val="auto"/>
          <w:kern w:val="0"/>
          <w:sz w:val="32"/>
          <w:szCs w:val="32"/>
          <w:shd w:val="clear" w:color="auto" w:fill="FFFFFF"/>
          <w:lang w:val="zh-CN"/>
        </w:rPr>
        <w:t>（一）</w:t>
      </w:r>
      <w:r>
        <w:rPr>
          <w:rFonts w:hint="eastAsia" w:ascii="Times New Roman" w:hAnsi="Times New Roman" w:eastAsia="楷体_GB2312"/>
          <w:b/>
          <w:bCs/>
          <w:color w:val="auto"/>
          <w:kern w:val="0"/>
          <w:sz w:val="32"/>
          <w:szCs w:val="32"/>
          <w:shd w:val="clear" w:color="auto" w:fill="FFFFFF"/>
          <w:lang w:val="zh-CN"/>
        </w:rPr>
        <w:t>部门预算</w:t>
      </w:r>
      <w:r>
        <w:rPr>
          <w:rFonts w:ascii="Times New Roman" w:hAnsi="Times New Roman" w:eastAsia="楷体_GB2312"/>
          <w:b/>
          <w:bCs/>
          <w:color w:val="auto"/>
          <w:kern w:val="0"/>
          <w:sz w:val="32"/>
          <w:szCs w:val="32"/>
          <w:shd w:val="clear" w:color="auto" w:fill="FFFFFF"/>
          <w:lang w:val="zh-CN"/>
        </w:rPr>
        <w:t>总体绩效分析。</w:t>
      </w:r>
    </w:p>
    <w:p w14:paraId="70E22A25">
      <w:pPr>
        <w:pStyle w:val="5"/>
        <w:keepNext w:val="0"/>
        <w:keepLines w:val="0"/>
        <w:pageBreakBefore w:val="0"/>
        <w:widowControl w:val="0"/>
        <w:kinsoku/>
        <w:wordWrap/>
        <w:overflowPunct/>
        <w:topLinePunct w:val="0"/>
        <w:autoSpaceDE/>
        <w:autoSpaceDN/>
        <w:bidi w:val="0"/>
        <w:adjustRightInd/>
        <w:snapToGrid/>
        <w:spacing w:before="130" w:line="560" w:lineRule="exact"/>
        <w:ind w:left="45" w:right="102" w:firstLine="607"/>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t xml:space="preserve">人员经费全年支出 </w:t>
      </w:r>
      <w:r>
        <w:rPr>
          <w:rFonts w:hint="eastAsia" w:ascii="仿宋" w:hAnsi="仿宋" w:eastAsia="仿宋"/>
          <w:color w:val="auto"/>
          <w:sz w:val="32"/>
          <w:szCs w:val="32"/>
          <w:lang w:val="en-US" w:eastAsia="zh-CN"/>
        </w:rPr>
        <w:t>271.21</w:t>
      </w:r>
      <w:r>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t>万元。用于保障</w:t>
      </w:r>
      <w:r>
        <w:rPr>
          <w:rFonts w:hint="eastAsia" w:hAnsi="仿宋_GB2312" w:cs="仿宋_GB2312"/>
          <w:b w:val="0"/>
          <w:bCs w:val="0"/>
          <w:color w:val="auto"/>
          <w:kern w:val="0"/>
          <w:sz w:val="32"/>
          <w:szCs w:val="32"/>
          <w:highlight w:val="none"/>
          <w:shd w:val="clear" w:color="auto" w:fill="FFFFFF"/>
          <w:lang w:val="en-US" w:eastAsia="zh-CN" w:bidi="ar-SA"/>
        </w:rPr>
        <w:t>单位</w:t>
      </w:r>
      <w:r>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t>正常运转人员支出，包括职工个人的工资、津贴补贴、奖金和其他各项补助、退休人员生活补助及医疗费等，人员类支出按定员定额编制预算，资金支出按进度执行，无违规记录，预算执行率 100%，无结余。</w:t>
      </w:r>
    </w:p>
    <w:p w14:paraId="36A8C67D">
      <w:pPr>
        <w:pStyle w:val="5"/>
        <w:keepNext w:val="0"/>
        <w:keepLines w:val="0"/>
        <w:pageBreakBefore w:val="0"/>
        <w:widowControl w:val="0"/>
        <w:kinsoku/>
        <w:wordWrap/>
        <w:overflowPunct/>
        <w:topLinePunct w:val="0"/>
        <w:autoSpaceDE/>
        <w:autoSpaceDN/>
        <w:bidi w:val="0"/>
        <w:adjustRightInd/>
        <w:snapToGrid/>
        <w:spacing w:before="130" w:line="560" w:lineRule="exact"/>
        <w:ind w:left="45" w:right="102" w:firstLine="607"/>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t xml:space="preserve">公用经费全年支出 </w:t>
      </w:r>
      <w:r>
        <w:rPr>
          <w:rFonts w:hint="eastAsia" w:hAnsi="仿宋_GB2312" w:cs="仿宋_GB2312"/>
          <w:b w:val="0"/>
          <w:bCs w:val="0"/>
          <w:color w:val="auto"/>
          <w:kern w:val="0"/>
          <w:sz w:val="32"/>
          <w:szCs w:val="32"/>
          <w:highlight w:val="none"/>
          <w:shd w:val="clear" w:color="auto" w:fill="FFFFFF"/>
          <w:lang w:val="en-US" w:eastAsia="zh-CN" w:bidi="ar-SA"/>
        </w:rPr>
        <w:t>7.51</w:t>
      </w:r>
      <w:r>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t>万元。用于保障正常运转的日常公用支出，包括办公费、邮电费、差旅费、维修（护）费、公务接待费、劳务费、福利费、其他商品和服务支出等。我</w:t>
      </w:r>
      <w:r>
        <w:rPr>
          <w:rFonts w:hint="eastAsia" w:hAnsi="仿宋_GB2312" w:cs="仿宋_GB2312"/>
          <w:b w:val="0"/>
          <w:bCs w:val="0"/>
          <w:color w:val="auto"/>
          <w:kern w:val="0"/>
          <w:sz w:val="32"/>
          <w:szCs w:val="32"/>
          <w:highlight w:val="none"/>
          <w:shd w:val="clear" w:color="auto" w:fill="FFFFFF"/>
          <w:lang w:val="en-US" w:eastAsia="zh-CN" w:bidi="ar-SA"/>
        </w:rPr>
        <w:t>局</w:t>
      </w:r>
      <w:r>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t>严格按照财政下达部门预算运转类批复使用资金，严格执行国库集中支付制度、公务卡结算，运转类支出均按照预算科目执行，无违规记录，预算执行率达 100%，无结余。</w:t>
      </w:r>
    </w:p>
    <w:p w14:paraId="5E7AC4E0">
      <w:pPr>
        <w:pStyle w:val="5"/>
        <w:keepNext w:val="0"/>
        <w:keepLines w:val="0"/>
        <w:pageBreakBefore w:val="0"/>
        <w:widowControl w:val="0"/>
        <w:kinsoku/>
        <w:wordWrap/>
        <w:overflowPunct/>
        <w:topLinePunct w:val="0"/>
        <w:autoSpaceDE/>
        <w:autoSpaceDN/>
        <w:bidi w:val="0"/>
        <w:adjustRightInd/>
        <w:snapToGrid/>
        <w:spacing w:before="130" w:line="560" w:lineRule="exact"/>
        <w:ind w:left="45" w:right="102" w:firstLine="607"/>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t>项目经费全年支出合计</w:t>
      </w:r>
      <w:r>
        <w:rPr>
          <w:rFonts w:hint="eastAsia" w:hAnsi="仿宋_GB2312" w:cs="仿宋_GB2312"/>
          <w:b w:val="0"/>
          <w:bCs w:val="0"/>
          <w:color w:val="auto"/>
          <w:kern w:val="0"/>
          <w:sz w:val="32"/>
          <w:szCs w:val="32"/>
          <w:highlight w:val="none"/>
          <w:shd w:val="clear" w:color="auto" w:fill="FFFFFF"/>
          <w:lang w:val="en-US" w:eastAsia="zh-CN" w:bidi="ar-SA"/>
        </w:rPr>
        <w:t>63.67</w:t>
      </w:r>
      <w:r>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t>万元。项目资金支付及时准确到位，完成年初预算目标。</w:t>
      </w:r>
      <w:r>
        <w:rPr>
          <w:rFonts w:hint="eastAsia" w:hAnsi="仿宋_GB2312" w:cs="仿宋_GB2312"/>
          <w:b w:val="0"/>
          <w:bCs w:val="0"/>
          <w:color w:val="auto"/>
          <w:kern w:val="0"/>
          <w:sz w:val="32"/>
          <w:szCs w:val="32"/>
          <w:highlight w:val="none"/>
          <w:shd w:val="clear" w:color="auto" w:fill="FFFFFF"/>
          <w:lang w:val="en-US" w:eastAsia="zh-CN" w:bidi="ar-SA"/>
        </w:rPr>
        <w:t>主要包括：企业改革补助支出：23万元，其他医疗保障管理事务支出：40.67万元；</w:t>
      </w:r>
      <w:r>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t>项目预算</w:t>
      </w:r>
      <w:r>
        <w:rPr>
          <w:rFonts w:hint="eastAsia" w:hAnsi="仿宋_GB2312" w:cs="仿宋_GB2312"/>
          <w:b w:val="0"/>
          <w:bCs w:val="0"/>
          <w:color w:val="auto"/>
          <w:kern w:val="0"/>
          <w:sz w:val="32"/>
          <w:szCs w:val="32"/>
          <w:highlight w:val="none"/>
          <w:shd w:val="clear" w:color="auto" w:fill="FFFFFF"/>
          <w:lang w:val="en-US" w:eastAsia="zh-CN" w:bidi="ar-SA"/>
        </w:rPr>
        <w:t>执</w:t>
      </w:r>
      <w:r>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t>行率 100%，无结余。</w:t>
      </w:r>
    </w:p>
    <w:p w14:paraId="6B59BA21">
      <w:pPr>
        <w:pStyle w:val="5"/>
        <w:numPr>
          <w:ilvl w:val="0"/>
          <w:numId w:val="0"/>
        </w:numPr>
        <w:spacing w:before="93"/>
        <w:ind w:firstLine="640" w:firstLineChars="200"/>
        <w:rPr>
          <w:rFonts w:hint="eastAsia" w:ascii="楷体_GB2312" w:hAnsi="楷体_GB2312" w:eastAsia="楷体_GB2312" w:cs="楷体_GB2312"/>
          <w:color w:val="auto"/>
          <w:kern w:val="0"/>
          <w:sz w:val="32"/>
          <w:szCs w:val="32"/>
          <w:shd w:val="clear" w:color="auto" w:fill="FFFFFF"/>
          <w:lang w:val="zh-CN"/>
        </w:rPr>
      </w:pPr>
      <w:r>
        <w:rPr>
          <w:rFonts w:hint="eastAsia" w:ascii="楷体_GB2312" w:hAnsi="楷体_GB2312" w:eastAsia="楷体_GB2312" w:cs="楷体_GB2312"/>
          <w:color w:val="auto"/>
          <w:kern w:val="0"/>
          <w:sz w:val="32"/>
          <w:szCs w:val="32"/>
          <w:shd w:val="clear" w:color="auto" w:fill="FFFFFF"/>
          <w:lang w:val="en-US" w:eastAsia="zh-CN"/>
        </w:rPr>
        <w:t>1、</w:t>
      </w:r>
      <w:r>
        <w:rPr>
          <w:rFonts w:hint="eastAsia" w:ascii="楷体_GB2312" w:hAnsi="楷体_GB2312" w:eastAsia="楷体_GB2312" w:cs="楷体_GB2312"/>
          <w:color w:val="auto"/>
          <w:kern w:val="0"/>
          <w:sz w:val="32"/>
          <w:szCs w:val="32"/>
          <w:shd w:val="clear" w:color="auto" w:fill="FFFFFF"/>
          <w:lang w:val="zh-CN"/>
        </w:rPr>
        <w:t>履职效能。</w:t>
      </w:r>
    </w:p>
    <w:p w14:paraId="11C2F3F4">
      <w:pPr>
        <w:pStyle w:val="5"/>
        <w:numPr>
          <w:ilvl w:val="0"/>
          <w:numId w:val="0"/>
        </w:numPr>
        <w:spacing w:before="93"/>
        <w:rPr>
          <w:rFonts w:hint="default" w:hAnsi="仿宋_GB2312" w:cs="仿宋_GB2312"/>
          <w:b w:val="0"/>
          <w:bCs w:val="0"/>
          <w:color w:val="auto"/>
          <w:kern w:val="0"/>
          <w:sz w:val="32"/>
          <w:szCs w:val="32"/>
          <w:highlight w:val="none"/>
          <w:shd w:val="clear" w:color="auto" w:fill="FFFFFF"/>
          <w:lang w:val="zh-CN" w:eastAsia="zh-CN" w:bidi="ar-SA"/>
        </w:rPr>
      </w:pPr>
      <w:r>
        <w:rPr>
          <w:rFonts w:hint="eastAsia" w:ascii="楷体_GB2312" w:hAnsi="楷体_GB2312" w:eastAsia="楷体_GB2312" w:cs="楷体_GB2312"/>
          <w:color w:val="auto"/>
          <w:kern w:val="0"/>
          <w:sz w:val="32"/>
          <w:szCs w:val="32"/>
          <w:shd w:val="clear" w:color="auto" w:fill="FFFFFF"/>
          <w:lang w:val="zh-CN"/>
        </w:rPr>
        <w:t>　</w:t>
      </w:r>
      <w:r>
        <w:rPr>
          <w:rFonts w:hint="eastAsia" w:ascii="楷体_GB2312" w:hAnsi="楷体_GB2312" w:eastAsia="楷体_GB2312" w:cs="楷体_GB2312"/>
          <w:color w:val="auto"/>
          <w:kern w:val="0"/>
          <w:sz w:val="32"/>
          <w:szCs w:val="32"/>
          <w:shd w:val="clear" w:color="auto" w:fill="FFFFFF"/>
          <w:lang w:val="en-US" w:eastAsia="zh-CN"/>
        </w:rPr>
        <w:t xml:space="preserve">  </w:t>
      </w:r>
      <w:r>
        <w:rPr>
          <w:rFonts w:hint="eastAsia" w:hAnsi="仿宋_GB2312" w:cs="仿宋_GB2312"/>
          <w:b w:val="0"/>
          <w:bCs w:val="0"/>
          <w:color w:val="auto"/>
          <w:kern w:val="0"/>
          <w:sz w:val="32"/>
          <w:szCs w:val="32"/>
          <w:highlight w:val="none"/>
          <w:shd w:val="clear" w:color="auto" w:fill="FFFFFF"/>
          <w:lang w:val="zh-CN" w:eastAsia="zh-CN" w:bidi="ar-SA"/>
        </w:rPr>
        <w:t>202</w:t>
      </w:r>
      <w:r>
        <w:rPr>
          <w:rFonts w:hint="eastAsia" w:hAnsi="仿宋_GB2312" w:cs="仿宋_GB2312"/>
          <w:b w:val="0"/>
          <w:bCs w:val="0"/>
          <w:color w:val="auto"/>
          <w:kern w:val="0"/>
          <w:sz w:val="32"/>
          <w:szCs w:val="32"/>
          <w:highlight w:val="none"/>
          <w:shd w:val="clear" w:color="auto" w:fill="FFFFFF"/>
          <w:lang w:val="en-US" w:eastAsia="zh-CN" w:bidi="ar-SA"/>
        </w:rPr>
        <w:t>4</w:t>
      </w:r>
      <w:r>
        <w:rPr>
          <w:rFonts w:hint="eastAsia" w:hAnsi="仿宋_GB2312" w:cs="仿宋_GB2312"/>
          <w:b w:val="0"/>
          <w:bCs w:val="0"/>
          <w:color w:val="auto"/>
          <w:kern w:val="0"/>
          <w:sz w:val="32"/>
          <w:szCs w:val="32"/>
          <w:highlight w:val="none"/>
          <w:shd w:val="clear" w:color="auto" w:fill="FFFFFF"/>
          <w:lang w:val="zh-CN" w:eastAsia="zh-CN" w:bidi="ar-SA"/>
        </w:rPr>
        <w:t>年</w:t>
      </w:r>
      <w:r>
        <w:rPr>
          <w:rFonts w:hint="default" w:hAnsi="仿宋_GB2312" w:cs="仿宋_GB2312"/>
          <w:b w:val="0"/>
          <w:bCs w:val="0"/>
          <w:color w:val="auto"/>
          <w:kern w:val="0"/>
          <w:sz w:val="32"/>
          <w:szCs w:val="32"/>
          <w:highlight w:val="none"/>
          <w:shd w:val="clear" w:color="auto" w:fill="FFFFFF"/>
          <w:lang w:val="zh-CN" w:eastAsia="zh-CN" w:bidi="ar-SA"/>
        </w:rPr>
        <w:t>我</w:t>
      </w:r>
      <w:r>
        <w:rPr>
          <w:rFonts w:hint="eastAsia" w:hAnsi="仿宋_GB2312" w:cs="仿宋_GB2312"/>
          <w:b w:val="0"/>
          <w:bCs w:val="0"/>
          <w:color w:val="auto"/>
          <w:kern w:val="0"/>
          <w:sz w:val="32"/>
          <w:szCs w:val="32"/>
          <w:highlight w:val="none"/>
          <w:shd w:val="clear" w:color="auto" w:fill="FFFFFF"/>
          <w:lang w:val="en-US" w:eastAsia="zh-CN" w:bidi="ar-SA"/>
        </w:rPr>
        <w:t>局</w:t>
      </w:r>
      <w:r>
        <w:rPr>
          <w:rFonts w:hint="eastAsia" w:hAnsi="仿宋_GB2312" w:cs="仿宋_GB2312"/>
          <w:b w:val="0"/>
          <w:bCs w:val="0"/>
          <w:color w:val="auto"/>
          <w:kern w:val="0"/>
          <w:sz w:val="32"/>
          <w:szCs w:val="32"/>
          <w:highlight w:val="none"/>
          <w:shd w:val="clear" w:color="auto" w:fill="FFFFFF"/>
          <w:lang w:val="zh-CN" w:eastAsia="zh-CN" w:bidi="ar-SA"/>
        </w:rPr>
        <w:t>顺利</w:t>
      </w:r>
      <w:r>
        <w:rPr>
          <w:rFonts w:hint="default" w:hAnsi="仿宋_GB2312" w:cs="仿宋_GB2312"/>
          <w:b w:val="0"/>
          <w:bCs w:val="0"/>
          <w:color w:val="auto"/>
          <w:kern w:val="0"/>
          <w:sz w:val="32"/>
          <w:szCs w:val="32"/>
          <w:highlight w:val="none"/>
          <w:shd w:val="clear" w:color="auto" w:fill="FFFFFF"/>
          <w:lang w:val="zh-CN" w:eastAsia="zh-CN" w:bidi="ar-SA"/>
        </w:rPr>
        <w:t>完了项目预算执行任务</w:t>
      </w:r>
      <w:r>
        <w:rPr>
          <w:rFonts w:hint="eastAsia" w:hAnsi="仿宋_GB2312" w:cs="仿宋_GB2312"/>
          <w:b w:val="0"/>
          <w:bCs w:val="0"/>
          <w:color w:val="auto"/>
          <w:kern w:val="0"/>
          <w:sz w:val="32"/>
          <w:szCs w:val="32"/>
          <w:highlight w:val="none"/>
          <w:shd w:val="clear" w:color="auto" w:fill="FFFFFF"/>
          <w:lang w:val="zh-CN" w:eastAsia="zh-CN" w:bidi="ar-SA"/>
        </w:rPr>
        <w:t>，</w:t>
      </w:r>
      <w:r>
        <w:rPr>
          <w:rFonts w:hint="default" w:hAnsi="仿宋_GB2312" w:cs="仿宋_GB2312"/>
          <w:b w:val="0"/>
          <w:bCs w:val="0"/>
          <w:color w:val="auto"/>
          <w:kern w:val="0"/>
          <w:sz w:val="32"/>
          <w:szCs w:val="32"/>
          <w:highlight w:val="none"/>
          <w:shd w:val="clear" w:color="auto" w:fill="FFFFFF"/>
          <w:lang w:val="zh-CN" w:eastAsia="zh-CN" w:bidi="ar-SA"/>
        </w:rPr>
        <w:t>通</w:t>
      </w:r>
      <w:r>
        <w:rPr>
          <w:rFonts w:hint="eastAsia" w:hAnsi="仿宋_GB2312" w:cs="仿宋_GB2312"/>
          <w:b w:val="0"/>
          <w:bCs w:val="0"/>
          <w:color w:val="auto"/>
          <w:kern w:val="0"/>
          <w:sz w:val="32"/>
          <w:szCs w:val="32"/>
          <w:highlight w:val="none"/>
          <w:shd w:val="clear" w:color="auto" w:fill="FFFFFF"/>
          <w:lang w:val="zh-CN" w:eastAsia="zh-CN" w:bidi="ar-SA"/>
        </w:rPr>
        <w:t>过</w:t>
      </w:r>
      <w:r>
        <w:rPr>
          <w:rFonts w:hint="default" w:hAnsi="仿宋_GB2312" w:cs="仿宋_GB2312"/>
          <w:b w:val="0"/>
          <w:bCs w:val="0"/>
          <w:color w:val="auto"/>
          <w:kern w:val="0"/>
          <w:sz w:val="32"/>
          <w:szCs w:val="32"/>
          <w:highlight w:val="none"/>
          <w:shd w:val="clear" w:color="auto" w:fill="FFFFFF"/>
          <w:lang w:val="zh-CN" w:eastAsia="zh-CN" w:bidi="ar-SA"/>
        </w:rPr>
        <w:t>各项指标的监</w:t>
      </w:r>
      <w:r>
        <w:rPr>
          <w:rFonts w:hint="eastAsia" w:hAnsi="仿宋_GB2312" w:cs="仿宋_GB2312"/>
          <w:b w:val="0"/>
          <w:bCs w:val="0"/>
          <w:color w:val="auto"/>
          <w:kern w:val="0"/>
          <w:sz w:val="32"/>
          <w:szCs w:val="32"/>
          <w:highlight w:val="none"/>
          <w:shd w:val="clear" w:color="auto" w:fill="FFFFFF"/>
          <w:lang w:val="zh-CN" w:eastAsia="zh-CN" w:bidi="ar-SA"/>
        </w:rPr>
        <w:t>测</w:t>
      </w:r>
      <w:r>
        <w:rPr>
          <w:rFonts w:hint="default" w:hAnsi="仿宋_GB2312" w:cs="仿宋_GB2312"/>
          <w:b w:val="0"/>
          <w:bCs w:val="0"/>
          <w:color w:val="auto"/>
          <w:kern w:val="0"/>
          <w:sz w:val="32"/>
          <w:szCs w:val="32"/>
          <w:highlight w:val="none"/>
          <w:shd w:val="clear" w:color="auto" w:fill="FFFFFF"/>
          <w:lang w:val="zh-CN" w:eastAsia="zh-CN" w:bidi="ar-SA"/>
        </w:rPr>
        <w:t>和分析</w:t>
      </w:r>
      <w:r>
        <w:rPr>
          <w:rFonts w:hint="eastAsia" w:hAnsi="仿宋_GB2312" w:cs="仿宋_GB2312"/>
          <w:b w:val="0"/>
          <w:bCs w:val="0"/>
          <w:color w:val="auto"/>
          <w:kern w:val="0"/>
          <w:sz w:val="32"/>
          <w:szCs w:val="32"/>
          <w:highlight w:val="none"/>
          <w:shd w:val="clear" w:color="auto" w:fill="FFFFFF"/>
          <w:lang w:val="zh-CN" w:eastAsia="zh-CN" w:bidi="ar-SA"/>
        </w:rPr>
        <w:t>，</w:t>
      </w:r>
      <w:r>
        <w:rPr>
          <w:rFonts w:hint="default" w:hAnsi="仿宋_GB2312" w:cs="仿宋_GB2312"/>
          <w:b w:val="0"/>
          <w:bCs w:val="0"/>
          <w:color w:val="auto"/>
          <w:kern w:val="0"/>
          <w:sz w:val="32"/>
          <w:szCs w:val="32"/>
          <w:highlight w:val="none"/>
          <w:shd w:val="clear" w:color="auto" w:fill="FFFFFF"/>
          <w:lang w:val="zh-CN" w:eastAsia="zh-CN" w:bidi="ar-SA"/>
        </w:rPr>
        <w:t>工作效率</w:t>
      </w:r>
      <w:r>
        <w:rPr>
          <w:rFonts w:hint="eastAsia" w:hAnsi="仿宋_GB2312" w:cs="仿宋_GB2312"/>
          <w:b w:val="0"/>
          <w:bCs w:val="0"/>
          <w:color w:val="auto"/>
          <w:kern w:val="0"/>
          <w:sz w:val="32"/>
          <w:szCs w:val="32"/>
          <w:highlight w:val="none"/>
          <w:shd w:val="clear" w:color="auto" w:fill="FFFFFF"/>
          <w:lang w:val="zh-CN" w:eastAsia="zh-CN" w:bidi="ar-SA"/>
        </w:rPr>
        <w:t>和工作质量得到</w:t>
      </w:r>
      <w:r>
        <w:rPr>
          <w:rFonts w:hint="default" w:hAnsi="仿宋_GB2312" w:cs="仿宋_GB2312"/>
          <w:b w:val="0"/>
          <w:bCs w:val="0"/>
          <w:color w:val="auto"/>
          <w:kern w:val="0"/>
          <w:sz w:val="32"/>
          <w:szCs w:val="32"/>
          <w:highlight w:val="none"/>
          <w:shd w:val="clear" w:color="auto" w:fill="FFFFFF"/>
          <w:lang w:val="zh-CN" w:eastAsia="zh-CN" w:bidi="ar-SA"/>
        </w:rPr>
        <w:t>了</w:t>
      </w:r>
      <w:r>
        <w:rPr>
          <w:rFonts w:hint="eastAsia" w:hAnsi="仿宋_GB2312" w:cs="仿宋_GB2312"/>
          <w:b w:val="0"/>
          <w:bCs w:val="0"/>
          <w:color w:val="auto"/>
          <w:kern w:val="0"/>
          <w:sz w:val="32"/>
          <w:szCs w:val="32"/>
          <w:highlight w:val="none"/>
          <w:shd w:val="clear" w:color="auto" w:fill="FFFFFF"/>
          <w:lang w:val="zh-CN" w:eastAsia="zh-CN" w:bidi="ar-SA"/>
        </w:rPr>
        <w:t>提</w:t>
      </w:r>
      <w:r>
        <w:rPr>
          <w:rFonts w:hint="default" w:hAnsi="仿宋_GB2312" w:cs="仿宋_GB2312"/>
          <w:b w:val="0"/>
          <w:bCs w:val="0"/>
          <w:color w:val="auto"/>
          <w:kern w:val="0"/>
          <w:sz w:val="32"/>
          <w:szCs w:val="32"/>
          <w:highlight w:val="none"/>
          <w:shd w:val="clear" w:color="auto" w:fill="FFFFFF"/>
          <w:lang w:val="zh-CN" w:eastAsia="zh-CN" w:bidi="ar-SA"/>
        </w:rPr>
        <w:t>高</w:t>
      </w:r>
      <w:r>
        <w:rPr>
          <w:rFonts w:hint="eastAsia" w:hAnsi="仿宋_GB2312" w:cs="仿宋_GB2312"/>
          <w:b w:val="0"/>
          <w:bCs w:val="0"/>
          <w:color w:val="auto"/>
          <w:kern w:val="0"/>
          <w:sz w:val="32"/>
          <w:szCs w:val="32"/>
          <w:highlight w:val="none"/>
          <w:shd w:val="clear" w:color="auto" w:fill="FFFFFF"/>
          <w:lang w:val="zh-CN" w:eastAsia="zh-CN" w:bidi="ar-SA"/>
        </w:rPr>
        <w:t>。一是在做好住院医疗救助工作的同时，按期做好城乡一次性门诊救助和资助民政救助对象参加城乡医疗保险工作</w:t>
      </w:r>
      <w:r>
        <w:rPr>
          <w:rFonts w:hint="eastAsia" w:hAnsi="仿宋_GB2312" w:cs="仿宋_GB2312"/>
          <w:b w:val="0"/>
          <w:bCs w:val="0"/>
          <w:color w:val="auto"/>
          <w:kern w:val="0"/>
          <w:sz w:val="32"/>
          <w:szCs w:val="32"/>
          <w:highlight w:val="none"/>
          <w:shd w:val="clear" w:color="auto" w:fill="FFFFFF"/>
          <w:lang w:val="en-US" w:eastAsia="zh-CN" w:bidi="ar-SA"/>
        </w:rPr>
        <w:t>；</w:t>
      </w:r>
      <w:r>
        <w:rPr>
          <w:rFonts w:hint="eastAsia" w:hAnsi="仿宋_GB2312" w:cs="仿宋_GB2312"/>
          <w:b w:val="0"/>
          <w:bCs w:val="0"/>
          <w:color w:val="auto"/>
          <w:kern w:val="0"/>
          <w:sz w:val="32"/>
          <w:szCs w:val="32"/>
          <w:highlight w:val="none"/>
          <w:shd w:val="clear" w:color="auto" w:fill="FFFFFF"/>
          <w:lang w:val="zh-CN" w:eastAsia="zh-CN" w:bidi="ar-SA"/>
        </w:rPr>
        <w:t>二是对20</w:t>
      </w:r>
      <w:r>
        <w:rPr>
          <w:rFonts w:hint="eastAsia" w:hAnsi="仿宋_GB2312" w:cs="仿宋_GB2312"/>
          <w:b w:val="0"/>
          <w:bCs w:val="0"/>
          <w:color w:val="auto"/>
          <w:kern w:val="0"/>
          <w:sz w:val="32"/>
          <w:szCs w:val="32"/>
          <w:highlight w:val="none"/>
          <w:shd w:val="clear" w:color="auto" w:fill="FFFFFF"/>
          <w:lang w:val="en-US" w:eastAsia="zh-CN" w:bidi="ar-SA"/>
        </w:rPr>
        <w:t>24</w:t>
      </w:r>
      <w:r>
        <w:rPr>
          <w:rFonts w:hint="eastAsia" w:hAnsi="仿宋_GB2312" w:cs="仿宋_GB2312"/>
          <w:b w:val="0"/>
          <w:bCs w:val="0"/>
          <w:color w:val="auto"/>
          <w:kern w:val="0"/>
          <w:sz w:val="32"/>
          <w:szCs w:val="32"/>
          <w:highlight w:val="none"/>
          <w:shd w:val="clear" w:color="auto" w:fill="FFFFFF"/>
          <w:lang w:val="zh-CN" w:eastAsia="zh-CN" w:bidi="ar-SA"/>
        </w:rPr>
        <w:t>年全区离休干部和二等乙级以上革命伤残军人、高级知识份子、县级干部等人按规定政策报销医疗待遇</w:t>
      </w:r>
      <w:r>
        <w:rPr>
          <w:rFonts w:hint="default" w:hAnsi="仿宋_GB2312" w:cs="仿宋_GB2312"/>
          <w:b w:val="0"/>
          <w:bCs w:val="0"/>
          <w:color w:val="auto"/>
          <w:kern w:val="0"/>
          <w:sz w:val="32"/>
          <w:szCs w:val="32"/>
          <w:highlight w:val="none"/>
          <w:shd w:val="clear" w:color="auto" w:fill="FFFFFF"/>
          <w:lang w:val="en-US" w:eastAsia="zh-CN" w:bidi="ar-SA"/>
        </w:rPr>
        <w:t>；</w:t>
      </w:r>
      <w:r>
        <w:rPr>
          <w:rFonts w:hint="eastAsia" w:hAnsi="仿宋_GB2312" w:cs="仿宋_GB2312"/>
          <w:b w:val="0"/>
          <w:bCs w:val="0"/>
          <w:color w:val="auto"/>
          <w:kern w:val="0"/>
          <w:sz w:val="32"/>
          <w:szCs w:val="32"/>
          <w:highlight w:val="none"/>
          <w:shd w:val="clear" w:color="auto" w:fill="FFFFFF"/>
          <w:lang w:val="zh-CN" w:eastAsia="zh-CN" w:bidi="ar-SA"/>
        </w:rPr>
        <w:t>四是加强队伍建设。</w:t>
      </w:r>
      <w:r>
        <w:rPr>
          <w:rFonts w:hint="default" w:hAnsi="仿宋_GB2312" w:cs="仿宋_GB2312"/>
          <w:b w:val="0"/>
          <w:bCs w:val="0"/>
          <w:color w:val="auto"/>
          <w:kern w:val="0"/>
          <w:sz w:val="32"/>
          <w:szCs w:val="32"/>
          <w:highlight w:val="none"/>
          <w:shd w:val="clear" w:color="auto" w:fill="FFFFFF"/>
          <w:lang w:val="zh-CN" w:eastAsia="zh-CN" w:bidi="ar-SA"/>
        </w:rPr>
        <w:t>部门整体履职绩效方面表现良好</w:t>
      </w:r>
      <w:r>
        <w:rPr>
          <w:rFonts w:hint="eastAsia" w:hAnsi="仿宋_GB2312" w:cs="仿宋_GB2312"/>
          <w:b w:val="0"/>
          <w:bCs w:val="0"/>
          <w:color w:val="auto"/>
          <w:kern w:val="0"/>
          <w:sz w:val="32"/>
          <w:szCs w:val="32"/>
          <w:highlight w:val="none"/>
          <w:shd w:val="clear" w:color="auto" w:fill="FFFFFF"/>
          <w:lang w:val="zh-CN" w:eastAsia="zh-CN" w:bidi="ar-SA"/>
        </w:rPr>
        <w:t>，</w:t>
      </w:r>
      <w:r>
        <w:rPr>
          <w:rFonts w:hint="default" w:hAnsi="仿宋_GB2312" w:cs="仿宋_GB2312"/>
          <w:b w:val="0"/>
          <w:bCs w:val="0"/>
          <w:color w:val="auto"/>
          <w:kern w:val="0"/>
          <w:sz w:val="32"/>
          <w:szCs w:val="32"/>
          <w:highlight w:val="none"/>
          <w:shd w:val="clear" w:color="auto" w:fill="FFFFFF"/>
          <w:lang w:val="zh-CN" w:eastAsia="zh-CN" w:bidi="ar-SA"/>
        </w:rPr>
        <w:t>确保预算资金使</w:t>
      </w:r>
      <w:r>
        <w:rPr>
          <w:rFonts w:hint="eastAsia" w:hAnsi="仿宋_GB2312" w:cs="仿宋_GB2312"/>
          <w:b w:val="0"/>
          <w:bCs w:val="0"/>
          <w:color w:val="auto"/>
          <w:kern w:val="0"/>
          <w:sz w:val="32"/>
          <w:szCs w:val="32"/>
          <w:highlight w:val="none"/>
          <w:shd w:val="clear" w:color="auto" w:fill="FFFFFF"/>
          <w:lang w:val="zh-CN" w:eastAsia="zh-CN" w:bidi="ar-SA"/>
        </w:rPr>
        <w:t>用的</w:t>
      </w:r>
      <w:r>
        <w:rPr>
          <w:rFonts w:hint="default" w:hAnsi="仿宋_GB2312" w:cs="仿宋_GB2312"/>
          <w:b w:val="0"/>
          <w:bCs w:val="0"/>
          <w:color w:val="auto"/>
          <w:kern w:val="0"/>
          <w:sz w:val="32"/>
          <w:szCs w:val="32"/>
          <w:highlight w:val="none"/>
          <w:shd w:val="clear" w:color="auto" w:fill="FFFFFF"/>
          <w:lang w:val="zh-CN" w:eastAsia="zh-CN" w:bidi="ar-SA"/>
        </w:rPr>
        <w:t>合规性和效益性</w:t>
      </w:r>
      <w:r>
        <w:rPr>
          <w:rFonts w:hint="eastAsia" w:hAnsi="仿宋_GB2312" w:cs="仿宋_GB2312"/>
          <w:b w:val="0"/>
          <w:bCs w:val="0"/>
          <w:color w:val="auto"/>
          <w:kern w:val="0"/>
          <w:sz w:val="32"/>
          <w:szCs w:val="32"/>
          <w:highlight w:val="none"/>
          <w:shd w:val="clear" w:color="auto" w:fill="FFFFFF"/>
          <w:lang w:val="zh-CN" w:eastAsia="zh-CN" w:bidi="ar-SA"/>
        </w:rPr>
        <w:t>。</w:t>
      </w:r>
    </w:p>
    <w:p w14:paraId="7651B873">
      <w:pPr>
        <w:numPr>
          <w:ilvl w:val="0"/>
          <w:numId w:val="0"/>
        </w:numPr>
        <w:adjustRightInd w:val="0"/>
        <w:snapToGrid w:val="0"/>
        <w:spacing w:line="578" w:lineRule="exact"/>
        <w:ind w:firstLine="640" w:firstLineChars="200"/>
        <w:contextualSpacing/>
        <w:jc w:val="left"/>
        <w:rPr>
          <w:rFonts w:hint="eastAsia" w:ascii="楷体_GB2312" w:hAnsi="楷体_GB2312" w:eastAsia="楷体_GB2312" w:cs="楷体_GB2312"/>
          <w:color w:val="auto"/>
          <w:kern w:val="0"/>
          <w:sz w:val="32"/>
          <w:szCs w:val="32"/>
          <w:shd w:val="clear" w:color="auto" w:fill="FFFFFF"/>
          <w:lang w:val="zh-CN"/>
        </w:rPr>
      </w:pPr>
      <w:r>
        <w:rPr>
          <w:rFonts w:hint="eastAsia" w:ascii="楷体_GB2312" w:hAnsi="楷体_GB2312" w:eastAsia="楷体_GB2312" w:cs="楷体_GB2312"/>
          <w:color w:val="auto"/>
          <w:kern w:val="0"/>
          <w:sz w:val="32"/>
          <w:szCs w:val="32"/>
          <w:shd w:val="clear" w:color="auto" w:fill="FFFFFF"/>
          <w:lang w:val="en-US" w:eastAsia="zh-CN"/>
        </w:rPr>
        <w:t>2、</w:t>
      </w:r>
      <w:r>
        <w:rPr>
          <w:rFonts w:ascii="楷体_GB2312" w:hAnsi="楷体_GB2312" w:eastAsia="楷体_GB2312" w:cs="楷体_GB2312"/>
          <w:color w:val="auto"/>
          <w:kern w:val="0"/>
          <w:sz w:val="32"/>
          <w:szCs w:val="32"/>
          <w:shd w:val="clear" w:color="auto" w:fill="FFFFFF"/>
          <w:lang w:val="zh-CN"/>
        </w:rPr>
        <w:t>预算管理</w:t>
      </w:r>
      <w:r>
        <w:rPr>
          <w:rFonts w:hint="eastAsia" w:ascii="楷体_GB2312" w:hAnsi="楷体_GB2312" w:eastAsia="楷体_GB2312" w:cs="楷体_GB2312"/>
          <w:color w:val="auto"/>
          <w:kern w:val="0"/>
          <w:sz w:val="32"/>
          <w:szCs w:val="32"/>
          <w:shd w:val="clear" w:color="auto" w:fill="FFFFFF"/>
          <w:lang w:val="zh-CN"/>
        </w:rPr>
        <w:t>。</w:t>
      </w:r>
    </w:p>
    <w:p w14:paraId="075A02D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方正仿宋_GBK" w:cs="Times New Roman"/>
          <w:bCs/>
          <w:color w:val="auto"/>
          <w:kern w:val="0"/>
          <w:sz w:val="33"/>
          <w:szCs w:val="33"/>
          <w:lang w:val="zh-CN" w:eastAsia="zh-CN" w:bidi="ar-SA"/>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仁和区医疗保障局</w:t>
      </w:r>
      <w:r>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t xml:space="preserve"> 202</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4</w:t>
      </w:r>
      <w:r>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t>年预算编报依据充分、项目细化、绩效设置完整，与部门职责和年度工作重点相符，</w:t>
      </w:r>
      <w:r>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t>合理安排资金使用计划</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w:t>
      </w:r>
      <w:r>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t>切实加强部门预算支出执行管理和监督工作，确保资金及时、足额到位，充分发挥财政资金的使用效益，确保各项工作高质量完成</w:t>
      </w:r>
      <w:r>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t>。</w:t>
      </w:r>
    </w:p>
    <w:p w14:paraId="16012738">
      <w:pPr>
        <w:numPr>
          <w:ilvl w:val="0"/>
          <w:numId w:val="0"/>
        </w:numPr>
        <w:adjustRightInd w:val="0"/>
        <w:snapToGrid w:val="0"/>
        <w:spacing w:line="578" w:lineRule="exact"/>
        <w:ind w:firstLine="640" w:firstLineChars="200"/>
        <w:contextualSpacing/>
        <w:jc w:val="left"/>
        <w:rPr>
          <w:rFonts w:hint="eastAsia" w:ascii="楷体_GB2312" w:hAnsi="楷体_GB2312" w:eastAsia="楷体_GB2312" w:cs="楷体_GB2312"/>
          <w:color w:val="auto"/>
          <w:kern w:val="0"/>
          <w:sz w:val="32"/>
          <w:szCs w:val="32"/>
          <w:shd w:val="clear" w:color="auto" w:fill="FFFFFF"/>
          <w:lang w:val="zh-CN"/>
        </w:rPr>
      </w:pPr>
      <w:r>
        <w:rPr>
          <w:rFonts w:hint="eastAsia" w:ascii="楷体_GB2312" w:hAnsi="楷体_GB2312" w:eastAsia="楷体_GB2312" w:cs="楷体_GB2312"/>
          <w:color w:val="auto"/>
          <w:kern w:val="0"/>
          <w:sz w:val="32"/>
          <w:szCs w:val="32"/>
          <w:shd w:val="clear" w:color="auto" w:fill="FFFFFF"/>
          <w:lang w:val="en-US" w:eastAsia="zh-CN"/>
        </w:rPr>
        <w:t>3、</w:t>
      </w:r>
      <w:r>
        <w:rPr>
          <w:rFonts w:ascii="楷体_GB2312" w:hAnsi="楷体_GB2312" w:eastAsia="楷体_GB2312" w:cs="楷体_GB2312"/>
          <w:color w:val="auto"/>
          <w:kern w:val="0"/>
          <w:sz w:val="32"/>
          <w:szCs w:val="32"/>
          <w:shd w:val="clear" w:color="auto" w:fill="FFFFFF"/>
          <w:lang w:val="zh-CN"/>
        </w:rPr>
        <w:t>财务管理</w:t>
      </w:r>
      <w:r>
        <w:rPr>
          <w:rFonts w:hint="eastAsia" w:ascii="楷体_GB2312" w:hAnsi="楷体_GB2312" w:eastAsia="楷体_GB2312" w:cs="楷体_GB2312"/>
          <w:color w:val="auto"/>
          <w:kern w:val="0"/>
          <w:sz w:val="32"/>
          <w:szCs w:val="32"/>
          <w:shd w:val="clear" w:color="auto" w:fill="FFFFFF"/>
          <w:lang w:val="zh-CN"/>
        </w:rPr>
        <w:t>。</w:t>
      </w:r>
    </w:p>
    <w:p w14:paraId="1477221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一</w:t>
      </w:r>
      <w:r>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t>是制定出切合单位实际财务支出审批制度，不超标准和范围合理安排资金、</w:t>
      </w:r>
      <w:r>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t>资金管理使用的各个环节是严格按照资金管理办法的规定执行，没有存在虚报项目骗取专项资金的情况，没有存在截留、挤占、挪用专项资金的情况</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w:t>
      </w:r>
      <w:r>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t>没有擅自调整预算</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；二</w:t>
      </w:r>
      <w:r>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t>是设立了专业财务人员，设立了会计和出纳岗位。</w:t>
      </w:r>
    </w:p>
    <w:p w14:paraId="3496D3D3">
      <w:pPr>
        <w:numPr>
          <w:ilvl w:val="0"/>
          <w:numId w:val="0"/>
        </w:numPr>
        <w:adjustRightInd w:val="0"/>
        <w:snapToGrid w:val="0"/>
        <w:spacing w:line="578" w:lineRule="exact"/>
        <w:ind w:firstLine="640" w:firstLineChars="200"/>
        <w:contextualSpacing/>
        <w:jc w:val="left"/>
        <w:rPr>
          <w:rFonts w:hint="eastAsia" w:ascii="楷体_GB2312" w:hAnsi="楷体_GB2312" w:eastAsia="楷体_GB2312" w:cs="楷体_GB2312"/>
          <w:color w:val="auto"/>
          <w:kern w:val="0"/>
          <w:sz w:val="32"/>
          <w:szCs w:val="32"/>
          <w:shd w:val="clear" w:color="auto" w:fill="FFFFFF"/>
          <w:lang w:val="zh-CN"/>
        </w:rPr>
      </w:pPr>
      <w:r>
        <w:rPr>
          <w:rFonts w:hint="eastAsia" w:ascii="楷体_GB2312" w:hAnsi="楷体_GB2312" w:eastAsia="楷体_GB2312" w:cs="楷体_GB2312"/>
          <w:color w:val="auto"/>
          <w:kern w:val="0"/>
          <w:sz w:val="32"/>
          <w:szCs w:val="32"/>
          <w:shd w:val="clear" w:color="auto" w:fill="FFFFFF"/>
          <w:lang w:val="en-US" w:eastAsia="zh-CN"/>
        </w:rPr>
        <w:t>4、</w:t>
      </w:r>
      <w:r>
        <w:rPr>
          <w:rFonts w:ascii="楷体_GB2312" w:hAnsi="楷体_GB2312" w:eastAsia="楷体_GB2312" w:cs="楷体_GB2312"/>
          <w:color w:val="auto"/>
          <w:kern w:val="0"/>
          <w:sz w:val="32"/>
          <w:szCs w:val="32"/>
          <w:shd w:val="clear" w:color="auto" w:fill="FFFFFF"/>
          <w:lang w:val="zh-CN"/>
        </w:rPr>
        <w:t>资产管理</w:t>
      </w:r>
      <w:r>
        <w:rPr>
          <w:rFonts w:hint="eastAsia" w:ascii="楷体_GB2312" w:hAnsi="楷体_GB2312" w:eastAsia="楷体_GB2312" w:cs="楷体_GB2312"/>
          <w:color w:val="auto"/>
          <w:kern w:val="0"/>
          <w:sz w:val="32"/>
          <w:szCs w:val="32"/>
          <w:shd w:val="clear" w:color="auto" w:fill="FFFFFF"/>
          <w:lang w:val="zh-CN"/>
        </w:rPr>
        <w:t>。</w:t>
      </w:r>
    </w:p>
    <w:p w14:paraId="5C8DFB6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t>建立完善《</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仁和区医疗保障局</w:t>
      </w:r>
      <w:r>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t>资产管理制度》，加强国有资产日常管理工作，严格落实国有资产清查、登记、上报制度，建立固定资产台账，定期进行清查，及时更新国有资产管理系统，定期完成国有资产月报工作。及时通过固定资产明细账、固定资产卡片进行会计核算，确保固定资产账实相符、帐卡相符、帐证相符、帐帐相符。</w:t>
      </w:r>
    </w:p>
    <w:p w14:paraId="63C64172">
      <w:pPr>
        <w:numPr>
          <w:ilvl w:val="0"/>
          <w:numId w:val="0"/>
        </w:numPr>
        <w:adjustRightInd w:val="0"/>
        <w:snapToGrid w:val="0"/>
        <w:spacing w:line="578" w:lineRule="exact"/>
        <w:ind w:firstLine="640" w:firstLineChars="200"/>
        <w:contextualSpacing/>
        <w:jc w:val="left"/>
        <w:rPr>
          <w:rFonts w:hint="eastAsia" w:ascii="楷体_GB2312" w:hAnsi="楷体_GB2312" w:eastAsia="楷体_GB2312" w:cs="楷体_GB2312"/>
          <w:color w:val="auto"/>
          <w:kern w:val="0"/>
          <w:sz w:val="32"/>
          <w:szCs w:val="32"/>
          <w:shd w:val="clear" w:color="auto" w:fill="FFFFFF"/>
          <w:lang w:val="zh-CN"/>
        </w:rPr>
      </w:pPr>
      <w:r>
        <w:rPr>
          <w:rFonts w:hint="eastAsia" w:ascii="楷体_GB2312" w:hAnsi="楷体_GB2312" w:eastAsia="楷体_GB2312" w:cs="楷体_GB2312"/>
          <w:color w:val="auto"/>
          <w:kern w:val="0"/>
          <w:sz w:val="32"/>
          <w:szCs w:val="32"/>
          <w:shd w:val="clear" w:color="auto" w:fill="FFFFFF"/>
          <w:lang w:val="en-US" w:eastAsia="zh-CN"/>
        </w:rPr>
        <w:t>5、</w:t>
      </w:r>
      <w:r>
        <w:rPr>
          <w:rFonts w:ascii="楷体_GB2312" w:hAnsi="楷体_GB2312" w:eastAsia="楷体_GB2312" w:cs="楷体_GB2312"/>
          <w:color w:val="auto"/>
          <w:kern w:val="0"/>
          <w:sz w:val="32"/>
          <w:szCs w:val="32"/>
          <w:shd w:val="clear" w:color="auto" w:fill="FFFFFF"/>
          <w:lang w:val="zh-CN"/>
        </w:rPr>
        <w:t>采购管理</w:t>
      </w:r>
      <w:r>
        <w:rPr>
          <w:rFonts w:hint="eastAsia" w:ascii="楷体_GB2312" w:hAnsi="楷体_GB2312" w:eastAsia="楷体_GB2312" w:cs="楷体_GB2312"/>
          <w:color w:val="auto"/>
          <w:kern w:val="0"/>
          <w:sz w:val="32"/>
          <w:szCs w:val="32"/>
          <w:shd w:val="clear" w:color="auto" w:fill="FFFFFF"/>
          <w:lang w:val="zh-CN"/>
        </w:rPr>
        <w:t>。</w:t>
      </w:r>
    </w:p>
    <w:p w14:paraId="6635D63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t>建立了国有资产的采购、管理和核算内部控制体系，明确资产配置、使用、处置等程序和审核审批权限，</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2024年我局无资产采购项目。</w:t>
      </w:r>
    </w:p>
    <w:p w14:paraId="12528C2B">
      <w:pPr>
        <w:keepNext w:val="0"/>
        <w:keepLines w:val="0"/>
        <w:pageBreakBefore w:val="0"/>
        <w:widowControl/>
        <w:numPr>
          <w:ilvl w:val="0"/>
          <w:numId w:val="4"/>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2"/>
        <w:rPr>
          <w:rFonts w:hint="default" w:ascii="Times New Roman" w:hAnsi="Times New Roman" w:eastAsia="楷体_GB2312" w:cs="Times New Roman"/>
          <w:b/>
          <w:bCs/>
          <w:color w:val="000000"/>
          <w:kern w:val="0"/>
          <w:sz w:val="32"/>
          <w:szCs w:val="32"/>
          <w:highlight w:val="none"/>
          <w:shd w:val="clear" w:color="auto" w:fill="FFFFFF"/>
          <w:lang w:val="zh-CN"/>
        </w:rPr>
      </w:pPr>
      <w:bookmarkStart w:id="33" w:name="_Toc16905"/>
      <w:bookmarkStart w:id="34" w:name="_Toc27087"/>
      <w:r>
        <w:rPr>
          <w:rFonts w:hint="default" w:ascii="Times New Roman" w:hAnsi="Times New Roman" w:eastAsia="楷体_GB2312" w:cs="Times New Roman"/>
          <w:b/>
          <w:bCs/>
          <w:color w:val="000000"/>
          <w:kern w:val="0"/>
          <w:sz w:val="32"/>
          <w:szCs w:val="32"/>
          <w:highlight w:val="none"/>
          <w:shd w:val="clear" w:color="auto" w:fill="FFFFFF"/>
          <w:lang w:val="zh-CN"/>
        </w:rPr>
        <w:t>部门预算项目绩效分析。</w:t>
      </w:r>
      <w:bookmarkEnd w:id="33"/>
      <w:bookmarkEnd w:id="34"/>
    </w:p>
    <w:p w14:paraId="15F4008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320" w:firstLineChars="100"/>
        <w:contextualSpacing/>
        <w:jc w:val="left"/>
        <w:textAlignment w:val="auto"/>
        <w:outlineLvl w:val="9"/>
        <w:rPr>
          <w:rFonts w:hint="default" w:ascii="仿宋_GB2312" w:hAnsi="仿宋_GB2312" w:eastAsia="仿宋_GB2312" w:cs="仿宋_GB2312"/>
          <w:b w:val="0"/>
          <w:bCs w:val="0"/>
          <w:color w:val="auto"/>
          <w:kern w:val="0"/>
          <w:sz w:val="32"/>
          <w:szCs w:val="32"/>
          <w:highlight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t>根据预算绩效管理要求，</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攀枝花市仁和区2024年度</w:t>
      </w:r>
      <w:r>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t>预算编制阶段，组织对</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工资性支出（行政）、仁和区医保局专项、</w:t>
      </w:r>
      <w:r>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t>等</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3个项目</w:t>
      </w:r>
      <w:r>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t>开展了预算事前绩效评估，对</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3</w:t>
      </w:r>
      <w:r>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t>个项目编制了绩效目标，</w:t>
      </w:r>
      <w:r>
        <w:rPr>
          <w:rFonts w:hint="default" w:ascii="仿宋_GB2312" w:hAnsi="仿宋_GB2312" w:eastAsia="仿宋_GB2312" w:cs="仿宋_GB2312"/>
          <w:b w:val="0"/>
          <w:bCs w:val="0"/>
          <w:color w:val="auto"/>
          <w:kern w:val="0"/>
          <w:sz w:val="32"/>
          <w:szCs w:val="32"/>
          <w:highlight w:val="none"/>
          <w:shd w:val="clear" w:color="auto" w:fill="FFFFFF"/>
          <w:lang w:val="zh-CN" w:eastAsia="zh-CN" w:bidi="ar-SA"/>
        </w:rPr>
        <w:t>预算总金额</w:t>
      </w:r>
      <w:r>
        <w:rPr>
          <w:rFonts w:hint="eastAsia" w:hAnsi="仿宋_GB2312" w:cs="仿宋_GB2312"/>
          <w:b w:val="0"/>
          <w:bCs w:val="0"/>
          <w:color w:val="auto"/>
          <w:kern w:val="0"/>
          <w:sz w:val="32"/>
          <w:szCs w:val="32"/>
          <w:highlight w:val="none"/>
          <w:shd w:val="clear" w:color="auto" w:fill="FFFFFF"/>
          <w:lang w:val="en-US" w:eastAsia="zh-CN" w:bidi="ar-SA"/>
        </w:rPr>
        <w:t>63.67</w:t>
      </w:r>
      <w:r>
        <w:rPr>
          <w:rFonts w:hint="default" w:ascii="仿宋_GB2312" w:hAnsi="仿宋_GB2312" w:eastAsia="仿宋_GB2312" w:cs="仿宋_GB2312"/>
          <w:b w:val="0"/>
          <w:bCs w:val="0"/>
          <w:color w:val="auto"/>
          <w:kern w:val="0"/>
          <w:sz w:val="32"/>
          <w:szCs w:val="32"/>
          <w:highlight w:val="none"/>
          <w:shd w:val="clear" w:color="auto" w:fill="FFFFFF"/>
          <w:lang w:val="zh-CN" w:eastAsia="zh-CN" w:bidi="ar-SA"/>
        </w:rPr>
        <w:t>万元，1</w:t>
      </w:r>
      <w:r>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t>—</w:t>
      </w:r>
      <w:r>
        <w:rPr>
          <w:rFonts w:hint="default" w:ascii="仿宋_GB2312" w:hAnsi="仿宋_GB2312" w:eastAsia="仿宋_GB2312" w:cs="仿宋_GB2312"/>
          <w:b w:val="0"/>
          <w:bCs w:val="0"/>
          <w:color w:val="auto"/>
          <w:kern w:val="0"/>
          <w:sz w:val="32"/>
          <w:szCs w:val="32"/>
          <w:highlight w:val="none"/>
          <w:shd w:val="clear" w:color="auto" w:fill="FFFFFF"/>
          <w:lang w:val="zh-CN" w:eastAsia="zh-CN" w:bidi="ar-SA"/>
        </w:rPr>
        <w:t>1</w:t>
      </w:r>
      <w:r>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t>2</w:t>
      </w:r>
      <w:r>
        <w:rPr>
          <w:rFonts w:hint="default" w:ascii="仿宋_GB2312" w:hAnsi="仿宋_GB2312" w:eastAsia="仿宋_GB2312" w:cs="仿宋_GB2312"/>
          <w:b w:val="0"/>
          <w:bCs w:val="0"/>
          <w:color w:val="auto"/>
          <w:kern w:val="0"/>
          <w:sz w:val="32"/>
          <w:szCs w:val="32"/>
          <w:highlight w:val="none"/>
          <w:shd w:val="clear" w:color="auto" w:fill="FFFFFF"/>
          <w:lang w:val="zh-CN" w:eastAsia="zh-CN" w:bidi="ar-SA"/>
        </w:rPr>
        <w:t>月预算执行总体进度为</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100</w:t>
      </w:r>
      <w:r>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t xml:space="preserve"> </w:t>
      </w:r>
      <w:r>
        <w:rPr>
          <w:rFonts w:hint="default" w:ascii="仿宋_GB2312" w:hAnsi="仿宋_GB2312" w:eastAsia="仿宋_GB2312" w:cs="仿宋_GB2312"/>
          <w:b w:val="0"/>
          <w:bCs w:val="0"/>
          <w:color w:val="auto"/>
          <w:kern w:val="0"/>
          <w:sz w:val="32"/>
          <w:szCs w:val="32"/>
          <w:highlight w:val="none"/>
          <w:shd w:val="clear" w:color="auto" w:fill="FFFFFF"/>
          <w:lang w:val="zh-CN" w:eastAsia="zh-CN" w:bidi="ar-SA"/>
        </w:rPr>
        <w:t>%，其中：预算结余率大于</w:t>
      </w:r>
      <w:r>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t>10%</w:t>
      </w:r>
      <w:r>
        <w:rPr>
          <w:rFonts w:hint="default" w:ascii="仿宋_GB2312" w:hAnsi="仿宋_GB2312" w:eastAsia="仿宋_GB2312" w:cs="仿宋_GB2312"/>
          <w:b w:val="0"/>
          <w:bCs w:val="0"/>
          <w:color w:val="auto"/>
          <w:kern w:val="0"/>
          <w:sz w:val="32"/>
          <w:szCs w:val="32"/>
          <w:highlight w:val="none"/>
          <w:shd w:val="clear" w:color="auto" w:fill="FFFFFF"/>
          <w:lang w:val="zh-CN" w:eastAsia="zh-CN" w:bidi="ar-SA"/>
        </w:rPr>
        <w:t>的项目共计</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0</w:t>
      </w:r>
      <w:r>
        <w:rPr>
          <w:rFonts w:hint="default" w:ascii="仿宋_GB2312" w:hAnsi="仿宋_GB2312" w:eastAsia="仿宋_GB2312" w:cs="仿宋_GB2312"/>
          <w:b w:val="0"/>
          <w:bCs w:val="0"/>
          <w:color w:val="auto"/>
          <w:kern w:val="0"/>
          <w:sz w:val="32"/>
          <w:szCs w:val="32"/>
          <w:highlight w:val="none"/>
          <w:shd w:val="clear" w:color="auto" w:fill="FFFFFF"/>
          <w:lang w:val="zh-CN" w:eastAsia="zh-CN" w:bidi="ar-SA"/>
        </w:rPr>
        <w:t>个。</w:t>
      </w:r>
    </w:p>
    <w:p w14:paraId="5C66A01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pPr>
      <w:bookmarkStart w:id="35" w:name="_Toc31104"/>
      <w:bookmarkStart w:id="36" w:name="_Toc9370"/>
      <w:bookmarkStart w:id="37" w:name="_Toc19854"/>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1.</w:t>
      </w:r>
      <w:r>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t>项目决策。</w:t>
      </w:r>
      <w:bookmarkEnd w:id="35"/>
      <w:bookmarkEnd w:id="36"/>
      <w:bookmarkEnd w:id="37"/>
    </w:p>
    <w:p w14:paraId="283D89A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pPr>
      <w:r>
        <w:rPr>
          <w:rFonts w:hint="default" w:ascii="仿宋_GB2312" w:hAnsi="仿宋_GB2312" w:eastAsia="仿宋_GB2312" w:cs="仿宋_GB2312"/>
          <w:b w:val="0"/>
          <w:bCs w:val="0"/>
          <w:color w:val="auto"/>
          <w:kern w:val="0"/>
          <w:sz w:val="32"/>
          <w:szCs w:val="32"/>
          <w:highlight w:val="none"/>
          <w:shd w:val="clear" w:color="auto" w:fill="FFFFFF"/>
          <w:lang w:val="zh-CN" w:eastAsia="zh-CN" w:bidi="ar-SA"/>
        </w:rPr>
        <w:t>根据</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2024年</w:t>
      </w:r>
      <w:r>
        <w:rPr>
          <w:rFonts w:hint="default" w:ascii="仿宋_GB2312" w:hAnsi="仿宋_GB2312" w:eastAsia="仿宋_GB2312" w:cs="仿宋_GB2312"/>
          <w:b w:val="0"/>
          <w:bCs w:val="0"/>
          <w:color w:val="auto"/>
          <w:kern w:val="0"/>
          <w:sz w:val="32"/>
          <w:szCs w:val="32"/>
          <w:highlight w:val="none"/>
          <w:shd w:val="clear" w:color="auto" w:fill="FFFFFF"/>
          <w:lang w:val="zh-CN" w:eastAsia="zh-CN" w:bidi="ar-SA"/>
        </w:rPr>
        <w:t>年度重点工作和目标任务合理编制年度预算项目</w:t>
      </w:r>
      <w:r>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t>，按照</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财政规定</w:t>
      </w:r>
      <w:r>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t>进行项目登记审批，入库编制项目绩效目标。</w:t>
      </w:r>
      <w:bookmarkStart w:id="38" w:name="_Toc886"/>
      <w:bookmarkStart w:id="39" w:name="_Toc3018"/>
      <w:bookmarkStart w:id="40" w:name="_Toc11604"/>
    </w:p>
    <w:p w14:paraId="6E7A431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2.项目执行</w:t>
      </w:r>
      <w:r>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t>。</w:t>
      </w:r>
      <w:bookmarkEnd w:id="38"/>
      <w:bookmarkEnd w:id="39"/>
      <w:bookmarkEnd w:id="40"/>
    </w:p>
    <w:p w14:paraId="62EDFB6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320" w:firstLineChars="100"/>
        <w:contextualSpacing/>
        <w:jc w:val="left"/>
        <w:textAlignment w:val="auto"/>
        <w:outlineLvl w:val="9"/>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2024年下达人员项目类9个，特定项类目8个；设置的</w:t>
      </w:r>
      <w:r>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t>项目成本、时效、质量</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w:t>
      </w:r>
      <w:r>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t>社会效益、经济效益、生态效益、可持续影响以及服务对象满意度等情况</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已全部</w:t>
      </w:r>
      <w:r>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t>完成</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，项目执行金额</w:t>
      </w:r>
      <w:r>
        <w:rPr>
          <w:rFonts w:hint="eastAsia" w:hAnsi="仿宋_GB2312" w:cs="仿宋_GB2312"/>
          <w:b w:val="0"/>
          <w:bCs w:val="0"/>
          <w:color w:val="auto"/>
          <w:kern w:val="0"/>
          <w:sz w:val="32"/>
          <w:szCs w:val="32"/>
          <w:highlight w:val="none"/>
          <w:shd w:val="clear" w:color="auto" w:fill="FFFFFF"/>
          <w:lang w:val="en-US" w:eastAsia="zh-CN" w:bidi="ar-SA"/>
        </w:rPr>
        <w:t>63.67</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万元，项目执行率达100%。</w:t>
      </w:r>
    </w:p>
    <w:p w14:paraId="55D57BD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pPr>
      <w:bookmarkStart w:id="41" w:name="_Toc6952"/>
      <w:bookmarkStart w:id="42" w:name="_Toc26994"/>
      <w:bookmarkStart w:id="43" w:name="_Toc539"/>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3.</w:t>
      </w:r>
      <w:r>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t>目标实现。</w:t>
      </w:r>
      <w:bookmarkEnd w:id="41"/>
      <w:bookmarkEnd w:id="42"/>
      <w:bookmarkEnd w:id="43"/>
    </w:p>
    <w:p w14:paraId="1F0B06E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t>202</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4</w:t>
      </w:r>
      <w:r>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t>年我</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局</w:t>
      </w:r>
      <w:r>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t>部门整体支出全年无超预算、无超标准支出，无违规违纪的问题，全年基本支出保证了部门正常运转，项目支出保障了重点工作顺利开展，力争考核达到优良等次。</w:t>
      </w:r>
    </w:p>
    <w:p w14:paraId="385917A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_GB2312" w:hAnsi="仿宋_GB2312" w:eastAsia="仿宋_GB2312" w:cs="仿宋_GB2312"/>
          <w:b w:val="0"/>
          <w:bCs w:val="0"/>
          <w:color w:val="auto"/>
          <w:kern w:val="0"/>
          <w:sz w:val="32"/>
          <w:szCs w:val="32"/>
          <w:highlight w:val="none"/>
          <w:shd w:val="clear" w:color="auto" w:fill="FFFFFF"/>
          <w:lang w:val="zh-CN" w:eastAsia="zh-CN" w:bidi="ar-SA"/>
        </w:rPr>
      </w:pPr>
      <w:bookmarkStart w:id="44" w:name="_Toc15227"/>
      <w:bookmarkStart w:id="45" w:name="_Toc6580"/>
      <w:r>
        <w:rPr>
          <w:rFonts w:hint="default" w:ascii="仿宋_GB2312" w:hAnsi="仿宋_GB2312" w:eastAsia="仿宋_GB2312" w:cs="仿宋_GB2312"/>
          <w:b w:val="0"/>
          <w:bCs w:val="0"/>
          <w:color w:val="auto"/>
          <w:kern w:val="0"/>
          <w:sz w:val="32"/>
          <w:szCs w:val="32"/>
          <w:highlight w:val="none"/>
          <w:shd w:val="clear" w:color="auto" w:fill="FFFFFF"/>
          <w:lang w:val="zh-CN" w:eastAsia="zh-CN" w:bidi="ar-SA"/>
        </w:rPr>
        <w:t>重点领域绩效分析。</w:t>
      </w:r>
      <w:bookmarkEnd w:id="44"/>
      <w:bookmarkEnd w:id="45"/>
    </w:p>
    <w:p w14:paraId="627C03C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_GB2312" w:hAnsi="仿宋_GB2312" w:eastAsia="仿宋_GB2312" w:cs="仿宋_GB2312"/>
          <w:b w:val="0"/>
          <w:bCs w:val="0"/>
          <w:color w:val="auto"/>
          <w:kern w:val="0"/>
          <w:sz w:val="32"/>
          <w:szCs w:val="32"/>
          <w:highlight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无</w:t>
      </w:r>
      <w:bookmarkStart w:id="46" w:name="_Toc10427"/>
      <w:bookmarkStart w:id="47" w:name="_Toc10273"/>
    </w:p>
    <w:p w14:paraId="2912A73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320" w:firstLineChars="100"/>
        <w:contextualSpacing/>
        <w:jc w:val="left"/>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pPr>
      <w:r>
        <w:rPr>
          <w:rFonts w:hint="default" w:ascii="仿宋_GB2312" w:hAnsi="仿宋_GB2312" w:eastAsia="仿宋_GB2312" w:cs="仿宋_GB2312"/>
          <w:b w:val="0"/>
          <w:bCs w:val="0"/>
          <w:color w:val="auto"/>
          <w:kern w:val="0"/>
          <w:sz w:val="32"/>
          <w:szCs w:val="32"/>
          <w:highlight w:val="none"/>
          <w:shd w:val="clear" w:color="auto" w:fill="FFFFFF"/>
          <w:lang w:val="zh-CN" w:eastAsia="zh-CN" w:bidi="ar-SA"/>
        </w:rPr>
        <w:t>（四）绩效结果应用情况</w:t>
      </w:r>
      <w:r>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t>。</w:t>
      </w:r>
      <w:bookmarkEnd w:id="46"/>
      <w:bookmarkEnd w:id="47"/>
    </w:p>
    <w:p w14:paraId="1EE1FBF0">
      <w:pPr>
        <w:pStyle w:val="27"/>
        <w:ind w:firstLine="685"/>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2024</w:t>
      </w:r>
      <w:r>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t>年</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，攀枝花市仁和区医疗保障局</w:t>
      </w:r>
      <w:r>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t>编制了部门整体支出绩效目标，</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对其它运转类、特定类项目</w:t>
      </w:r>
      <w:r>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t>项目编制了事前绩效评估和绩效目标申报。预算执行过程中，开展了中期 1-8 月预算绩效事中监控情况自查，对绩效目标完成情况进行了全面评价和运行监控分析，年终执行完毕后，</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绩效结果应用如下：</w:t>
      </w:r>
    </w:p>
    <w:p w14:paraId="215B2391">
      <w:pPr>
        <w:pStyle w:val="27"/>
        <w:ind w:firstLine="685"/>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pPr>
      <w:r>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t>202</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4</w:t>
      </w:r>
      <w:r>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t>年我局纳入财政预算项目共</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3</w:t>
      </w:r>
      <w:r>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t>项，项目经费</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63.4</w:t>
      </w:r>
      <w:r>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t>万元，上年结转结余项目</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2</w:t>
      </w:r>
      <w:r>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t>个，项目经费</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19.58</w:t>
      </w:r>
      <w:r>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t>元，项目绩效完成情况如下：</w:t>
      </w:r>
    </w:p>
    <w:p w14:paraId="0B698C5A">
      <w:pPr>
        <w:pStyle w:val="27"/>
        <w:ind w:firstLine="685"/>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pPr>
      <w:r>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t>1.项目名称：县级以上离休干部、二等乙级革命伤残军人等人员医疗费全年预算数</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40.00</w:t>
      </w:r>
      <w:r>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t>万元</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w:t>
      </w:r>
      <w:r>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t>该项目对全区离休干部和二等乙级以上革命伤残军人、高级知识分子、县级干部等人医疗费用报销，确保特殊人群享有相应的医疗服务。</w:t>
      </w:r>
    </w:p>
    <w:p w14:paraId="3E915B3E">
      <w:pPr>
        <w:pStyle w:val="27"/>
        <w:ind w:firstLine="685"/>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pPr>
      <w:r>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t>2.项目名称：建国初期参加革命工作老干部医疗补助经费项目全年预算数</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0.40</w:t>
      </w:r>
      <w:r>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t>万元，该项目根据政策要求拨付建国初期参加革命工作老干部医疗补助经费，保证医疗补助到位，进一步关心和照顾建国初期参加革命工作的退休干部。按人均4000元/人/年的标准拨付老干部门诊费补助</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w:t>
      </w:r>
    </w:p>
    <w:p w14:paraId="7FD47AF4">
      <w:pPr>
        <w:pStyle w:val="27"/>
        <w:ind w:firstLine="685"/>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3</w:t>
      </w:r>
      <w:r>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t>.项目名称：2022年国有企业退休人员社会化管理补助资金项目全年预算数</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29.9</w:t>
      </w:r>
      <w:r>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t>万元，该项目资金预计12月前支付完毕。该项目用于开展国有企业退休人员社会化管理工作的人员费用</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w:t>
      </w:r>
    </w:p>
    <w:p w14:paraId="0B755076">
      <w:pPr>
        <w:pStyle w:val="27"/>
        <w:ind w:left="0" w:leftChars="0" w:firstLine="640" w:firstLineChars="200"/>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4、项目名称：医疗服务与能力提升中央资金该项目为追加资金，市财政局及市医保局下达中央资金。项目数为36.73万。该项目用于有效提升综合监管、宣传引导、经办服务、信息化建设、人才队伍建设等医疗保障服务能力。</w:t>
      </w:r>
    </w:p>
    <w:p w14:paraId="4E46B07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黑体" w:hAnsi="黑体" w:eastAsia="黑体" w:cs="黑体"/>
          <w:b w:val="0"/>
          <w:bCs w:val="0"/>
          <w:color w:val="auto"/>
          <w:kern w:val="0"/>
          <w:sz w:val="32"/>
          <w:szCs w:val="32"/>
          <w:highlight w:val="none"/>
          <w:shd w:val="clear" w:color="auto" w:fill="FFFFFF"/>
          <w:lang w:val="zh-CN" w:eastAsia="zh-CN" w:bidi="ar-SA"/>
        </w:rPr>
      </w:pPr>
      <w:r>
        <w:rPr>
          <w:rFonts w:hint="eastAsia" w:ascii="黑体" w:hAnsi="黑体" w:eastAsia="黑体" w:cs="黑体"/>
          <w:b w:val="0"/>
          <w:bCs w:val="0"/>
          <w:color w:val="auto"/>
          <w:kern w:val="0"/>
          <w:sz w:val="32"/>
          <w:szCs w:val="32"/>
          <w:highlight w:val="none"/>
          <w:shd w:val="clear" w:color="auto" w:fill="FFFFFF"/>
          <w:lang w:val="zh-CN" w:eastAsia="zh-CN" w:bidi="ar-SA"/>
        </w:rPr>
        <w:t>四、评价结论及建议</w:t>
      </w:r>
    </w:p>
    <w:p w14:paraId="182C100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_GB2312" w:hAnsi="仿宋_GB2312" w:eastAsia="仿宋_GB2312" w:cs="仿宋_GB2312"/>
          <w:b w:val="0"/>
          <w:bCs w:val="0"/>
          <w:color w:val="auto"/>
          <w:kern w:val="0"/>
          <w:sz w:val="32"/>
          <w:szCs w:val="32"/>
          <w:highlight w:val="none"/>
          <w:shd w:val="clear" w:color="auto" w:fill="FFFFFF"/>
          <w:lang w:val="zh-CN" w:eastAsia="zh-CN" w:bidi="ar-SA"/>
        </w:rPr>
      </w:pPr>
      <w:bookmarkStart w:id="48" w:name="_Toc2267"/>
      <w:bookmarkStart w:id="49" w:name="_Toc6170"/>
      <w:r>
        <w:rPr>
          <w:rFonts w:hint="default" w:ascii="仿宋_GB2312" w:hAnsi="仿宋_GB2312" w:eastAsia="仿宋_GB2312" w:cs="仿宋_GB2312"/>
          <w:b w:val="0"/>
          <w:bCs w:val="0"/>
          <w:color w:val="auto"/>
          <w:kern w:val="0"/>
          <w:sz w:val="32"/>
          <w:szCs w:val="32"/>
          <w:highlight w:val="none"/>
          <w:shd w:val="clear" w:color="auto" w:fill="FFFFFF"/>
          <w:lang w:val="zh-CN" w:eastAsia="zh-CN" w:bidi="ar-SA"/>
        </w:rPr>
        <w:t>（一）评价结论。</w:t>
      </w:r>
      <w:bookmarkEnd w:id="48"/>
      <w:bookmarkEnd w:id="49"/>
    </w:p>
    <w:p w14:paraId="2B3B823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攀枝花市仁和区医疗保障局</w:t>
      </w:r>
      <w:r>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t>严格按照预算编制口径合理编制单位预算，人员经费按照核定编制人数编制，公用经费按定额编制。人员经费、公用经费、项目经费都编制了部门预算项目绩效目标，</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项目执行率达100%，</w:t>
      </w:r>
      <w:r>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t>根据部门整体支出绩效评价指标体系，自评综合得分为 9</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5</w:t>
      </w:r>
      <w:r>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t xml:space="preserve"> 分，圆满完成了年初设定的绩效目标任务。</w:t>
      </w:r>
    </w:p>
    <w:p w14:paraId="07ECEAD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_GB2312" w:hAnsi="仿宋_GB2312" w:eastAsia="仿宋_GB2312" w:cs="仿宋_GB2312"/>
          <w:b w:val="0"/>
          <w:bCs w:val="0"/>
          <w:color w:val="auto"/>
          <w:kern w:val="0"/>
          <w:sz w:val="32"/>
          <w:szCs w:val="32"/>
          <w:highlight w:val="none"/>
          <w:shd w:val="clear" w:color="auto" w:fill="FFFFFF"/>
          <w:lang w:val="zh-CN" w:eastAsia="zh-CN" w:bidi="ar-SA"/>
        </w:rPr>
      </w:pPr>
      <w:bookmarkStart w:id="50" w:name="_Toc19423"/>
      <w:bookmarkStart w:id="51" w:name="_Toc21712"/>
      <w:r>
        <w:rPr>
          <w:rFonts w:hint="default" w:ascii="仿宋_GB2312" w:hAnsi="仿宋_GB2312" w:eastAsia="仿宋_GB2312" w:cs="仿宋_GB2312"/>
          <w:b w:val="0"/>
          <w:bCs w:val="0"/>
          <w:color w:val="auto"/>
          <w:kern w:val="0"/>
          <w:sz w:val="32"/>
          <w:szCs w:val="32"/>
          <w:highlight w:val="none"/>
          <w:shd w:val="clear" w:color="auto" w:fill="FFFFFF"/>
          <w:lang w:val="zh-CN" w:eastAsia="zh-CN" w:bidi="ar-SA"/>
        </w:rPr>
        <w:t>存在问题。</w:t>
      </w:r>
      <w:bookmarkEnd w:id="50"/>
      <w:bookmarkEnd w:id="51"/>
    </w:p>
    <w:p w14:paraId="1D223B3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pPr>
      <w:r>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t>按照绩效评价指标体系自查，我</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局</w:t>
      </w:r>
      <w:r>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t>还存在预算管理不够精 细，在预算管理过程中</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w:t>
      </w:r>
      <w:r>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t>保证预算编制的合理与精细</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SA"/>
        </w:rPr>
        <w:t>，</w:t>
      </w:r>
      <w:r>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t>并加强与财政部门的沟通和协调，确保预算资金的及时下达和清算支付。</w:t>
      </w:r>
    </w:p>
    <w:p w14:paraId="3D21817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lang w:val="en" w:eastAsia="zh-CN" w:bidi="ar-SA"/>
        </w:rPr>
      </w:pPr>
      <w:bookmarkStart w:id="52" w:name="_Toc29999"/>
      <w:bookmarkStart w:id="53" w:name="_Toc12328"/>
      <w:r>
        <w:rPr>
          <w:rFonts w:hint="default" w:ascii="仿宋_GB2312" w:hAnsi="仿宋_GB2312" w:eastAsia="仿宋_GB2312" w:cs="仿宋_GB2312"/>
          <w:b w:val="0"/>
          <w:bCs w:val="0"/>
          <w:color w:val="auto"/>
          <w:kern w:val="0"/>
          <w:sz w:val="32"/>
          <w:szCs w:val="32"/>
          <w:highlight w:val="none"/>
          <w:shd w:val="clear" w:color="auto" w:fill="FFFFFF"/>
          <w:lang w:val="zh-CN" w:eastAsia="zh-CN" w:bidi="ar-SA"/>
        </w:rPr>
        <w:t>（三）改进建议。</w:t>
      </w:r>
      <w:bookmarkEnd w:id="52"/>
      <w:bookmarkEnd w:id="53"/>
    </w:p>
    <w:p w14:paraId="44C7FE1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pPr>
      <w:r>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t>预算编制和预算管理还需进一步细化和加强，遵循先有预 算、后有支出的原则，严禁超预算和无预算安排支出，严格开支范围和标准，严格审核各项经费的支出，提高资金使用效率。</w:t>
      </w:r>
    </w:p>
    <w:p w14:paraId="3002EF36">
      <w:pPr>
        <w:widowControl/>
        <w:adjustRightInd w:val="0"/>
        <w:snapToGrid w:val="0"/>
        <w:spacing w:line="578" w:lineRule="exact"/>
        <w:ind w:firstLine="320" w:firstLineChars="100"/>
        <w:contextualSpacing/>
        <w:jc w:val="left"/>
        <w:rPr>
          <w:rFonts w:hint="eastAsia" w:ascii="Times New Roman" w:eastAsia="仿宋_GB2312"/>
          <w:sz w:val="32"/>
          <w:lang w:val="zh-CN"/>
        </w:rPr>
      </w:pPr>
      <w:bookmarkStart w:id="54" w:name="_Toc15377226"/>
    </w:p>
    <w:p w14:paraId="26469654">
      <w:pPr>
        <w:widowControl/>
        <w:adjustRightInd w:val="0"/>
        <w:snapToGrid w:val="0"/>
        <w:spacing w:line="578" w:lineRule="exact"/>
        <w:ind w:firstLine="320" w:firstLineChars="100"/>
        <w:contextualSpacing/>
        <w:jc w:val="left"/>
        <w:rPr>
          <w:rFonts w:hint="eastAsia" w:ascii="Times New Roman" w:eastAsia="仿宋_GB2312"/>
          <w:sz w:val="32"/>
          <w:lang w:val="zh-CN"/>
        </w:rPr>
      </w:pPr>
    </w:p>
    <w:p w14:paraId="4B8A9294">
      <w:pPr>
        <w:widowControl/>
        <w:adjustRightInd w:val="0"/>
        <w:snapToGrid w:val="0"/>
        <w:spacing w:line="578" w:lineRule="exact"/>
        <w:ind w:firstLine="320" w:firstLineChars="100"/>
        <w:contextualSpacing/>
        <w:jc w:val="left"/>
        <w:rPr>
          <w:rFonts w:hint="eastAsia" w:ascii="Times New Roman" w:eastAsia="仿宋_GB2312"/>
          <w:sz w:val="32"/>
          <w:lang w:val="zh-CN"/>
        </w:rPr>
      </w:pPr>
    </w:p>
    <w:p w14:paraId="7FD4BACE">
      <w:pPr>
        <w:widowControl/>
        <w:adjustRightInd w:val="0"/>
        <w:snapToGrid w:val="0"/>
        <w:spacing w:line="578" w:lineRule="exact"/>
        <w:ind w:firstLine="320" w:firstLineChars="100"/>
        <w:contextualSpacing/>
        <w:jc w:val="left"/>
        <w:rPr>
          <w:rFonts w:hint="eastAsia" w:ascii="Times New Roman" w:eastAsia="仿宋_GB2312"/>
          <w:sz w:val="32"/>
          <w:lang w:val="zh-CN"/>
        </w:rPr>
      </w:pPr>
    </w:p>
    <w:p w14:paraId="02648D3A">
      <w:pPr>
        <w:widowControl/>
        <w:adjustRightInd w:val="0"/>
        <w:snapToGrid w:val="0"/>
        <w:spacing w:line="578" w:lineRule="exact"/>
        <w:ind w:firstLine="320" w:firstLineChars="100"/>
        <w:contextualSpacing/>
        <w:jc w:val="left"/>
        <w:rPr>
          <w:rFonts w:hint="eastAsia" w:ascii="Times New Roman" w:eastAsia="仿宋_GB2312"/>
          <w:sz w:val="32"/>
          <w:lang w:val="zh-CN"/>
        </w:rPr>
      </w:pPr>
    </w:p>
    <w:p w14:paraId="2F492188">
      <w:pPr>
        <w:widowControl/>
        <w:adjustRightInd w:val="0"/>
        <w:snapToGrid w:val="0"/>
        <w:spacing w:line="578" w:lineRule="exact"/>
        <w:ind w:firstLine="320" w:firstLineChars="100"/>
        <w:contextualSpacing/>
        <w:jc w:val="left"/>
        <w:rPr>
          <w:rFonts w:hint="eastAsia" w:ascii="Times New Roman" w:eastAsia="仿宋_GB2312"/>
          <w:sz w:val="32"/>
          <w:lang w:val="zh-CN"/>
        </w:rPr>
      </w:pPr>
    </w:p>
    <w:p w14:paraId="71732D4A">
      <w:pPr>
        <w:widowControl/>
        <w:adjustRightInd w:val="0"/>
        <w:snapToGrid w:val="0"/>
        <w:spacing w:line="578" w:lineRule="exact"/>
        <w:ind w:firstLine="320" w:firstLineChars="100"/>
        <w:contextualSpacing/>
        <w:jc w:val="left"/>
        <w:rPr>
          <w:rFonts w:hint="eastAsia" w:ascii="Times New Roman" w:eastAsia="仿宋_GB2312"/>
          <w:sz w:val="32"/>
          <w:lang w:val="zh-CN"/>
        </w:rPr>
      </w:pPr>
    </w:p>
    <w:p w14:paraId="24B83A4C">
      <w:pPr>
        <w:widowControl/>
        <w:adjustRightInd w:val="0"/>
        <w:snapToGrid w:val="0"/>
        <w:spacing w:line="578" w:lineRule="exact"/>
        <w:ind w:firstLine="320" w:firstLineChars="100"/>
        <w:contextualSpacing/>
        <w:jc w:val="left"/>
        <w:rPr>
          <w:rFonts w:hint="eastAsia" w:ascii="Times New Roman" w:eastAsia="仿宋_GB2312"/>
          <w:sz w:val="32"/>
          <w:lang w:val="zh-CN"/>
        </w:rPr>
      </w:pPr>
    </w:p>
    <w:p w14:paraId="3895031E">
      <w:pPr>
        <w:widowControl/>
        <w:adjustRightInd w:val="0"/>
        <w:snapToGrid w:val="0"/>
        <w:spacing w:line="578" w:lineRule="exact"/>
        <w:ind w:firstLine="320" w:firstLineChars="100"/>
        <w:contextualSpacing/>
        <w:jc w:val="left"/>
        <w:rPr>
          <w:rFonts w:hint="default" w:ascii="Times New Roman" w:eastAsia="仿宋_GB2312"/>
          <w:sz w:val="32"/>
          <w:lang w:val="en-US" w:eastAsia="zh-CN"/>
        </w:rPr>
      </w:pPr>
      <w:r>
        <w:rPr>
          <w:rFonts w:hint="eastAsia" w:ascii="Times New Roman" w:eastAsia="仿宋_GB2312"/>
          <w:sz w:val="32"/>
          <w:lang w:val="zh-CN"/>
        </w:rPr>
        <w:t>附表：</w:t>
      </w:r>
      <w:r>
        <w:rPr>
          <w:rFonts w:hint="eastAsia" w:ascii="Times New Roman" w:eastAsia="仿宋_GB2312"/>
          <w:sz w:val="32"/>
        </w:rPr>
        <w:t>部门预算项目支出绩效自评表（2024年度）</w:t>
      </w:r>
      <w:r>
        <w:rPr>
          <w:rFonts w:hint="eastAsia" w:eastAsia="仿宋_GB2312"/>
          <w:sz w:val="32"/>
          <w:lang w:val="en-US" w:eastAsia="zh-CN"/>
        </w:rPr>
        <w:t>详见附件。</w:t>
      </w:r>
    </w:p>
    <w:p w14:paraId="5752C156">
      <w:pPr>
        <w:pStyle w:val="7"/>
        <w:spacing w:line="560" w:lineRule="exact"/>
        <w:ind w:left="0" w:leftChars="0" w:firstLine="0" w:firstLineChars="0"/>
        <w:rPr>
          <w:rFonts w:ascii="Times New Roman"/>
          <w:sz w:val="32"/>
          <w:highlight w:val="yellow"/>
          <w:lang w:val="zh-CN"/>
        </w:rPr>
      </w:pPr>
    </w:p>
    <w:p w14:paraId="6F111AF7">
      <w:pPr>
        <w:pStyle w:val="5"/>
        <w:spacing w:beforeLines="0"/>
        <w:rPr>
          <w:rFonts w:ascii="Times New Roman" w:cs="宋体"/>
          <w:color w:val="FF0000"/>
          <w:sz w:val="32"/>
          <w:szCs w:val="32"/>
          <w:highlight w:val="yellow"/>
          <w:shd w:val="clear" w:color="auto" w:fill="FFFFFF"/>
          <w:lang w:val="zh-CN"/>
        </w:rPr>
      </w:pPr>
    </w:p>
    <w:p w14:paraId="3A012ADE">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7E45B4C7">
      <w:pPr>
        <w:pStyle w:val="34"/>
        <w:keepNext w:val="0"/>
        <w:keepLines w:val="0"/>
        <w:pageBreakBefore w:val="0"/>
        <w:widowControl w:val="0"/>
        <w:kinsoku/>
        <w:wordWrap/>
        <w:overflowPunct/>
        <w:topLinePunct w:val="0"/>
        <w:autoSpaceDE/>
        <w:autoSpaceDN/>
        <w:bidi w:val="0"/>
        <w:spacing w:line="578" w:lineRule="exact"/>
        <w:ind w:left="1760" w:hanging="1440" w:hangingChars="400"/>
        <w:jc w:val="both"/>
        <w:textAlignment w:val="auto"/>
        <w:rPr>
          <w:rFonts w:hint="eastAsia" w:ascii="方正小标宋_GBK" w:hAnsi="方正小标宋_GBK" w:eastAsia="方正小标宋_GBK" w:cs="方正小标宋_GBK"/>
          <w:sz w:val="36"/>
          <w:szCs w:val="36"/>
          <w:shd w:val="clear" w:color="auto" w:fill="FFFFFF"/>
          <w:lang w:eastAsia="zh-CN"/>
        </w:rPr>
      </w:pPr>
      <w:r>
        <w:rPr>
          <w:rFonts w:hint="eastAsia" w:ascii="方正小标宋_GBK" w:hAnsi="方正小标宋_GBK" w:eastAsia="方正小标宋_GBK" w:cs="方正小标宋_GBK"/>
          <w:sz w:val="36"/>
          <w:szCs w:val="36"/>
          <w:shd w:val="clear" w:color="auto" w:fill="FFFFFF"/>
          <w:lang w:val="zh-CN"/>
        </w:rPr>
        <w:t>附件</w:t>
      </w:r>
      <w:r>
        <w:rPr>
          <w:rFonts w:hint="eastAsia" w:ascii="方正小标宋_GBK" w:hAnsi="方正小标宋_GBK" w:eastAsia="方正小标宋_GBK" w:cs="方正小标宋_GBK"/>
          <w:sz w:val="36"/>
          <w:szCs w:val="36"/>
          <w:shd w:val="clear" w:color="auto" w:fill="FFFFFF"/>
        </w:rPr>
        <w:t>2</w:t>
      </w:r>
      <w:r>
        <w:rPr>
          <w:rFonts w:hint="eastAsia" w:ascii="方正小标宋_GBK" w:hAnsi="方正小标宋_GBK" w:eastAsia="方正小标宋_GBK" w:cs="方正小标宋_GBK"/>
          <w:sz w:val="36"/>
          <w:szCs w:val="36"/>
          <w:shd w:val="clear" w:color="auto" w:fill="FFFFFF"/>
          <w:lang w:eastAsia="zh-CN"/>
        </w:rPr>
        <w:t>：</w:t>
      </w:r>
    </w:p>
    <w:p w14:paraId="46F51D91">
      <w:pPr>
        <w:pStyle w:val="34"/>
        <w:keepNext w:val="0"/>
        <w:keepLines w:val="0"/>
        <w:pageBreakBefore w:val="0"/>
        <w:widowControl w:val="0"/>
        <w:kinsoku/>
        <w:wordWrap/>
        <w:overflowPunct/>
        <w:topLinePunct w:val="0"/>
        <w:autoSpaceDE/>
        <w:autoSpaceDN/>
        <w:bidi w:val="0"/>
        <w:spacing w:line="578" w:lineRule="exact"/>
        <w:ind w:left="1760" w:hanging="1440" w:hangingChars="400"/>
        <w:jc w:val="center"/>
        <w:textAlignment w:val="auto"/>
        <w:rPr>
          <w:rFonts w:hint="eastAsia" w:ascii="方正小标宋_GBK" w:hAnsi="方正小标宋_GBK" w:eastAsia="方正小标宋_GBK" w:cs="方正小标宋_GBK"/>
          <w:color w:val="auto"/>
          <w:kern w:val="2"/>
          <w:sz w:val="36"/>
          <w:szCs w:val="36"/>
          <w:lang w:val="en-US" w:eastAsia="zh-CN"/>
        </w:rPr>
      </w:pPr>
      <w:r>
        <w:rPr>
          <w:rFonts w:hint="eastAsia" w:ascii="方正小标宋_GBK" w:hAnsi="方正小标宋_GBK" w:eastAsia="方正小标宋_GBK" w:cs="方正小标宋_GBK"/>
          <w:color w:val="auto"/>
          <w:kern w:val="2"/>
          <w:sz w:val="36"/>
          <w:szCs w:val="36"/>
          <w:lang w:val="en-US" w:eastAsia="zh-CN"/>
        </w:rPr>
        <w:t>2024年省级专项资金预算项目绩效自评报告</w:t>
      </w:r>
    </w:p>
    <w:p w14:paraId="13384490">
      <w:pPr>
        <w:pStyle w:val="34"/>
        <w:keepNext w:val="0"/>
        <w:keepLines w:val="0"/>
        <w:pageBreakBefore w:val="0"/>
        <w:widowControl w:val="0"/>
        <w:kinsoku/>
        <w:wordWrap/>
        <w:overflowPunct/>
        <w:topLinePunct w:val="0"/>
        <w:autoSpaceDE/>
        <w:autoSpaceDN/>
        <w:bidi w:val="0"/>
        <w:spacing w:line="578" w:lineRule="exact"/>
        <w:ind w:left="1760" w:hanging="1440" w:hangingChars="400"/>
        <w:jc w:val="center"/>
        <w:textAlignment w:val="auto"/>
        <w:rPr>
          <w:rFonts w:hint="eastAsia" w:ascii="方正小标宋_GBK" w:hAnsi="方正小标宋_GBK" w:eastAsia="方正小标宋_GBK" w:cs="方正小标宋_GBK"/>
          <w:color w:val="auto"/>
          <w:kern w:val="2"/>
          <w:sz w:val="36"/>
          <w:szCs w:val="36"/>
          <w:lang w:val="en-US"/>
        </w:rPr>
      </w:pPr>
      <w:r>
        <w:rPr>
          <w:rFonts w:hint="eastAsia" w:ascii="方正小标宋_GBK" w:hAnsi="方正小标宋_GBK" w:eastAsia="方正小标宋_GBK" w:cs="方正小标宋_GBK"/>
          <w:color w:val="auto"/>
          <w:kern w:val="2"/>
          <w:sz w:val="36"/>
          <w:szCs w:val="36"/>
          <w:lang w:val="en-US" w:eastAsia="zh-CN"/>
        </w:rPr>
        <w:t>（</w:t>
      </w:r>
      <w:r>
        <w:rPr>
          <w:rFonts w:hint="eastAsia" w:ascii="方正小标宋_GBK" w:hAnsi="方正小标宋_GBK" w:eastAsia="方正小标宋_GBK" w:cs="方正小标宋_GBK"/>
          <w:color w:val="auto"/>
          <w:kern w:val="2"/>
          <w:sz w:val="36"/>
          <w:szCs w:val="36"/>
          <w:lang w:val="en-US"/>
        </w:rPr>
        <w:t>县级以上离休干部、二等乙级革命伤残军人医疗费</w:t>
      </w:r>
      <w:r>
        <w:rPr>
          <w:rFonts w:hint="eastAsia" w:ascii="方正小标宋_GBK" w:hAnsi="方正小标宋_GBK" w:eastAsia="方正小标宋_GBK" w:cs="方正小标宋_GBK"/>
          <w:color w:val="auto"/>
          <w:kern w:val="2"/>
          <w:sz w:val="36"/>
          <w:szCs w:val="36"/>
          <w:lang w:val="en-US" w:eastAsia="zh-CN"/>
        </w:rPr>
        <w:t>）</w:t>
      </w:r>
    </w:p>
    <w:p w14:paraId="549E1A7C">
      <w:pPr>
        <w:adjustRightInd w:val="0"/>
        <w:snapToGrid w:val="0"/>
        <w:spacing w:line="578" w:lineRule="exact"/>
        <w:ind w:firstLine="640" w:firstLineChars="200"/>
        <w:rPr>
          <w:rFonts w:hint="eastAsia" w:ascii="Times New Roman" w:hAnsi="Times New Roman" w:eastAsia="黑体" w:cs="Times New Roman"/>
          <w:sz w:val="32"/>
          <w:szCs w:val="32"/>
          <w:lang w:val="zh-CN"/>
        </w:rPr>
      </w:pPr>
      <w:r>
        <w:rPr>
          <w:rFonts w:hint="eastAsia" w:ascii="Times New Roman" w:hAnsi="Times New Roman" w:eastAsia="黑体" w:cs="Times New Roman"/>
          <w:sz w:val="32"/>
          <w:szCs w:val="32"/>
        </w:rPr>
        <w:t>一、</w:t>
      </w:r>
      <w:r>
        <w:rPr>
          <w:rFonts w:hint="eastAsia" w:ascii="Times New Roman" w:hAnsi="Times New Roman" w:eastAsia="黑体" w:cs="Times New Roman"/>
          <w:sz w:val="32"/>
          <w:szCs w:val="32"/>
          <w:lang w:val="zh-CN"/>
        </w:rPr>
        <w:t>项目概况</w:t>
      </w:r>
    </w:p>
    <w:p w14:paraId="3E30046E">
      <w:pPr>
        <w:widowControl/>
        <w:adjustRightInd w:val="0"/>
        <w:snapToGrid w:val="0"/>
        <w:spacing w:line="578" w:lineRule="exact"/>
        <w:ind w:firstLine="643" w:firstLineChars="200"/>
        <w:contextualSpacing/>
        <w:jc w:val="left"/>
        <w:rPr>
          <w:rFonts w:hint="eastAsia" w:ascii="楷体_GB2312" w:hAnsi="宋体" w:eastAsia="楷体_GB2312"/>
          <w:b/>
          <w:sz w:val="32"/>
          <w:szCs w:val="32"/>
          <w:lang w:val="zh-CN"/>
        </w:rPr>
      </w:pPr>
      <w:r>
        <w:rPr>
          <w:rFonts w:hint="eastAsia" w:ascii="楷体_GB2312" w:hAnsi="宋体" w:eastAsia="楷体_GB2312"/>
          <w:b/>
          <w:sz w:val="32"/>
          <w:szCs w:val="32"/>
          <w:lang w:val="zh-CN"/>
        </w:rPr>
        <w:t>（</w:t>
      </w:r>
      <w:r>
        <w:rPr>
          <w:rFonts w:hint="eastAsia" w:ascii="楷体_GB2312" w:hAnsi="宋体" w:eastAsia="楷体_GB2312"/>
          <w:b/>
          <w:sz w:val="32"/>
          <w:szCs w:val="32"/>
          <w:lang w:val="en-US" w:eastAsia="zh-CN"/>
        </w:rPr>
        <w:t>一）</w:t>
      </w:r>
      <w:r>
        <w:rPr>
          <w:rFonts w:hint="eastAsia" w:ascii="楷体_GB2312" w:hAnsi="宋体" w:eastAsia="楷体_GB2312"/>
          <w:b/>
          <w:sz w:val="32"/>
          <w:szCs w:val="32"/>
          <w:lang w:val="zh-CN"/>
        </w:rPr>
        <w:t>设立背景及基本情况。</w:t>
      </w:r>
    </w:p>
    <w:p w14:paraId="2D9150F7">
      <w:pPr>
        <w:widowControl/>
        <w:adjustRightInd w:val="0"/>
        <w:snapToGrid w:val="0"/>
        <w:spacing w:line="578" w:lineRule="exact"/>
        <w:ind w:firstLine="640" w:firstLineChars="200"/>
        <w:contextualSpacing/>
        <w:jc w:val="left"/>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说明项目主管部门（单位）在该项目管理中的职能。</w:t>
      </w:r>
      <w:r>
        <w:rPr>
          <w:rFonts w:hint="eastAsia" w:ascii="仿宋_GB2312" w:hAnsi="仿宋_GB2312" w:eastAsia="仿宋_GB2312" w:cs="仿宋_GB2312"/>
          <w:color w:val="auto"/>
          <w:kern w:val="0"/>
          <w:sz w:val="32"/>
          <w:szCs w:val="32"/>
          <w:highlight w:val="none"/>
          <w:u w:val="none"/>
          <w:shd w:val="clear" w:color="auto" w:fill="FFFFFF"/>
          <w:lang w:val="en-US" w:eastAsia="zh-CN"/>
        </w:rPr>
        <w:t>攀枝花市仁和区医疗保障局对开展的项目进行前期调查、收集并整理好有关资料，制定项目目标及项目计划，把握好项目执行中的问题、风险和变化，保障项目的顺利执行。</w:t>
      </w:r>
    </w:p>
    <w:p w14:paraId="53C2C262">
      <w:pPr>
        <w:numPr>
          <w:ilvl w:val="0"/>
          <w:numId w:val="0"/>
        </w:numPr>
        <w:adjustRightInd w:val="0"/>
        <w:snapToGrid w:val="0"/>
        <w:spacing w:line="578" w:lineRule="exact"/>
        <w:ind w:left="630" w:leftChars="0"/>
        <w:rPr>
          <w:rFonts w:hint="eastAsia" w:ascii="楷体_GB2312" w:hAnsi="宋体" w:eastAsia="楷体_GB2312"/>
          <w:b/>
          <w:sz w:val="32"/>
          <w:szCs w:val="32"/>
        </w:rPr>
      </w:pPr>
      <w:r>
        <w:rPr>
          <w:rFonts w:hint="eastAsia" w:ascii="楷体_GB2312" w:hAnsi="宋体" w:eastAsia="楷体_GB2312"/>
          <w:b/>
          <w:sz w:val="32"/>
          <w:szCs w:val="32"/>
          <w:lang w:eastAsia="zh-CN"/>
        </w:rPr>
        <w:t>（</w:t>
      </w:r>
      <w:r>
        <w:rPr>
          <w:rFonts w:hint="eastAsia" w:ascii="楷体_GB2312" w:hAnsi="宋体" w:eastAsia="楷体_GB2312"/>
          <w:b/>
          <w:sz w:val="32"/>
          <w:szCs w:val="32"/>
          <w:lang w:val="en-US" w:eastAsia="zh-CN"/>
        </w:rPr>
        <w:t>二）</w:t>
      </w:r>
      <w:r>
        <w:rPr>
          <w:rFonts w:ascii="楷体_GB2312" w:hAnsi="宋体" w:eastAsia="楷体_GB2312"/>
          <w:b/>
          <w:sz w:val="32"/>
          <w:szCs w:val="32"/>
        </w:rPr>
        <w:t>实施目的及支持方向</w:t>
      </w:r>
      <w:r>
        <w:rPr>
          <w:rFonts w:hint="eastAsia" w:ascii="楷体_GB2312" w:hAnsi="宋体" w:eastAsia="楷体_GB2312"/>
          <w:b/>
          <w:sz w:val="32"/>
          <w:szCs w:val="32"/>
        </w:rPr>
        <w:t>。</w:t>
      </w:r>
    </w:p>
    <w:p w14:paraId="7B4AF3A0">
      <w:pPr>
        <w:autoSpaceDE w:val="0"/>
        <w:autoSpaceDN w:val="0"/>
        <w:adjustRightInd w:val="0"/>
        <w:spacing w:line="600" w:lineRule="exact"/>
        <w:ind w:firstLine="640" w:firstLineChars="200"/>
        <w:jc w:val="left"/>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按政策规定对2024年全区离休干部和二等乙级以上革命伤残军人、高级知识份子、县级干部等报销医疗待遇。特殊群体年龄大，医疗费用高，可控因素低，保障离休干部等特殊人员医疗待遇不受影响。</w:t>
      </w:r>
    </w:p>
    <w:p w14:paraId="595E0881">
      <w:pPr>
        <w:widowControl/>
        <w:numPr>
          <w:ilvl w:val="0"/>
          <w:numId w:val="0"/>
        </w:numPr>
        <w:adjustRightInd w:val="0"/>
        <w:snapToGrid w:val="0"/>
        <w:spacing w:line="578" w:lineRule="exact"/>
        <w:ind w:left="630" w:leftChars="0"/>
        <w:contextualSpacing/>
        <w:jc w:val="left"/>
        <w:rPr>
          <w:rFonts w:hint="eastAsia"/>
          <w:lang w:val="zh-CN"/>
        </w:rPr>
      </w:pPr>
      <w:r>
        <w:rPr>
          <w:rFonts w:hint="eastAsia" w:ascii="楷体_GB2312" w:hAnsi="宋体" w:eastAsia="楷体_GB2312"/>
          <w:b/>
          <w:sz w:val="32"/>
          <w:szCs w:val="32"/>
          <w:lang w:eastAsia="zh-CN"/>
        </w:rPr>
        <w:t>（</w:t>
      </w:r>
      <w:r>
        <w:rPr>
          <w:rFonts w:hint="eastAsia" w:ascii="楷体_GB2312" w:hAnsi="宋体" w:eastAsia="楷体_GB2312"/>
          <w:b/>
          <w:sz w:val="32"/>
          <w:szCs w:val="32"/>
          <w:lang w:val="en-US" w:eastAsia="zh-CN"/>
        </w:rPr>
        <w:t>三）</w:t>
      </w:r>
      <w:r>
        <w:rPr>
          <w:rFonts w:ascii="楷体_GB2312" w:hAnsi="宋体" w:eastAsia="楷体_GB2312"/>
          <w:b/>
          <w:sz w:val="32"/>
          <w:szCs w:val="32"/>
        </w:rPr>
        <w:t>预算安排及分配管理</w:t>
      </w:r>
      <w:r>
        <w:rPr>
          <w:rFonts w:hint="eastAsia" w:ascii="楷体_GB2312" w:hAnsi="宋体" w:eastAsia="楷体_GB2312"/>
          <w:b/>
          <w:sz w:val="32"/>
          <w:szCs w:val="32"/>
          <w:lang w:val="zh-CN"/>
        </w:rPr>
        <w:t>。</w:t>
      </w:r>
    </w:p>
    <w:p w14:paraId="1D0053C2">
      <w:pPr>
        <w:autoSpaceDE w:val="0"/>
        <w:autoSpaceDN w:val="0"/>
        <w:adjustRightInd w:val="0"/>
        <w:spacing w:line="600" w:lineRule="exact"/>
        <w:ind w:firstLine="640" w:firstLineChars="200"/>
        <w:jc w:val="left"/>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default" w:ascii="仿宋_GB2312" w:hAnsi="仿宋_GB2312" w:eastAsia="仿宋_GB2312" w:cs="仿宋_GB2312"/>
          <w:color w:val="auto"/>
          <w:kern w:val="0"/>
          <w:sz w:val="32"/>
          <w:szCs w:val="32"/>
          <w:highlight w:val="none"/>
          <w:u w:val="none"/>
          <w:shd w:val="clear" w:color="auto" w:fill="FFFFFF"/>
          <w:lang w:val="zh-CN" w:eastAsia="zh-CN"/>
        </w:rPr>
        <w:t>拟定项目资金申请方案，编制</w:t>
      </w:r>
      <w:r>
        <w:rPr>
          <w:rFonts w:hint="eastAsia" w:ascii="仿宋_GB2312" w:hAnsi="仿宋_GB2312" w:eastAsia="仿宋_GB2312" w:cs="仿宋_GB2312"/>
          <w:color w:val="auto"/>
          <w:kern w:val="0"/>
          <w:sz w:val="32"/>
          <w:szCs w:val="32"/>
          <w:highlight w:val="none"/>
          <w:u w:val="none"/>
          <w:shd w:val="clear" w:color="auto" w:fill="FFFFFF"/>
          <w:lang w:val="zh-CN" w:eastAsia="zh-CN"/>
        </w:rPr>
        <w:t>项目</w:t>
      </w:r>
      <w:r>
        <w:rPr>
          <w:rFonts w:hint="default" w:ascii="仿宋_GB2312" w:hAnsi="仿宋_GB2312" w:eastAsia="仿宋_GB2312" w:cs="仿宋_GB2312"/>
          <w:color w:val="auto"/>
          <w:kern w:val="0"/>
          <w:sz w:val="32"/>
          <w:szCs w:val="32"/>
          <w:highlight w:val="none"/>
          <w:u w:val="none"/>
          <w:shd w:val="clear" w:color="auto" w:fill="FFFFFF"/>
          <w:lang w:val="zh-CN" w:eastAsia="zh-CN"/>
        </w:rPr>
        <w:t>绩效目标</w:t>
      </w:r>
      <w:r>
        <w:rPr>
          <w:rFonts w:hint="eastAsia" w:ascii="仿宋_GB2312" w:hAnsi="仿宋_GB2312" w:eastAsia="仿宋_GB2312" w:cs="仿宋_GB2312"/>
          <w:color w:val="auto"/>
          <w:kern w:val="0"/>
          <w:sz w:val="32"/>
          <w:szCs w:val="32"/>
          <w:highlight w:val="none"/>
          <w:u w:val="none"/>
          <w:shd w:val="clear" w:color="auto" w:fill="FFFFFF"/>
          <w:lang w:val="zh-CN" w:eastAsia="zh-CN"/>
        </w:rPr>
        <w:t>，</w:t>
      </w:r>
      <w:r>
        <w:rPr>
          <w:rFonts w:hint="default" w:ascii="仿宋_GB2312" w:hAnsi="仿宋_GB2312" w:eastAsia="仿宋_GB2312" w:cs="仿宋_GB2312"/>
          <w:color w:val="auto"/>
          <w:kern w:val="0"/>
          <w:sz w:val="32"/>
          <w:szCs w:val="32"/>
          <w:highlight w:val="none"/>
          <w:u w:val="none"/>
          <w:shd w:val="clear" w:color="auto" w:fill="FFFFFF"/>
          <w:lang w:val="zh-CN" w:eastAsia="zh-CN"/>
        </w:rPr>
        <w:t>报财政部门审批，经财政批复后下达项目</w:t>
      </w:r>
      <w:r>
        <w:rPr>
          <w:rFonts w:hint="eastAsia" w:ascii="仿宋_GB2312" w:hAnsi="仿宋_GB2312" w:eastAsia="仿宋_GB2312" w:cs="仿宋_GB2312"/>
          <w:color w:val="auto"/>
          <w:kern w:val="0"/>
          <w:sz w:val="32"/>
          <w:szCs w:val="32"/>
          <w:highlight w:val="none"/>
          <w:u w:val="none"/>
          <w:shd w:val="clear" w:color="auto" w:fill="FFFFFF"/>
          <w:lang w:val="zh-CN" w:eastAsia="zh-CN"/>
        </w:rPr>
        <w:t>通知，于</w:t>
      </w:r>
      <w:r>
        <w:rPr>
          <w:rFonts w:hint="eastAsia" w:ascii="仿宋_GB2312" w:hAnsi="仿宋_GB2312" w:eastAsia="仿宋_GB2312" w:cs="仿宋_GB2312"/>
          <w:color w:val="auto"/>
          <w:kern w:val="0"/>
          <w:sz w:val="32"/>
          <w:szCs w:val="32"/>
          <w:highlight w:val="none"/>
          <w:u w:val="none"/>
          <w:shd w:val="clear" w:color="auto" w:fill="FFFFFF"/>
          <w:lang w:val="en-US" w:eastAsia="zh-CN"/>
        </w:rPr>
        <w:t>2024年1月下专项经费40万元。</w:t>
      </w:r>
    </w:p>
    <w:p w14:paraId="07693495">
      <w:pPr>
        <w:numPr>
          <w:ilvl w:val="0"/>
          <w:numId w:val="0"/>
        </w:numPr>
        <w:adjustRightInd w:val="0"/>
        <w:snapToGrid w:val="0"/>
        <w:spacing w:line="578" w:lineRule="exact"/>
        <w:ind w:left="630" w:leftChars="0"/>
        <w:rPr>
          <w:rFonts w:hint="eastAsia" w:ascii="楷体_GB2312" w:hAnsi="宋体" w:eastAsia="楷体_GB2312"/>
          <w:b/>
          <w:sz w:val="32"/>
          <w:szCs w:val="32"/>
          <w:lang w:val="zh-CN"/>
        </w:rPr>
      </w:pPr>
      <w:r>
        <w:rPr>
          <w:rFonts w:hint="eastAsia" w:ascii="楷体_GB2312" w:hAnsi="宋体" w:eastAsia="楷体_GB2312"/>
          <w:b/>
          <w:sz w:val="32"/>
          <w:szCs w:val="32"/>
          <w:lang w:val="zh-CN"/>
        </w:rPr>
        <w:t>（</w:t>
      </w:r>
      <w:r>
        <w:rPr>
          <w:rFonts w:hint="eastAsia" w:ascii="楷体_GB2312" w:hAnsi="宋体" w:eastAsia="楷体_GB2312"/>
          <w:b/>
          <w:sz w:val="32"/>
          <w:szCs w:val="32"/>
          <w:lang w:val="en-US" w:eastAsia="zh-CN"/>
        </w:rPr>
        <w:t>四）</w:t>
      </w:r>
      <w:r>
        <w:rPr>
          <w:rFonts w:hint="eastAsia" w:ascii="楷体_GB2312" w:hAnsi="宋体" w:eastAsia="楷体_GB2312"/>
          <w:b/>
          <w:sz w:val="32"/>
          <w:szCs w:val="32"/>
          <w:lang w:val="zh-CN"/>
        </w:rPr>
        <w:t>项目绩效目标设置。</w:t>
      </w:r>
    </w:p>
    <w:p w14:paraId="7C938388">
      <w:pPr>
        <w:autoSpaceDE w:val="0"/>
        <w:autoSpaceDN w:val="0"/>
        <w:adjustRightInd w:val="0"/>
        <w:spacing w:line="600" w:lineRule="exact"/>
        <w:ind w:firstLine="640" w:firstLineChars="200"/>
        <w:jc w:val="left"/>
        <w:rPr>
          <w:lang w:val="zh-CN"/>
        </w:rPr>
      </w:pPr>
      <w:r>
        <w:rPr>
          <w:rFonts w:hint="default" w:ascii="仿宋_GB2312" w:hAnsi="仿宋_GB2312" w:eastAsia="仿宋_GB2312" w:cs="仿宋_GB2312"/>
          <w:color w:val="auto"/>
          <w:kern w:val="0"/>
          <w:sz w:val="32"/>
          <w:szCs w:val="32"/>
          <w:highlight w:val="none"/>
          <w:u w:val="none"/>
          <w:shd w:val="clear" w:color="auto" w:fill="FFFFFF"/>
          <w:lang w:val="zh-CN" w:eastAsia="zh-CN"/>
        </w:rPr>
        <w:t>我</w:t>
      </w:r>
      <w:r>
        <w:rPr>
          <w:rFonts w:hint="eastAsia" w:ascii="仿宋_GB2312" w:hAnsi="仿宋_GB2312" w:eastAsia="仿宋_GB2312" w:cs="仿宋_GB2312"/>
          <w:color w:val="auto"/>
          <w:kern w:val="0"/>
          <w:sz w:val="32"/>
          <w:szCs w:val="32"/>
          <w:highlight w:val="none"/>
          <w:u w:val="none"/>
          <w:shd w:val="clear" w:color="auto" w:fill="FFFFFF"/>
          <w:lang w:val="en-US" w:eastAsia="zh-CN"/>
        </w:rPr>
        <w:t>局</w:t>
      </w:r>
      <w:r>
        <w:rPr>
          <w:rFonts w:hint="default" w:ascii="仿宋_GB2312" w:hAnsi="仿宋_GB2312" w:eastAsia="仿宋_GB2312" w:cs="仿宋_GB2312"/>
          <w:color w:val="auto"/>
          <w:kern w:val="0"/>
          <w:sz w:val="32"/>
          <w:szCs w:val="32"/>
          <w:highlight w:val="none"/>
          <w:u w:val="none"/>
          <w:shd w:val="clear" w:color="auto" w:fill="FFFFFF"/>
          <w:lang w:val="zh-CN" w:eastAsia="zh-CN"/>
        </w:rPr>
        <w:t>对</w:t>
      </w:r>
      <w:r>
        <w:rPr>
          <w:rFonts w:hint="eastAsia" w:ascii="仿宋_GB2312" w:hAnsi="仿宋_GB2312" w:eastAsia="仿宋_GB2312" w:cs="仿宋_GB2312"/>
          <w:color w:val="auto"/>
          <w:kern w:val="0"/>
          <w:sz w:val="32"/>
          <w:szCs w:val="32"/>
          <w:highlight w:val="none"/>
          <w:u w:val="none"/>
          <w:shd w:val="clear" w:color="auto" w:fill="FFFFFF"/>
          <w:lang w:val="zh-CN" w:eastAsia="zh-CN"/>
        </w:rPr>
        <w:t>县级以上离休干部、二等乙级革命伤残军人医疗费</w:t>
      </w:r>
      <w:r>
        <w:rPr>
          <w:rFonts w:hint="eastAsia" w:ascii="仿宋_GB2312" w:hAnsi="仿宋_GB2312" w:eastAsia="仿宋_GB2312" w:cs="仿宋_GB2312"/>
          <w:color w:val="auto"/>
          <w:kern w:val="0"/>
          <w:sz w:val="32"/>
          <w:szCs w:val="32"/>
          <w:highlight w:val="none"/>
          <w:u w:val="none"/>
          <w:shd w:val="clear" w:color="auto" w:fill="FFFFFF"/>
          <w:lang w:val="en-US" w:eastAsia="zh-CN"/>
        </w:rPr>
        <w:t>专项</w:t>
      </w:r>
      <w:r>
        <w:rPr>
          <w:rFonts w:hint="default" w:ascii="仿宋_GB2312" w:hAnsi="仿宋_GB2312" w:eastAsia="仿宋_GB2312" w:cs="仿宋_GB2312"/>
          <w:color w:val="auto"/>
          <w:kern w:val="0"/>
          <w:sz w:val="32"/>
          <w:szCs w:val="32"/>
          <w:highlight w:val="none"/>
          <w:u w:val="none"/>
          <w:shd w:val="clear" w:color="auto" w:fill="FFFFFF"/>
          <w:lang w:val="zh-CN" w:eastAsia="zh-CN"/>
        </w:rPr>
        <w:t>编制了项目绩效目标，分别细化数量指标、时效指标、成本指标、质量指标、社会效益指标和满意度指标等绩效目标</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p>
    <w:p w14:paraId="4354F5F5">
      <w:pPr>
        <w:adjustRightInd w:val="0"/>
        <w:snapToGrid w:val="0"/>
        <w:spacing w:line="578" w:lineRule="exact"/>
        <w:ind w:firstLine="640" w:firstLineChars="200"/>
        <w:rPr>
          <w:rFonts w:hint="eastAsia" w:ascii="黑体" w:hAnsi="宋体" w:eastAsia="黑体"/>
          <w:sz w:val="32"/>
          <w:szCs w:val="32"/>
        </w:rPr>
      </w:pPr>
      <w:r>
        <w:rPr>
          <w:rFonts w:hint="eastAsia" w:ascii="黑体" w:hAnsi="宋体" w:eastAsia="黑体"/>
          <w:sz w:val="32"/>
          <w:szCs w:val="32"/>
        </w:rPr>
        <w:t>二、评价实施</w:t>
      </w:r>
    </w:p>
    <w:p w14:paraId="0441A280">
      <w:pPr>
        <w:spacing w:line="578" w:lineRule="exact"/>
        <w:ind w:firstLine="640"/>
        <w:rPr>
          <w:rFonts w:hint="eastAsia" w:ascii="楷体_GB2312" w:hAnsi="宋体" w:eastAsia="楷体_GB2312"/>
          <w:b/>
          <w:sz w:val="32"/>
          <w:szCs w:val="32"/>
          <w:lang w:val="zh-CN"/>
        </w:rPr>
      </w:pPr>
      <w:r>
        <w:rPr>
          <w:rFonts w:hint="eastAsia" w:ascii="楷体_GB2312" w:hAnsi="宋体" w:eastAsia="楷体_GB2312"/>
          <w:b/>
          <w:sz w:val="32"/>
          <w:szCs w:val="32"/>
          <w:lang w:val="zh-CN"/>
        </w:rPr>
        <w:t>（</w:t>
      </w:r>
      <w:r>
        <w:rPr>
          <w:rFonts w:hint="eastAsia" w:ascii="楷体_GB2312" w:hAnsi="宋体" w:eastAsia="楷体_GB2312"/>
          <w:b/>
          <w:sz w:val="32"/>
          <w:szCs w:val="32"/>
          <w:lang w:val="en-US" w:eastAsia="zh-CN"/>
        </w:rPr>
        <w:t>一）</w:t>
      </w:r>
      <w:r>
        <w:rPr>
          <w:rFonts w:hint="eastAsia" w:ascii="楷体_GB2312" w:hAnsi="宋体" w:eastAsia="楷体_GB2312"/>
          <w:b/>
          <w:sz w:val="32"/>
          <w:szCs w:val="32"/>
          <w:lang w:val="zh-CN"/>
        </w:rPr>
        <w:t>评价目的。</w:t>
      </w:r>
    </w:p>
    <w:p w14:paraId="0325BE20">
      <w:pPr>
        <w:autoSpaceDE w:val="0"/>
        <w:autoSpaceDN w:val="0"/>
        <w:adjustRightInd w:val="0"/>
        <w:spacing w:line="600" w:lineRule="exact"/>
        <w:ind w:firstLine="640" w:firstLineChars="200"/>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通过项目绩效自评</w:t>
      </w:r>
      <w:r>
        <w:rPr>
          <w:rFonts w:hint="eastAsia" w:ascii="仿宋_GB2312" w:hAnsi="仿宋_GB2312" w:eastAsia="仿宋_GB2312" w:cs="仿宋_GB2312"/>
          <w:color w:val="auto"/>
          <w:kern w:val="0"/>
          <w:sz w:val="32"/>
          <w:szCs w:val="32"/>
          <w:highlight w:val="none"/>
          <w:u w:val="none"/>
          <w:shd w:val="clear" w:color="auto" w:fill="FFFFFF"/>
          <w:lang w:val="en-US" w:eastAsia="zh-CN"/>
        </w:rPr>
        <w:t>按照相关人群实际发生的门诊费、住院费及床位费进行补助、报销。保证专款专用。</w:t>
      </w:r>
    </w:p>
    <w:p w14:paraId="37BDCA5D">
      <w:pPr>
        <w:numPr>
          <w:ilvl w:val="0"/>
          <w:numId w:val="0"/>
        </w:numPr>
        <w:adjustRightInd w:val="0"/>
        <w:snapToGrid w:val="0"/>
        <w:spacing w:line="578" w:lineRule="exact"/>
        <w:ind w:leftChars="200"/>
        <w:rPr>
          <w:rFonts w:hint="eastAsia" w:ascii="楷体_GB2312" w:hAnsi="宋体" w:eastAsia="楷体_GB2312"/>
          <w:b/>
          <w:sz w:val="32"/>
          <w:szCs w:val="32"/>
          <w:lang w:val="zh-CN"/>
        </w:rPr>
      </w:pPr>
      <w:r>
        <w:rPr>
          <w:rFonts w:hint="eastAsia" w:ascii="楷体_GB2312" w:hAnsi="宋体" w:eastAsia="楷体_GB2312"/>
          <w:b/>
          <w:sz w:val="32"/>
          <w:szCs w:val="32"/>
          <w:lang w:val="zh-CN"/>
        </w:rPr>
        <w:t>（</w:t>
      </w:r>
      <w:r>
        <w:rPr>
          <w:rFonts w:hint="eastAsia" w:ascii="楷体_GB2312" w:hAnsi="宋体" w:eastAsia="楷体_GB2312"/>
          <w:b/>
          <w:sz w:val="32"/>
          <w:szCs w:val="32"/>
          <w:lang w:val="en-US" w:eastAsia="zh-CN"/>
        </w:rPr>
        <w:t>二）</w:t>
      </w:r>
      <w:r>
        <w:rPr>
          <w:rFonts w:hint="eastAsia" w:ascii="楷体_GB2312" w:hAnsi="宋体" w:eastAsia="楷体_GB2312"/>
          <w:b/>
          <w:sz w:val="32"/>
          <w:szCs w:val="32"/>
          <w:lang w:val="zh-CN"/>
        </w:rPr>
        <w:t>预设问题及评价重点。</w:t>
      </w:r>
    </w:p>
    <w:p w14:paraId="05A78A89">
      <w:pPr>
        <w:pStyle w:val="34"/>
        <w:keepNext w:val="0"/>
        <w:keepLines w:val="0"/>
        <w:pageBreakBefore w:val="0"/>
        <w:widowControl w:val="0"/>
        <w:kinsoku/>
        <w:wordWrap/>
        <w:overflowPunct/>
        <w:topLinePunct w:val="0"/>
        <w:bidi w:val="0"/>
        <w:spacing w:line="560" w:lineRule="exact"/>
        <w:ind w:firstLine="640" w:firstLineChars="200"/>
        <w:jc w:val="left"/>
        <w:rPr>
          <w:rFonts w:hint="default" w:ascii="仿宋_GB2312" w:hAnsi="仿宋_GB2312" w:eastAsia="仿宋_GB2312" w:cs="仿宋_GB2312"/>
          <w:color w:val="auto"/>
          <w:kern w:val="0"/>
          <w:sz w:val="32"/>
          <w:szCs w:val="32"/>
          <w:lang w:val="en-US" w:eastAsia="zh-CN" w:bidi="ar-SA"/>
        </w:rPr>
      </w:pPr>
      <w:r>
        <w:rPr>
          <w:rFonts w:hint="default" w:ascii="仿宋_GB2312" w:hAnsi="仿宋_GB2312" w:eastAsia="仿宋_GB2312" w:cs="仿宋_GB2312"/>
          <w:color w:val="auto"/>
          <w:kern w:val="0"/>
          <w:sz w:val="32"/>
          <w:szCs w:val="32"/>
          <w:lang w:val="en-US" w:eastAsia="zh-CN" w:bidi="ar-SA"/>
        </w:rPr>
        <w:t>截止202</w:t>
      </w:r>
      <w:r>
        <w:rPr>
          <w:rFonts w:hint="eastAsia" w:ascii="仿宋_GB2312" w:hAnsi="仿宋_GB2312" w:eastAsia="仿宋_GB2312" w:cs="仿宋_GB2312"/>
          <w:color w:val="auto"/>
          <w:kern w:val="0"/>
          <w:sz w:val="32"/>
          <w:szCs w:val="32"/>
          <w:lang w:val="en-US" w:eastAsia="zh-CN" w:bidi="ar-SA"/>
        </w:rPr>
        <w:t>4</w:t>
      </w:r>
      <w:r>
        <w:rPr>
          <w:rFonts w:hint="default" w:ascii="仿宋_GB2312" w:hAnsi="仿宋_GB2312" w:eastAsia="仿宋_GB2312" w:cs="仿宋_GB2312"/>
          <w:color w:val="auto"/>
          <w:kern w:val="0"/>
          <w:sz w:val="32"/>
          <w:szCs w:val="32"/>
          <w:lang w:val="en-US" w:eastAsia="zh-CN" w:bidi="ar-SA"/>
        </w:rPr>
        <w:t>年12月底，</w:t>
      </w:r>
      <w:r>
        <w:rPr>
          <w:rFonts w:hint="eastAsia" w:ascii="仿宋_GB2312" w:hAnsi="仿宋_GB2312" w:eastAsia="仿宋_GB2312" w:cs="仿宋_GB2312"/>
          <w:color w:val="auto"/>
          <w:kern w:val="0"/>
          <w:sz w:val="32"/>
          <w:szCs w:val="32"/>
          <w:lang w:val="en-US" w:eastAsia="zh-CN" w:bidi="ar-SA"/>
        </w:rPr>
        <w:t>县级以上离休干部、二等乙级革命伤残军人医疗费40</w:t>
      </w:r>
      <w:r>
        <w:rPr>
          <w:rFonts w:hint="default" w:ascii="仿宋_GB2312" w:hAnsi="仿宋_GB2312" w:eastAsia="仿宋_GB2312" w:cs="仿宋_GB2312"/>
          <w:color w:val="auto"/>
          <w:kern w:val="0"/>
          <w:sz w:val="32"/>
          <w:szCs w:val="32"/>
          <w:lang w:val="en-US" w:eastAsia="zh-CN" w:bidi="ar-SA"/>
        </w:rPr>
        <w:t>万元，资金拨付率</w:t>
      </w:r>
      <w:r>
        <w:rPr>
          <w:rFonts w:hint="eastAsia" w:ascii="仿宋_GB2312" w:hAnsi="仿宋_GB2312" w:eastAsia="仿宋_GB2312" w:cs="仿宋_GB2312"/>
          <w:color w:val="auto"/>
          <w:kern w:val="0"/>
          <w:sz w:val="32"/>
          <w:szCs w:val="32"/>
          <w:lang w:val="en-US" w:eastAsia="zh-CN" w:bidi="ar-SA"/>
        </w:rPr>
        <w:t>100</w:t>
      </w:r>
      <w:r>
        <w:rPr>
          <w:rFonts w:hint="default" w:ascii="仿宋_GB2312" w:hAnsi="仿宋_GB2312" w:eastAsia="仿宋_GB2312" w:cs="仿宋_GB2312"/>
          <w:color w:val="auto"/>
          <w:kern w:val="0"/>
          <w:sz w:val="32"/>
          <w:szCs w:val="32"/>
          <w:lang w:val="en-US" w:eastAsia="zh-CN" w:bidi="ar-SA"/>
        </w:rPr>
        <w:t>%，严格按照资金使用管理要求，资金支付范围、标准、进度等合规合法，符合预算要求，未发现违纪违法问题。</w:t>
      </w:r>
    </w:p>
    <w:p w14:paraId="3FDB1FF8">
      <w:pPr>
        <w:adjustRightInd w:val="0"/>
        <w:snapToGrid w:val="0"/>
        <w:spacing w:line="578"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w:t>
      </w:r>
      <w:r>
        <w:rPr>
          <w:rFonts w:hint="eastAsia" w:ascii="楷体_GB2312" w:hAnsi="宋体" w:eastAsia="楷体_GB2312"/>
          <w:b/>
          <w:sz w:val="32"/>
          <w:szCs w:val="32"/>
          <w:lang w:val="en-US" w:eastAsia="zh-CN"/>
        </w:rPr>
        <w:t>三）</w:t>
      </w:r>
      <w:r>
        <w:rPr>
          <w:rFonts w:hint="eastAsia" w:ascii="楷体_GB2312" w:hAnsi="宋体" w:eastAsia="楷体_GB2312"/>
          <w:b/>
          <w:sz w:val="32"/>
          <w:szCs w:val="32"/>
          <w:lang w:val="zh-CN"/>
        </w:rPr>
        <w:t>评价选点。</w:t>
      </w:r>
    </w:p>
    <w:p w14:paraId="6C426059">
      <w:pPr>
        <w:pStyle w:val="5"/>
        <w:ind w:firstLine="640" w:firstLineChars="200"/>
        <w:rPr>
          <w:rFonts w:hint="eastAsia"/>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跟踪改进计划的实施，确保改进措施能够有效提高项目质量</w:t>
      </w:r>
      <w:r>
        <w:rPr>
          <w:rFonts w:hint="eastAsia" w:hAnsi="仿宋_GB2312" w:cs="仿宋_GB2312"/>
          <w:color w:val="auto"/>
          <w:kern w:val="0"/>
          <w:sz w:val="32"/>
          <w:szCs w:val="32"/>
          <w:highlight w:val="none"/>
          <w:u w:val="none"/>
          <w:shd w:val="clear" w:color="auto" w:fill="FFFFFF"/>
          <w:lang w:val="en-US" w:eastAsia="zh-CN"/>
        </w:rPr>
        <w:t>。</w:t>
      </w:r>
    </w:p>
    <w:p w14:paraId="38EB0A83">
      <w:pPr>
        <w:spacing w:line="578" w:lineRule="exact"/>
        <w:ind w:firstLine="640"/>
        <w:rPr>
          <w:rFonts w:hint="eastAsia" w:ascii="楷体_GB2312" w:hAnsi="宋体" w:eastAsia="楷体_GB2312"/>
          <w:b/>
          <w:sz w:val="32"/>
          <w:szCs w:val="32"/>
          <w:lang w:val="zh-CN"/>
        </w:rPr>
      </w:pPr>
      <w:r>
        <w:rPr>
          <w:rFonts w:hint="eastAsia" w:ascii="楷体_GB2312" w:hAnsi="宋体" w:eastAsia="楷体_GB2312"/>
          <w:b/>
          <w:sz w:val="32"/>
          <w:szCs w:val="32"/>
          <w:lang w:val="zh-CN"/>
        </w:rPr>
        <w:t>（</w:t>
      </w:r>
      <w:r>
        <w:rPr>
          <w:rFonts w:hint="eastAsia" w:ascii="楷体_GB2312" w:hAnsi="宋体" w:eastAsia="楷体_GB2312"/>
          <w:b/>
          <w:sz w:val="32"/>
          <w:szCs w:val="32"/>
          <w:lang w:val="en-US" w:eastAsia="zh-CN"/>
        </w:rPr>
        <w:t>四）</w:t>
      </w:r>
      <w:r>
        <w:rPr>
          <w:rFonts w:hint="eastAsia" w:ascii="楷体_GB2312" w:hAnsi="宋体" w:eastAsia="楷体_GB2312"/>
          <w:b/>
          <w:sz w:val="32"/>
          <w:szCs w:val="32"/>
          <w:lang w:val="zh-CN"/>
        </w:rPr>
        <w:t>评价方法。</w:t>
      </w:r>
    </w:p>
    <w:p w14:paraId="05879C81">
      <w:pPr>
        <w:pStyle w:val="5"/>
        <w:rPr>
          <w:rFonts w:hint="default" w:eastAsia="楷体_GB2312"/>
          <w:lang w:val="en-US" w:eastAsia="zh-CN"/>
        </w:rPr>
      </w:pPr>
      <w:r>
        <w:rPr>
          <w:rFonts w:hint="eastAsia" w:ascii="楷体_GB2312" w:hAnsi="宋体" w:eastAsia="楷体_GB2312"/>
          <w:b/>
          <w:sz w:val="32"/>
          <w:szCs w:val="32"/>
          <w:lang w:val="en-US" w:eastAsia="zh-CN"/>
        </w:rPr>
        <w:t xml:space="preserve">   </w:t>
      </w:r>
      <w:r>
        <w:rPr>
          <w:rFonts w:hint="eastAsia" w:ascii="仿宋_GB2312" w:hAnsi="仿宋_GB2312" w:eastAsia="仿宋_GB2312" w:cs="仿宋_GB2312"/>
          <w:color w:val="auto"/>
          <w:kern w:val="0"/>
          <w:sz w:val="32"/>
          <w:szCs w:val="32"/>
          <w:highlight w:val="none"/>
          <w:u w:val="none"/>
          <w:shd w:val="clear" w:color="auto" w:fill="FFFFFF"/>
          <w:lang w:val="en-US" w:eastAsia="zh-CN"/>
        </w:rPr>
        <w:t>1.明确自评目的：明确自评的目的。2.收集信息：收集项目相关信息，包括项目计划、项目进度、项目问题等。3.评估项目进度：根据项目计划和实际进度进行比较，评估项目是否按时完成</w:t>
      </w:r>
      <w:r>
        <w:rPr>
          <w:rFonts w:hint="eastAsia" w:ascii="仿宋_GB2312" w:hAnsi="仿宋_GB2312" w:eastAsia="仿宋_GB2312" w:cs="仿宋_GB2312"/>
          <w:color w:val="auto"/>
          <w:kern w:val="0"/>
          <w:sz w:val="32"/>
          <w:szCs w:val="32"/>
          <w:highlight w:val="none"/>
          <w:u w:val="none"/>
          <w:shd w:val="clear" w:color="auto" w:fill="FFFFFF"/>
          <w:lang w:val="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4.评估项目质量：根据项目成果和项目要求进行比较，评估项目是否按时完成。5.评估项目风险：根据项目进程中出现的问题进行评估，评估项目未来可能出现的风险。6.制定改进计划：根据自评结果制定改进计划，确保项目能够顺利完成。7.跟踪实施：跟踪改进计划的实施，确保改进措施能够有效提高项目质量。8.总结评估：总结自评过程和结果，为今后的项目管理做出参考。</w:t>
      </w:r>
    </w:p>
    <w:p w14:paraId="0299ECB7">
      <w:pPr>
        <w:spacing w:line="578" w:lineRule="exact"/>
        <w:ind w:firstLine="640"/>
        <w:rPr>
          <w:rFonts w:hint="eastAsia" w:ascii="楷体_GB2312" w:hAnsi="宋体" w:eastAsia="楷体_GB2312"/>
          <w:b/>
          <w:sz w:val="32"/>
          <w:szCs w:val="32"/>
          <w:lang w:val="zh-CN"/>
        </w:rPr>
      </w:pPr>
      <w:r>
        <w:rPr>
          <w:rFonts w:hint="eastAsia" w:ascii="楷体_GB2312" w:hAnsi="宋体" w:eastAsia="楷体_GB2312"/>
          <w:b/>
          <w:sz w:val="32"/>
          <w:szCs w:val="32"/>
          <w:lang w:val="zh-CN"/>
        </w:rPr>
        <w:t>（五）评价组织。</w:t>
      </w:r>
    </w:p>
    <w:p w14:paraId="3894402D">
      <w:pPr>
        <w:ind w:firstLine="640" w:firstLineChars="200"/>
        <w:rPr>
          <w:rFonts w:hint="eastAsia"/>
        </w:rPr>
      </w:pPr>
      <w:r>
        <w:rPr>
          <w:rFonts w:hint="eastAsia" w:ascii="仿宋_GB2312" w:hAnsi="仿宋_GB2312" w:eastAsia="仿宋_GB2312" w:cs="仿宋_GB2312"/>
          <w:b w:val="0"/>
          <w:bCs w:val="0"/>
          <w:color w:val="auto"/>
          <w:kern w:val="0"/>
          <w:position w:val="0"/>
          <w:sz w:val="32"/>
          <w:szCs w:val="32"/>
          <w:highlight w:val="none"/>
          <w:lang w:val="zh-CN" w:eastAsia="zh-CN" w:bidi="ar-SA"/>
        </w:rPr>
        <w:t>成立</w:t>
      </w:r>
      <w:r>
        <w:rPr>
          <w:rFonts w:hint="eastAsia" w:ascii="仿宋_GB2312" w:hAnsi="仿宋_GB2312" w:eastAsia="仿宋_GB2312" w:cs="仿宋_GB2312"/>
          <w:b w:val="0"/>
          <w:bCs w:val="0"/>
          <w:color w:val="auto"/>
          <w:kern w:val="0"/>
          <w:position w:val="0"/>
          <w:sz w:val="32"/>
          <w:szCs w:val="32"/>
          <w:highlight w:val="none"/>
          <w:lang w:val="en-US" w:eastAsia="zh-CN" w:bidi="ar-SA"/>
        </w:rPr>
        <w:t>攀枝花市仁和区医疗保障局</w:t>
      </w:r>
      <w:r>
        <w:rPr>
          <w:rFonts w:hint="eastAsia" w:ascii="仿宋_GB2312" w:hAnsi="仿宋_GB2312" w:eastAsia="仿宋_GB2312" w:cs="仿宋_GB2312"/>
          <w:b w:val="0"/>
          <w:bCs w:val="0"/>
          <w:color w:val="auto"/>
          <w:kern w:val="0"/>
          <w:position w:val="0"/>
          <w:sz w:val="32"/>
          <w:szCs w:val="32"/>
          <w:highlight w:val="none"/>
          <w:lang w:val="zh-CN" w:eastAsia="zh-CN" w:bidi="ar-SA"/>
        </w:rPr>
        <w:t>项目绩效评价领导小组，</w:t>
      </w:r>
      <w:r>
        <w:rPr>
          <w:rFonts w:hint="default" w:ascii="仿宋_GB2312" w:eastAsia="仿宋_GB2312"/>
          <w:sz w:val="32"/>
          <w:szCs w:val="32"/>
          <w:lang w:val="en-US" w:eastAsia="zh-CN"/>
        </w:rPr>
        <w:t>由</w:t>
      </w:r>
      <w:r>
        <w:rPr>
          <w:rFonts w:hint="eastAsia" w:ascii="仿宋_GB2312" w:eastAsia="仿宋_GB2312"/>
          <w:sz w:val="32"/>
          <w:szCs w:val="32"/>
          <w:lang w:val="en-US" w:eastAsia="zh-CN"/>
        </w:rPr>
        <w:t>局长黄万方担任组长，副局长金学全担任副组长，马燕、苏雪梅为成员，明确责任分工，确保工作落到实处。</w:t>
      </w:r>
    </w:p>
    <w:p w14:paraId="35C0A5B6">
      <w:pPr>
        <w:numPr>
          <w:ilvl w:val="0"/>
          <w:numId w:val="0"/>
        </w:numPr>
        <w:adjustRightInd w:val="0"/>
        <w:snapToGrid w:val="0"/>
        <w:spacing w:line="578" w:lineRule="exact"/>
        <w:ind w:leftChars="200" w:firstLine="320" w:firstLineChars="100"/>
        <w:rPr>
          <w:rFonts w:hint="eastAsia" w:ascii="仿宋_GB2312" w:hAnsi="宋体"/>
          <w:sz w:val="32"/>
          <w:szCs w:val="32"/>
          <w:lang w:val="zh-CN"/>
        </w:rPr>
      </w:pPr>
      <w:r>
        <w:rPr>
          <w:rFonts w:hint="eastAsia" w:ascii="黑体" w:hAnsi="宋体" w:eastAsia="黑体"/>
          <w:sz w:val="32"/>
          <w:szCs w:val="32"/>
          <w:lang w:val="en-US" w:eastAsia="zh-CN"/>
        </w:rPr>
        <w:t>三、</w:t>
      </w:r>
      <w:r>
        <w:rPr>
          <w:rFonts w:hint="eastAsia" w:ascii="黑体" w:hAnsi="宋体" w:eastAsia="黑体"/>
          <w:sz w:val="32"/>
          <w:szCs w:val="32"/>
        </w:rPr>
        <w:t>绩效分析</w:t>
      </w:r>
      <w:r>
        <w:rPr>
          <w:rFonts w:hint="eastAsia" w:ascii="仿宋_GB2312" w:hAnsi="宋体"/>
          <w:sz w:val="32"/>
          <w:szCs w:val="32"/>
          <w:lang w:val="zh-CN"/>
        </w:rPr>
        <w:tab/>
      </w:r>
    </w:p>
    <w:p w14:paraId="0EE34FE4">
      <w:pPr>
        <w:autoSpaceDE w:val="0"/>
        <w:autoSpaceDN w:val="0"/>
        <w:adjustRightInd w:val="0"/>
        <w:spacing w:line="600" w:lineRule="exact"/>
        <w:ind w:firstLine="640" w:firstLineChars="200"/>
        <w:jc w:val="left"/>
        <w:rPr>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2024年按政策规定，对符合要求的特殊人群96人次进行了费用报销，共计10.72万元 ，完成预算数37.3%。项目资金未支付完的原因为需按实际产生费用进行支付。及时按实际发生费用做好了离休干部和二等乙级以上革命伤残军人、高级知识份子、县级干部等人医疗费用报销工作,确保特殊人群享有相应的医疗服务。该项目已于2024年12月31日前完成。</w:t>
      </w:r>
    </w:p>
    <w:p w14:paraId="578D5D38">
      <w:pPr>
        <w:spacing w:line="578" w:lineRule="exact"/>
        <w:ind w:firstLine="640"/>
        <w:rPr>
          <w:rFonts w:hint="eastAsia" w:ascii="楷体_GB2312" w:hAnsi="宋体" w:eastAsia="楷体_GB2312"/>
          <w:b/>
          <w:sz w:val="32"/>
          <w:szCs w:val="32"/>
        </w:rPr>
      </w:pPr>
      <w:r>
        <w:rPr>
          <w:rFonts w:hint="eastAsia" w:ascii="楷体_GB2312" w:hAnsi="宋体" w:eastAsia="楷体_GB2312"/>
          <w:b/>
          <w:sz w:val="32"/>
          <w:szCs w:val="32"/>
          <w:lang w:val="zh-CN"/>
        </w:rPr>
        <w:t>（一）</w:t>
      </w:r>
      <w:r>
        <w:rPr>
          <w:rFonts w:hint="eastAsia" w:ascii="楷体_GB2312" w:hAnsi="宋体" w:eastAsia="楷体_GB2312"/>
          <w:b/>
          <w:sz w:val="32"/>
          <w:szCs w:val="32"/>
        </w:rPr>
        <w:t>通用指标</w:t>
      </w:r>
      <w:r>
        <w:rPr>
          <w:rFonts w:ascii="Times New Roman" w:hAnsi="Times New Roman" w:eastAsia="楷体_GB2312"/>
          <w:b/>
          <w:bCs/>
          <w:color w:val="000000"/>
          <w:kern w:val="0"/>
          <w:sz w:val="32"/>
          <w:szCs w:val="32"/>
          <w:shd w:val="clear" w:color="auto" w:fill="FFFFFF"/>
          <w:lang w:val="zh-CN"/>
        </w:rPr>
        <w:t>绩效分析。</w:t>
      </w:r>
    </w:p>
    <w:p w14:paraId="39934656">
      <w:pPr>
        <w:spacing w:line="578" w:lineRule="exact"/>
        <w:ind w:firstLine="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1.项目决策。</w:t>
      </w:r>
    </w:p>
    <w:p w14:paraId="750B61A7">
      <w:pPr>
        <w:autoSpaceDE w:val="0"/>
        <w:autoSpaceDN w:val="0"/>
        <w:adjustRightInd w:val="0"/>
        <w:spacing w:line="600" w:lineRule="exact"/>
        <w:ind w:firstLine="640" w:firstLineChars="200"/>
        <w:jc w:val="left"/>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按政策规定对2024年全区离休干部和二等乙级以上革命伤残军人、高级知识份子、县级干部等人报销医疗待遇。特殊群体年龄大，医疗费用高，可控因素低，保障离休干部等特殊人员医疗待遇不受影响。</w:t>
      </w:r>
    </w:p>
    <w:p w14:paraId="1C8E1F7F">
      <w:pPr>
        <w:numPr>
          <w:ilvl w:val="0"/>
          <w:numId w:val="5"/>
        </w:numPr>
        <w:spacing w:line="578" w:lineRule="exact"/>
        <w:ind w:firstLine="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项目管理。</w:t>
      </w:r>
    </w:p>
    <w:p w14:paraId="5F66D49B">
      <w:pPr>
        <w:spacing w:line="578" w:lineRule="exact"/>
        <w:ind w:firstLine="640" w:firstLineChars="200"/>
        <w:rPr>
          <w:rFonts w:hint="eastAsia" w:ascii="Times New Roman" w:hAnsi="Times New Roman" w:eastAsia="仿宋_GB2312"/>
          <w:kern w:val="0"/>
          <w:sz w:val="32"/>
          <w:szCs w:val="32"/>
          <w:lang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按照相关法律法规及项</w:t>
      </w:r>
      <w:r>
        <w:rPr>
          <w:rFonts w:hint="eastAsia" w:ascii="Times New Roman" w:hAnsi="Times New Roman" w:eastAsia="仿宋_GB2312"/>
          <w:kern w:val="0"/>
          <w:sz w:val="32"/>
          <w:szCs w:val="32"/>
        </w:rPr>
        <w:t>目管理制度推进相关工作</w:t>
      </w:r>
      <w:r>
        <w:rPr>
          <w:rFonts w:hint="eastAsia" w:ascii="Times New Roman" w:hAnsi="Times New Roman" w:eastAsia="仿宋_GB2312"/>
          <w:kern w:val="0"/>
          <w:sz w:val="32"/>
          <w:szCs w:val="32"/>
          <w:lang w:eastAsia="zh-CN"/>
        </w:rPr>
        <w:t>。</w:t>
      </w:r>
    </w:p>
    <w:p w14:paraId="5E88F40E">
      <w:pPr>
        <w:numPr>
          <w:ilvl w:val="0"/>
          <w:numId w:val="5"/>
        </w:numPr>
        <w:spacing w:line="578" w:lineRule="exact"/>
        <w:ind w:left="0" w:leftChars="0" w:firstLine="64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项目实施。</w:t>
      </w:r>
    </w:p>
    <w:p w14:paraId="60B8766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项目由仁和区医疗保障局负责，由仁和区医疗保障事务中心负责实施。按照实际参保人员进行补助、报销。</w:t>
      </w:r>
    </w:p>
    <w:p w14:paraId="7E020D56">
      <w:pPr>
        <w:numPr>
          <w:ilvl w:val="0"/>
          <w:numId w:val="5"/>
        </w:numPr>
        <w:spacing w:line="578" w:lineRule="exact"/>
        <w:ind w:left="0" w:leftChars="0" w:firstLine="64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项目结果。</w:t>
      </w:r>
    </w:p>
    <w:p w14:paraId="3D574F18">
      <w:pPr>
        <w:numPr>
          <w:ilvl w:val="0"/>
          <w:numId w:val="0"/>
        </w:numPr>
        <w:spacing w:line="578"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2024年按政策规定，对符合要求的特殊人群96人次进行了费用报销，共计10.72万元 ，完成预算数37.3%。项目资金未支付完的原因为需按实际产生费用进行支付。及时按实际发生费用做好了离休干部和二等乙级以上革命伤残军人、高级知识份子、县级干部等人医疗费用报销工作,确保特殊人群医疗保障待遇和服务。该项目已于2024年12月31日前完成</w:t>
      </w:r>
    </w:p>
    <w:p w14:paraId="4B54CD50">
      <w:pPr>
        <w:spacing w:line="578" w:lineRule="exact"/>
        <w:ind w:firstLine="643" w:firstLineChars="200"/>
        <w:rPr>
          <w:rFonts w:hint="eastAsia" w:ascii="仿宋_GB2312" w:hAnsi="仿宋_GB2312" w:eastAsia="仿宋_GB2312" w:cs="仿宋_GB2312"/>
          <w:color w:val="auto"/>
          <w:kern w:val="0"/>
          <w:sz w:val="32"/>
          <w:szCs w:val="32"/>
          <w:lang w:val="zh-CN"/>
        </w:rPr>
      </w:pPr>
      <w:r>
        <w:rPr>
          <w:rFonts w:hint="eastAsia" w:ascii="楷体_GB2312" w:hAnsi="宋体" w:eastAsia="楷体_GB2312"/>
          <w:b/>
          <w:color w:val="auto"/>
          <w:sz w:val="32"/>
          <w:szCs w:val="32"/>
          <w:highlight w:val="none"/>
          <w:lang w:val="zh-CN"/>
        </w:rPr>
        <w:t>（二）</w:t>
      </w:r>
      <w:r>
        <w:rPr>
          <w:rFonts w:hint="eastAsia" w:ascii="楷体_GB2312" w:hAnsi="宋体" w:eastAsia="楷体_GB2312"/>
          <w:b/>
          <w:color w:val="auto"/>
          <w:sz w:val="32"/>
          <w:szCs w:val="32"/>
          <w:highlight w:val="none"/>
        </w:rPr>
        <w:t>专用指标</w:t>
      </w:r>
      <w:r>
        <w:rPr>
          <w:rFonts w:ascii="Times New Roman" w:hAnsi="Times New Roman" w:eastAsia="楷体_GB2312"/>
          <w:b/>
          <w:bCs/>
          <w:color w:val="auto"/>
          <w:kern w:val="0"/>
          <w:sz w:val="32"/>
          <w:szCs w:val="32"/>
          <w:highlight w:val="none"/>
          <w:shd w:val="clear" w:color="auto" w:fill="FFFFFF"/>
          <w:lang w:val="zh-CN"/>
        </w:rPr>
        <w:t>绩效分析。</w:t>
      </w:r>
    </w:p>
    <w:p w14:paraId="5789CF29">
      <w:pPr>
        <w:spacing w:line="578"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1.产业发展。</w:t>
      </w:r>
    </w:p>
    <w:p w14:paraId="0E229AD5">
      <w:pPr>
        <w:autoSpaceDE w:val="0"/>
        <w:autoSpaceDN w:val="0"/>
        <w:adjustRightInd w:val="0"/>
        <w:spacing w:line="600" w:lineRule="exact"/>
        <w:ind w:firstLine="640" w:firstLineChars="200"/>
        <w:jc w:val="left"/>
        <w:rPr>
          <w:rFonts w:hint="eastAsia"/>
        </w:rPr>
      </w:pPr>
      <w:r>
        <w:rPr>
          <w:rFonts w:hint="eastAsia" w:ascii="仿宋_GB2312" w:hAnsi="仿宋_GB2312" w:eastAsia="仿宋_GB2312" w:cs="仿宋_GB2312"/>
          <w:color w:val="auto"/>
          <w:kern w:val="0"/>
          <w:sz w:val="32"/>
          <w:szCs w:val="32"/>
          <w:highlight w:val="none"/>
          <w:u w:val="none"/>
          <w:shd w:val="clear" w:color="auto" w:fill="FFFFFF"/>
          <w:lang w:val="en-US" w:eastAsia="zh-CN"/>
        </w:rPr>
        <w:t>按政策规定对2024年全区离休干部和二等乙级以上革命伤残军人、高级知识份子、县级干部等人报销医疗待遇。特殊群体年龄大，医疗费用高，可控因素低，保障离休干部等特殊人员医疗待遇不受影响。</w:t>
      </w:r>
    </w:p>
    <w:p w14:paraId="3DE3C7C3">
      <w:pPr>
        <w:numPr>
          <w:ilvl w:val="0"/>
          <w:numId w:val="6"/>
        </w:numPr>
        <w:spacing w:line="578" w:lineRule="exact"/>
        <w:ind w:firstLine="640" w:firstLineChars="20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民生保障。</w:t>
      </w:r>
    </w:p>
    <w:p w14:paraId="59BA478E">
      <w:pPr>
        <w:pStyle w:val="5"/>
        <w:ind w:firstLine="640" w:firstLineChars="200"/>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保证革命伤残军人等特殊人员按规定政策享受医疗待遇，维护社会稳定</w:t>
      </w:r>
    </w:p>
    <w:p w14:paraId="7E507984">
      <w:pPr>
        <w:numPr>
          <w:ilvl w:val="0"/>
          <w:numId w:val="6"/>
        </w:numPr>
        <w:spacing w:line="578" w:lineRule="exact"/>
        <w:ind w:left="0" w:leftChars="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基础设施。</w:t>
      </w:r>
    </w:p>
    <w:p w14:paraId="61AD2FFA">
      <w:pPr>
        <w:pStyle w:val="5"/>
        <w:ind w:firstLine="640" w:firstLineChars="200"/>
        <w:rPr>
          <w:rFonts w:hint="eastAsia"/>
        </w:rPr>
      </w:pPr>
      <w:r>
        <w:rPr>
          <w:rFonts w:hint="eastAsia" w:ascii="仿宋_GB2312" w:hAnsi="仿宋_GB2312" w:eastAsia="仿宋_GB2312" w:cs="仿宋_GB2312"/>
          <w:color w:val="auto"/>
          <w:kern w:val="0"/>
          <w:sz w:val="32"/>
          <w:szCs w:val="32"/>
          <w:highlight w:val="none"/>
          <w:u w:val="none"/>
          <w:shd w:val="clear" w:color="auto" w:fill="FFFFFF"/>
          <w:lang w:val="en-US" w:eastAsia="zh-CN"/>
        </w:rPr>
        <w:t>全区离休干部和二等乙级以上革命伤残军人、高级知识份子、县级干部等人报销医疗待遇。</w:t>
      </w:r>
    </w:p>
    <w:p w14:paraId="03992BDE">
      <w:pPr>
        <w:numPr>
          <w:ilvl w:val="0"/>
          <w:numId w:val="0"/>
        </w:numPr>
        <w:spacing w:line="578" w:lineRule="exact"/>
        <w:ind w:leftChars="200" w:firstLine="320" w:firstLineChars="100"/>
        <w:rPr>
          <w:rFonts w:hint="eastAsia"/>
        </w:rPr>
      </w:pP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lang w:val="zh-CN"/>
        </w:rPr>
        <w:t>行政运转。</w:t>
      </w:r>
    </w:p>
    <w:p w14:paraId="2494C3FB">
      <w:pPr>
        <w:numPr>
          <w:ilvl w:val="0"/>
          <w:numId w:val="0"/>
        </w:numPr>
        <w:spacing w:line="578" w:lineRule="exact"/>
        <w:ind w:firstLine="640" w:firstLineChars="200"/>
        <w:rPr>
          <w:rFonts w:hint="eastAsia"/>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2024年按政策规定，对符合要求的特殊人群96人次进行了费用报销，共计10.72万元 ，完成预算数37.3%。项目资金未支付完的原因为需按实际产生费用进行支付。及时按实际发生费用做好了离休干部和二等乙级以上革命伤残军人、高级知识份子、县级干部等人医疗费用报销工作,确保特殊人群享有相应的医疗服务。</w:t>
      </w:r>
    </w:p>
    <w:p w14:paraId="505BC342">
      <w:pPr>
        <w:numPr>
          <w:ilvl w:val="0"/>
          <w:numId w:val="0"/>
        </w:numPr>
        <w:spacing w:line="578" w:lineRule="exact"/>
        <w:ind w:firstLine="643" w:firstLineChars="200"/>
        <w:rPr>
          <w:rFonts w:hint="eastAsia" w:ascii="楷体_GB2312" w:hAnsi="楷体_GB2312" w:eastAsia="楷体_GB2312" w:cs="楷体_GB2312"/>
          <w:sz w:val="32"/>
          <w:szCs w:val="32"/>
          <w:lang w:val="zh-CN"/>
        </w:rPr>
      </w:pPr>
      <w:r>
        <w:rPr>
          <w:rFonts w:hint="eastAsia" w:ascii="楷体_GB2312" w:hAnsi="宋体" w:eastAsia="楷体_GB2312"/>
          <w:b/>
          <w:color w:val="auto"/>
          <w:sz w:val="32"/>
          <w:szCs w:val="32"/>
          <w:highlight w:val="none"/>
          <w:lang w:val="zh-CN"/>
        </w:rPr>
        <w:t>（</w:t>
      </w:r>
      <w:r>
        <w:rPr>
          <w:rFonts w:hint="eastAsia" w:ascii="楷体_GB2312" w:hAnsi="宋体" w:eastAsia="楷体_GB2312"/>
          <w:b/>
          <w:color w:val="auto"/>
          <w:sz w:val="32"/>
          <w:szCs w:val="32"/>
          <w:highlight w:val="none"/>
          <w:lang w:val="en-US" w:eastAsia="zh-CN"/>
        </w:rPr>
        <w:t>三）</w:t>
      </w:r>
      <w:r>
        <w:rPr>
          <w:rFonts w:hint="eastAsia" w:ascii="楷体_GB2312" w:hAnsi="宋体" w:eastAsia="楷体_GB2312"/>
          <w:b/>
          <w:color w:val="auto"/>
          <w:sz w:val="32"/>
          <w:szCs w:val="32"/>
          <w:highlight w:val="none"/>
          <w:lang w:val="zh-CN"/>
        </w:rPr>
        <w:t>个性指标绩效分析。</w:t>
      </w:r>
    </w:p>
    <w:p w14:paraId="23BF47CB">
      <w:pPr>
        <w:numPr>
          <w:ilvl w:val="0"/>
          <w:numId w:val="0"/>
        </w:numPr>
        <w:spacing w:line="578" w:lineRule="exact"/>
        <w:ind w:firstLine="640" w:firstLineChars="200"/>
        <w:rPr>
          <w:rFonts w:hint="eastAsia"/>
        </w:rPr>
      </w:pPr>
      <w:r>
        <w:rPr>
          <w:rFonts w:hint="eastAsia" w:ascii="仿宋_GB2312" w:hAnsi="仿宋_GB2312" w:eastAsia="仿宋_GB2312" w:cs="仿宋_GB2312"/>
          <w:color w:val="auto"/>
          <w:kern w:val="0"/>
          <w:sz w:val="32"/>
          <w:szCs w:val="32"/>
          <w:highlight w:val="none"/>
          <w:u w:val="none"/>
          <w:shd w:val="clear" w:color="auto" w:fill="FFFFFF"/>
          <w:lang w:val="en-US" w:eastAsia="zh-CN"/>
        </w:rPr>
        <w:t>按政策规定对2024年全区离休干部和二等乙级以上革命伤残军人、高级知识份子、县级干部等人报销医疗待遇。特殊群体年龄大，医疗费用高，可控因素低，保障离休干部等特殊人员医疗待遇不受影响。</w:t>
      </w:r>
    </w:p>
    <w:p w14:paraId="699EE3CE">
      <w:pPr>
        <w:pStyle w:val="5"/>
        <w:tabs>
          <w:tab w:val="left" w:pos="2160"/>
        </w:tabs>
        <w:spacing w:line="600" w:lineRule="exact"/>
        <w:ind w:firstLine="640" w:firstLineChars="200"/>
        <w:rPr>
          <w:rFonts w:hint="eastAsia" w:ascii="黑体" w:hAnsi="宋体" w:eastAsia="黑体"/>
          <w:sz w:val="32"/>
          <w:szCs w:val="32"/>
        </w:rPr>
      </w:pPr>
      <w:r>
        <w:rPr>
          <w:rFonts w:hint="eastAsia" w:ascii="黑体" w:hAnsi="宋体" w:eastAsia="黑体"/>
          <w:sz w:val="32"/>
          <w:szCs w:val="32"/>
        </w:rPr>
        <w:t>四、评价结论</w:t>
      </w:r>
    </w:p>
    <w:p w14:paraId="36FCC48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黑体" w:hAnsi="宋体" w:eastAsia="仿宋_GB2312"/>
          <w:sz w:val="32"/>
          <w:szCs w:val="32"/>
          <w:lang w:val="en-US" w:eastAsia="zh-CN"/>
        </w:rPr>
      </w:pPr>
      <w:r>
        <w:rPr>
          <w:rFonts w:hint="eastAsia" w:ascii="Times New Roman" w:hAnsi="Times New Roman" w:eastAsia="仿宋_GB2312"/>
          <w:kern w:val="0"/>
          <w:sz w:val="32"/>
          <w:szCs w:val="32"/>
        </w:rPr>
        <w:t>通</w:t>
      </w:r>
      <w:r>
        <w:rPr>
          <w:rFonts w:ascii="Times New Roman" w:hAnsi="Times New Roman" w:eastAsia="仿宋_GB2312"/>
          <w:kern w:val="0"/>
          <w:sz w:val="32"/>
          <w:szCs w:val="32"/>
        </w:rPr>
        <w:t>过项目的实施</w:t>
      </w:r>
      <w:r>
        <w:rPr>
          <w:rFonts w:hint="eastAsia" w:ascii="Times New Roman" w:hAnsi="Times New Roman" w:eastAsia="仿宋_GB2312"/>
          <w:kern w:val="0"/>
          <w:sz w:val="32"/>
          <w:szCs w:val="32"/>
        </w:rPr>
        <w:t>保证了</w:t>
      </w:r>
      <w:r>
        <w:rPr>
          <w:rFonts w:hint="eastAsia" w:ascii="仿宋_GB2312" w:hAnsi="仿宋_GB2312" w:eastAsia="仿宋_GB2312" w:cs="仿宋_GB2312"/>
          <w:color w:val="auto"/>
          <w:kern w:val="0"/>
          <w:sz w:val="32"/>
          <w:szCs w:val="32"/>
          <w:highlight w:val="none"/>
          <w:u w:val="none"/>
          <w:shd w:val="clear" w:color="auto" w:fill="FFFFFF"/>
          <w:lang w:val="en-US" w:eastAsia="zh-CN"/>
        </w:rPr>
        <w:t>离休干部和二等乙级以上革命伤残军人、高级知识份子、县级干部等</w:t>
      </w:r>
      <w:r>
        <w:rPr>
          <w:rFonts w:hint="eastAsia" w:ascii="Times New Roman" w:hAnsi="Times New Roman" w:eastAsia="仿宋_GB2312"/>
          <w:kern w:val="0"/>
          <w:sz w:val="32"/>
          <w:szCs w:val="32"/>
        </w:rPr>
        <w:t>特殊人员按规定政策享受医疗待遇，维护了社会稳定</w:t>
      </w:r>
      <w:r>
        <w:rPr>
          <w:rFonts w:ascii="Times New Roman" w:hAnsi="Times New Roman" w:eastAsia="仿宋_GB2312"/>
          <w:kern w:val="0"/>
          <w:sz w:val="32"/>
          <w:szCs w:val="32"/>
        </w:rPr>
        <w:t>，达到了预期效果</w:t>
      </w:r>
      <w:r>
        <w:rPr>
          <w:rFonts w:hint="eastAsia" w:eastAsia="仿宋_GB2312"/>
          <w:kern w:val="0"/>
          <w:sz w:val="32"/>
          <w:szCs w:val="32"/>
          <w:lang w:eastAsia="zh-CN"/>
        </w:rPr>
        <w:t>。</w:t>
      </w:r>
      <w:r>
        <w:rPr>
          <w:rFonts w:hint="eastAsia" w:eastAsia="仿宋_GB2312"/>
          <w:kern w:val="0"/>
          <w:sz w:val="32"/>
          <w:szCs w:val="32"/>
          <w:lang w:val="en-US" w:eastAsia="zh-CN"/>
        </w:rPr>
        <w:t>自评分95分。</w:t>
      </w:r>
    </w:p>
    <w:p w14:paraId="6BA66AE7">
      <w:pPr>
        <w:pStyle w:val="5"/>
        <w:tabs>
          <w:tab w:val="left" w:pos="2160"/>
        </w:tabs>
        <w:spacing w:line="600" w:lineRule="exact"/>
        <w:ind w:firstLine="640" w:firstLineChars="200"/>
        <w:rPr>
          <w:rFonts w:hint="eastAsia" w:ascii="黑体" w:hAnsi="宋体" w:eastAsia="黑体"/>
          <w:sz w:val="32"/>
          <w:szCs w:val="32"/>
        </w:rPr>
      </w:pPr>
      <w:r>
        <w:rPr>
          <w:rFonts w:hint="eastAsia" w:ascii="黑体" w:hAnsi="宋体" w:eastAsia="黑体"/>
          <w:sz w:val="32"/>
          <w:szCs w:val="32"/>
        </w:rPr>
        <w:t>五、存在主要问题</w:t>
      </w:r>
    </w:p>
    <w:p w14:paraId="1C1A0AAF">
      <w:pPr>
        <w:pStyle w:val="5"/>
        <w:tabs>
          <w:tab w:val="left" w:pos="2160"/>
        </w:tabs>
        <w:spacing w:line="60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无</w:t>
      </w:r>
    </w:p>
    <w:p w14:paraId="3D4ABD7E">
      <w:pPr>
        <w:pStyle w:val="5"/>
        <w:tabs>
          <w:tab w:val="left" w:pos="2160"/>
        </w:tabs>
        <w:spacing w:line="600" w:lineRule="exact"/>
        <w:ind w:firstLine="640" w:firstLineChars="200"/>
        <w:rPr>
          <w:rFonts w:hint="eastAsia" w:ascii="黑体" w:hAnsi="宋体" w:eastAsia="黑体"/>
          <w:kern w:val="0"/>
          <w:position w:val="3"/>
          <w:sz w:val="32"/>
          <w:szCs w:val="32"/>
          <w:lang w:val="zh-CN"/>
        </w:rPr>
      </w:pPr>
      <w:r>
        <w:rPr>
          <w:rFonts w:hint="eastAsia" w:ascii="黑体" w:hAnsi="宋体" w:eastAsia="黑体"/>
          <w:kern w:val="0"/>
          <w:position w:val="3"/>
          <w:sz w:val="32"/>
          <w:szCs w:val="32"/>
          <w:lang w:val="zh-CN"/>
        </w:rPr>
        <w:t>六、改进建议</w:t>
      </w:r>
    </w:p>
    <w:p w14:paraId="0B5E848F">
      <w:pPr>
        <w:tabs>
          <w:tab w:val="left" w:pos="1911"/>
        </w:tabs>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zh-CN"/>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无</w:t>
      </w:r>
    </w:p>
    <w:p w14:paraId="643FFA89">
      <w:pPr>
        <w:snapToGrid w:val="0"/>
        <w:spacing w:line="578" w:lineRule="exact"/>
        <w:ind w:firstLine="420" w:firstLineChars="200"/>
        <w:rPr>
          <w:rFonts w:hint="eastAsia" w:ascii="Times New Roman" w:hAnsi="Times New Roman"/>
          <w:color w:val="000000"/>
          <w:kern w:val="0"/>
          <w:szCs w:val="32"/>
          <w:shd w:val="clear" w:color="auto" w:fill="FFFFFF"/>
          <w:lang w:val="zh-CN"/>
        </w:rPr>
      </w:pPr>
    </w:p>
    <w:p w14:paraId="7251677C">
      <w:pPr>
        <w:spacing w:line="580" w:lineRule="exact"/>
        <w:rPr>
          <w:rStyle w:val="28"/>
          <w:rFonts w:ascii="黑体" w:hAnsi="黑体" w:eastAsia="黑体"/>
          <w:b w:val="0"/>
          <w:color w:val="auto"/>
          <w:highlight w:val="none"/>
        </w:rPr>
      </w:pPr>
    </w:p>
    <w:p w14:paraId="1EECDFEC">
      <w:pPr>
        <w:widowControl/>
        <w:jc w:val="left"/>
        <w:rPr>
          <w:rStyle w:val="28"/>
          <w:rFonts w:ascii="黑体" w:hAnsi="黑体" w:eastAsia="黑体"/>
          <w:b w:val="0"/>
          <w:color w:val="auto"/>
          <w:highlight w:val="none"/>
        </w:rPr>
      </w:pPr>
      <w:r>
        <w:rPr>
          <w:rStyle w:val="28"/>
          <w:rFonts w:ascii="黑体" w:hAnsi="黑体" w:eastAsia="黑体"/>
          <w:b w:val="0"/>
          <w:color w:val="auto"/>
          <w:highlight w:val="none"/>
        </w:rPr>
        <w:br w:type="page"/>
      </w:r>
    </w:p>
    <w:p w14:paraId="7E5E60D8">
      <w:pPr>
        <w:pStyle w:val="34"/>
        <w:keepNext w:val="0"/>
        <w:keepLines w:val="0"/>
        <w:pageBreakBefore w:val="0"/>
        <w:widowControl w:val="0"/>
        <w:kinsoku/>
        <w:wordWrap/>
        <w:overflowPunct/>
        <w:topLinePunct w:val="0"/>
        <w:autoSpaceDE/>
        <w:autoSpaceDN/>
        <w:bidi w:val="0"/>
        <w:spacing w:line="578" w:lineRule="exact"/>
        <w:jc w:val="both"/>
        <w:textAlignment w:val="auto"/>
        <w:rPr>
          <w:rFonts w:hint="eastAsia" w:ascii="方正小标宋_GBK" w:hAnsi="方正小标宋_GBK" w:eastAsia="方正小标宋_GBK" w:cs="方正小标宋_GBK"/>
          <w:color w:val="auto"/>
          <w:kern w:val="2"/>
          <w:sz w:val="36"/>
          <w:szCs w:val="36"/>
          <w:highlight w:val="none"/>
          <w:lang w:val="en-US" w:eastAsia="zh-CN"/>
        </w:rPr>
      </w:pPr>
      <w:r>
        <w:rPr>
          <w:rFonts w:hint="eastAsia" w:ascii="方正小标宋_GBK" w:hAnsi="方正小标宋_GBK" w:eastAsia="方正小标宋_GBK" w:cs="方正小标宋_GBK"/>
          <w:color w:val="auto"/>
          <w:kern w:val="2"/>
          <w:sz w:val="36"/>
          <w:szCs w:val="36"/>
          <w:highlight w:val="none"/>
          <w:lang w:val="en-US" w:eastAsia="zh-CN"/>
        </w:rPr>
        <w:t>附件3：</w:t>
      </w:r>
    </w:p>
    <w:p w14:paraId="0B5637D4">
      <w:pPr>
        <w:pStyle w:val="34"/>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_GBK" w:hAnsi="方正小标宋_GBK" w:eastAsia="方正小标宋_GBK" w:cs="方正小标宋_GBK"/>
          <w:color w:val="auto"/>
          <w:kern w:val="2"/>
          <w:sz w:val="36"/>
          <w:szCs w:val="36"/>
          <w:highlight w:val="none"/>
          <w:lang w:val="en-US" w:eastAsia="zh-CN"/>
        </w:rPr>
      </w:pPr>
      <w:r>
        <w:rPr>
          <w:rFonts w:hint="eastAsia" w:ascii="方正小标宋_GBK" w:hAnsi="方正小标宋_GBK" w:eastAsia="方正小标宋_GBK" w:cs="方正小标宋_GBK"/>
          <w:color w:val="auto"/>
          <w:kern w:val="2"/>
          <w:sz w:val="36"/>
          <w:szCs w:val="36"/>
          <w:highlight w:val="none"/>
          <w:lang w:val="en-US" w:eastAsia="zh-CN"/>
        </w:rPr>
        <w:t>2024年省级专项资金预算项目绩效自评报告</w:t>
      </w:r>
    </w:p>
    <w:p w14:paraId="22B3401E">
      <w:pPr>
        <w:pStyle w:val="34"/>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color w:val="auto"/>
          <w:kern w:val="2"/>
          <w:sz w:val="36"/>
          <w:szCs w:val="36"/>
          <w:highlight w:val="none"/>
          <w:lang w:val="en-US" w:eastAsia="zh-CN"/>
        </w:rPr>
        <w:t>（</w:t>
      </w:r>
      <w:r>
        <w:rPr>
          <w:rFonts w:hint="eastAsia" w:ascii="方正小标宋_GBK" w:hAnsi="方正小标宋_GBK" w:eastAsia="方正小标宋_GBK" w:cs="方正小标宋_GBK"/>
          <w:sz w:val="36"/>
          <w:szCs w:val="36"/>
        </w:rPr>
        <w:t>城乡医疗救助资金</w:t>
      </w:r>
      <w:r>
        <w:rPr>
          <w:rFonts w:hint="eastAsia" w:ascii="方正小标宋_GBK" w:hAnsi="方正小标宋_GBK" w:eastAsia="方正小标宋_GBK" w:cs="方正小标宋_GBK"/>
          <w:color w:val="auto"/>
          <w:kern w:val="2"/>
          <w:sz w:val="36"/>
          <w:szCs w:val="36"/>
          <w:highlight w:val="none"/>
          <w:lang w:val="en-US" w:eastAsia="zh-CN"/>
        </w:rPr>
        <w:t>）</w:t>
      </w:r>
    </w:p>
    <w:p w14:paraId="68C6A4F4">
      <w:pPr>
        <w:widowControl/>
        <w:adjustRightInd w:val="0"/>
        <w:snapToGrid w:val="0"/>
        <w:spacing w:line="578" w:lineRule="exact"/>
        <w:ind w:firstLine="643" w:firstLineChars="200"/>
        <w:contextualSpacing/>
        <w:jc w:val="left"/>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一、项目概况</w:t>
      </w:r>
    </w:p>
    <w:p w14:paraId="6E0AF5AD">
      <w:pPr>
        <w:widowControl/>
        <w:adjustRightInd w:val="0"/>
        <w:snapToGrid w:val="0"/>
        <w:spacing w:line="578" w:lineRule="exact"/>
        <w:ind w:firstLine="643" w:firstLineChars="200"/>
        <w:contextualSpacing/>
        <w:jc w:val="left"/>
        <w:rPr>
          <w:rFonts w:hint="eastAsia" w:ascii="楷体_GB2312" w:hAnsi="宋体" w:eastAsia="楷体_GB2312"/>
          <w:b/>
          <w:sz w:val="32"/>
          <w:szCs w:val="32"/>
          <w:lang w:val="zh-CN"/>
        </w:rPr>
      </w:pPr>
      <w:r>
        <w:rPr>
          <w:rFonts w:hint="eastAsia" w:ascii="楷体_GB2312" w:hAnsi="宋体" w:eastAsia="楷体_GB2312"/>
          <w:b/>
          <w:sz w:val="32"/>
          <w:szCs w:val="32"/>
          <w:lang w:val="zh-CN"/>
        </w:rPr>
        <w:t>（一）设立背景及基本情况。</w:t>
      </w:r>
    </w:p>
    <w:p w14:paraId="52D498DB">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制定详细的资金管理办法，</w:t>
      </w:r>
      <w:r>
        <w:rPr>
          <w:rFonts w:hint="eastAsia" w:eastAsia="仿宋_GB2312"/>
          <w:kern w:val="0"/>
          <w:sz w:val="32"/>
          <w:szCs w:val="32"/>
        </w:rPr>
        <w:t>资</w:t>
      </w:r>
      <w:r>
        <w:rPr>
          <w:rFonts w:eastAsia="仿宋_GB2312"/>
          <w:kern w:val="0"/>
          <w:sz w:val="32"/>
          <w:szCs w:val="32"/>
        </w:rPr>
        <w:t>金用于本项目的开展，主要用于</w:t>
      </w:r>
      <w:r>
        <w:rPr>
          <w:rFonts w:hint="eastAsia" w:eastAsia="仿宋_GB2312"/>
          <w:kern w:val="0"/>
          <w:sz w:val="32"/>
          <w:szCs w:val="32"/>
        </w:rPr>
        <w:t>城乡特困供养人员、城乡低保、城乡低收入、脱贫户、防止返贫监测对象按政策规定完成医疗救助。</w:t>
      </w:r>
    </w:p>
    <w:p w14:paraId="60FA31CF">
      <w:pPr>
        <w:numPr>
          <w:ilvl w:val="0"/>
          <w:numId w:val="7"/>
        </w:numPr>
        <w:adjustRightInd w:val="0"/>
        <w:snapToGrid w:val="0"/>
        <w:spacing w:line="578" w:lineRule="exact"/>
        <w:ind w:left="0" w:leftChars="0" w:firstLine="643" w:firstLineChars="200"/>
        <w:rPr>
          <w:rFonts w:hint="eastAsia" w:ascii="楷体_GB2312" w:hAnsi="宋体" w:eastAsia="楷体_GB2312"/>
          <w:b/>
          <w:sz w:val="32"/>
          <w:szCs w:val="32"/>
        </w:rPr>
      </w:pPr>
      <w:r>
        <w:rPr>
          <w:rFonts w:ascii="楷体_GB2312" w:hAnsi="宋体" w:eastAsia="楷体_GB2312"/>
          <w:b/>
          <w:sz w:val="32"/>
          <w:szCs w:val="32"/>
        </w:rPr>
        <w:t>实施目的及支持方向</w:t>
      </w:r>
      <w:r>
        <w:rPr>
          <w:rFonts w:hint="eastAsia" w:ascii="楷体_GB2312" w:hAnsi="宋体" w:eastAsia="楷体_GB2312"/>
          <w:b/>
          <w:sz w:val="32"/>
          <w:szCs w:val="32"/>
        </w:rPr>
        <w:t>。</w:t>
      </w:r>
    </w:p>
    <w:p w14:paraId="58308385">
      <w:pPr>
        <w:autoSpaceDE w:val="0"/>
        <w:autoSpaceDN w:val="0"/>
        <w:adjustRightInd w:val="0"/>
        <w:spacing w:line="600" w:lineRule="exact"/>
        <w:ind w:firstLine="640" w:firstLineChars="200"/>
        <w:jc w:val="left"/>
        <w:rPr>
          <w:rFonts w:hint="eastAsia" w:ascii="楷体_GB2312" w:hAnsi="宋体" w:eastAsia="楷体_GB2312"/>
          <w:b/>
          <w:sz w:val="32"/>
          <w:szCs w:val="32"/>
        </w:rPr>
      </w:pPr>
      <w:r>
        <w:rPr>
          <w:rFonts w:eastAsia="仿宋_GB2312"/>
          <w:kern w:val="0"/>
          <w:sz w:val="32"/>
          <w:szCs w:val="32"/>
        </w:rPr>
        <w:t>根据《攀办发</w:t>
      </w:r>
      <w:r>
        <w:rPr>
          <w:rFonts w:hint="eastAsia" w:eastAsia="仿宋_GB2312"/>
          <w:kern w:val="0"/>
          <w:sz w:val="32"/>
          <w:szCs w:val="32"/>
          <w:lang w:eastAsia="zh-CN"/>
        </w:rPr>
        <w:t>〔</w:t>
      </w:r>
      <w:r>
        <w:rPr>
          <w:rFonts w:hint="eastAsia" w:eastAsia="仿宋_GB2312"/>
          <w:kern w:val="0"/>
          <w:sz w:val="32"/>
          <w:szCs w:val="32"/>
        </w:rPr>
        <w:t>2</w:t>
      </w:r>
      <w:r>
        <w:rPr>
          <w:rFonts w:eastAsia="仿宋_GB2312"/>
          <w:kern w:val="0"/>
          <w:sz w:val="32"/>
          <w:szCs w:val="32"/>
        </w:rPr>
        <w:t>010</w:t>
      </w:r>
      <w:r>
        <w:rPr>
          <w:rFonts w:hint="eastAsia" w:eastAsia="仿宋_GB2312"/>
          <w:kern w:val="0"/>
          <w:sz w:val="32"/>
          <w:szCs w:val="32"/>
          <w:lang w:eastAsia="zh-CN"/>
        </w:rPr>
        <w:t>〕</w:t>
      </w:r>
      <w:r>
        <w:rPr>
          <w:rFonts w:hint="eastAsia" w:eastAsia="仿宋_GB2312"/>
          <w:kern w:val="0"/>
          <w:sz w:val="32"/>
          <w:szCs w:val="32"/>
        </w:rPr>
        <w:t>7</w:t>
      </w:r>
      <w:r>
        <w:rPr>
          <w:rFonts w:eastAsia="仿宋_GB2312"/>
          <w:kern w:val="0"/>
          <w:sz w:val="32"/>
          <w:szCs w:val="32"/>
        </w:rPr>
        <w:t>1号》文件，资助城乡低保对象、农村“五保”对象参加城乡居民基本医疗保险，给予城乡低保人员中已享受分类施保待遇的对象每年一次性门诊求助和常规住院医疗</w:t>
      </w:r>
      <w:r>
        <w:rPr>
          <w:rFonts w:hint="eastAsia" w:eastAsia="仿宋_GB2312"/>
          <w:kern w:val="0"/>
          <w:sz w:val="32"/>
          <w:szCs w:val="32"/>
          <w:lang w:eastAsia="zh-CN"/>
        </w:rPr>
        <w:t>救助金</w:t>
      </w:r>
      <w:r>
        <w:rPr>
          <w:rFonts w:eastAsia="仿宋_GB2312"/>
          <w:kern w:val="0"/>
          <w:sz w:val="32"/>
          <w:szCs w:val="32"/>
        </w:rPr>
        <w:t>，根据《攀仁府办</w:t>
      </w:r>
      <w:r>
        <w:rPr>
          <w:rFonts w:hint="eastAsia" w:eastAsia="仿宋_GB2312"/>
          <w:kern w:val="0"/>
          <w:sz w:val="32"/>
          <w:szCs w:val="32"/>
          <w:lang w:eastAsia="zh-CN"/>
        </w:rPr>
        <w:t>〔</w:t>
      </w:r>
      <w:r>
        <w:rPr>
          <w:rFonts w:hint="eastAsia" w:eastAsia="仿宋_GB2312"/>
          <w:kern w:val="0"/>
          <w:sz w:val="32"/>
          <w:szCs w:val="32"/>
        </w:rPr>
        <w:t>2</w:t>
      </w:r>
      <w:r>
        <w:rPr>
          <w:rFonts w:eastAsia="仿宋_GB2312"/>
          <w:kern w:val="0"/>
          <w:sz w:val="32"/>
          <w:szCs w:val="32"/>
        </w:rPr>
        <w:t>013</w:t>
      </w:r>
      <w:r>
        <w:rPr>
          <w:rFonts w:hint="eastAsia" w:eastAsia="仿宋_GB2312"/>
          <w:kern w:val="0"/>
          <w:sz w:val="32"/>
          <w:szCs w:val="32"/>
          <w:lang w:eastAsia="zh-CN"/>
        </w:rPr>
        <w:t>〕</w:t>
      </w:r>
      <w:r>
        <w:rPr>
          <w:rFonts w:hint="eastAsia" w:eastAsia="仿宋_GB2312"/>
          <w:kern w:val="0"/>
          <w:sz w:val="32"/>
          <w:szCs w:val="32"/>
        </w:rPr>
        <w:t>1</w:t>
      </w:r>
      <w:r>
        <w:rPr>
          <w:rFonts w:eastAsia="仿宋_GB2312"/>
          <w:kern w:val="0"/>
          <w:sz w:val="32"/>
          <w:szCs w:val="32"/>
        </w:rPr>
        <w:t>25号》文件，对具有仁和区户籍，患重特大疾病的城乡低保对象，城市三无人员，农村五保对象，城乡低收入家庭成员给予重特大疾病住院求助</w:t>
      </w:r>
      <w:r>
        <w:rPr>
          <w:rFonts w:hint="eastAsia" w:eastAsia="仿宋_GB2312"/>
          <w:kern w:val="0"/>
          <w:sz w:val="32"/>
          <w:szCs w:val="32"/>
        </w:rPr>
        <w:t>。资金申报依据：区财政要结合上一年重特大疾病医疗救助支出情况和本年资金需求将此项资金列入本级预算安排。</w:t>
      </w:r>
    </w:p>
    <w:p w14:paraId="7D3BDB82">
      <w:pPr>
        <w:numPr>
          <w:ilvl w:val="0"/>
          <w:numId w:val="0"/>
        </w:numPr>
        <w:adjustRightInd w:val="0"/>
        <w:snapToGrid w:val="0"/>
        <w:spacing w:line="578" w:lineRule="exact"/>
        <w:ind w:firstLine="643" w:firstLineChars="200"/>
        <w:rPr>
          <w:rFonts w:hint="eastAsia"/>
          <w:lang w:val="zh-CN"/>
        </w:rPr>
      </w:pPr>
      <w:r>
        <w:rPr>
          <w:rFonts w:hint="eastAsia" w:ascii="楷体_GB2312" w:hAnsi="宋体" w:eastAsia="楷体_GB2312"/>
          <w:b/>
          <w:sz w:val="32"/>
          <w:szCs w:val="32"/>
          <w:lang w:eastAsia="zh-CN"/>
        </w:rPr>
        <w:t>（</w:t>
      </w:r>
      <w:r>
        <w:rPr>
          <w:rFonts w:hint="eastAsia" w:ascii="楷体_GB2312" w:hAnsi="宋体" w:eastAsia="楷体_GB2312"/>
          <w:b/>
          <w:sz w:val="32"/>
          <w:szCs w:val="32"/>
          <w:lang w:val="en-US" w:eastAsia="zh-CN"/>
        </w:rPr>
        <w:t>三）</w:t>
      </w:r>
      <w:r>
        <w:rPr>
          <w:rFonts w:ascii="楷体_GB2312" w:hAnsi="宋体" w:eastAsia="楷体_GB2312"/>
          <w:b/>
          <w:sz w:val="32"/>
          <w:szCs w:val="32"/>
        </w:rPr>
        <w:t>预算安排及分配管理</w:t>
      </w:r>
      <w:r>
        <w:rPr>
          <w:rFonts w:hint="eastAsia" w:ascii="楷体_GB2312" w:hAnsi="宋体" w:eastAsia="楷体_GB2312"/>
          <w:b/>
          <w:sz w:val="32"/>
          <w:szCs w:val="32"/>
          <w:lang w:val="zh-CN"/>
        </w:rPr>
        <w:t>。</w:t>
      </w:r>
    </w:p>
    <w:p w14:paraId="040FD064">
      <w:pPr>
        <w:autoSpaceDE w:val="0"/>
        <w:autoSpaceDN w:val="0"/>
        <w:adjustRightInd w:val="0"/>
        <w:spacing w:line="600" w:lineRule="exact"/>
        <w:ind w:firstLine="640" w:firstLineChars="200"/>
        <w:jc w:val="left"/>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default" w:ascii="仿宋_GB2312" w:hAnsi="仿宋_GB2312" w:eastAsia="仿宋_GB2312" w:cs="仿宋_GB2312"/>
          <w:color w:val="auto"/>
          <w:kern w:val="0"/>
          <w:sz w:val="32"/>
          <w:szCs w:val="32"/>
          <w:highlight w:val="none"/>
          <w:u w:val="none"/>
          <w:shd w:val="clear" w:color="auto" w:fill="FFFFFF"/>
          <w:lang w:val="zh-CN" w:eastAsia="zh-CN"/>
        </w:rPr>
        <w:t>拟定项目资金申请方案，编制</w:t>
      </w:r>
      <w:r>
        <w:rPr>
          <w:rFonts w:hint="eastAsia" w:ascii="仿宋_GB2312" w:hAnsi="仿宋_GB2312" w:eastAsia="仿宋_GB2312" w:cs="仿宋_GB2312"/>
          <w:color w:val="auto"/>
          <w:kern w:val="0"/>
          <w:sz w:val="32"/>
          <w:szCs w:val="32"/>
          <w:highlight w:val="none"/>
          <w:u w:val="none"/>
          <w:shd w:val="clear" w:color="auto" w:fill="FFFFFF"/>
          <w:lang w:val="zh-CN" w:eastAsia="zh-CN"/>
        </w:rPr>
        <w:t>项目</w:t>
      </w:r>
      <w:r>
        <w:rPr>
          <w:rFonts w:hint="default" w:ascii="仿宋_GB2312" w:hAnsi="仿宋_GB2312" w:eastAsia="仿宋_GB2312" w:cs="仿宋_GB2312"/>
          <w:color w:val="auto"/>
          <w:kern w:val="0"/>
          <w:sz w:val="32"/>
          <w:szCs w:val="32"/>
          <w:highlight w:val="none"/>
          <w:u w:val="none"/>
          <w:shd w:val="clear" w:color="auto" w:fill="FFFFFF"/>
          <w:lang w:val="zh-CN" w:eastAsia="zh-CN"/>
        </w:rPr>
        <w:t>绩效目标</w:t>
      </w:r>
      <w:r>
        <w:rPr>
          <w:rFonts w:hint="eastAsia" w:ascii="仿宋_GB2312" w:hAnsi="仿宋_GB2312" w:eastAsia="仿宋_GB2312" w:cs="仿宋_GB2312"/>
          <w:color w:val="auto"/>
          <w:kern w:val="0"/>
          <w:sz w:val="32"/>
          <w:szCs w:val="32"/>
          <w:highlight w:val="none"/>
          <w:u w:val="none"/>
          <w:shd w:val="clear" w:color="auto" w:fill="FFFFFF"/>
          <w:lang w:val="zh-CN" w:eastAsia="zh-CN"/>
        </w:rPr>
        <w:t>，</w:t>
      </w:r>
      <w:r>
        <w:rPr>
          <w:rFonts w:hint="default" w:ascii="仿宋_GB2312" w:hAnsi="仿宋_GB2312" w:eastAsia="仿宋_GB2312" w:cs="仿宋_GB2312"/>
          <w:color w:val="auto"/>
          <w:kern w:val="0"/>
          <w:sz w:val="32"/>
          <w:szCs w:val="32"/>
          <w:highlight w:val="none"/>
          <w:u w:val="none"/>
          <w:shd w:val="clear" w:color="auto" w:fill="FFFFFF"/>
          <w:lang w:val="zh-CN" w:eastAsia="zh-CN"/>
        </w:rPr>
        <w:t>报财政部门审批，经财政批复后下达项目</w:t>
      </w:r>
      <w:r>
        <w:rPr>
          <w:rFonts w:hint="eastAsia" w:ascii="仿宋_GB2312" w:hAnsi="仿宋_GB2312" w:eastAsia="仿宋_GB2312" w:cs="仿宋_GB2312"/>
          <w:color w:val="auto"/>
          <w:kern w:val="0"/>
          <w:sz w:val="32"/>
          <w:szCs w:val="32"/>
          <w:highlight w:val="none"/>
          <w:u w:val="none"/>
          <w:shd w:val="clear" w:color="auto" w:fill="FFFFFF"/>
          <w:lang w:val="zh-CN" w:eastAsia="zh-CN"/>
        </w:rPr>
        <w:t>通知，于</w:t>
      </w:r>
      <w:r>
        <w:rPr>
          <w:rFonts w:hint="eastAsia" w:ascii="仿宋_GB2312" w:hAnsi="仿宋_GB2312" w:eastAsia="仿宋_GB2312" w:cs="仿宋_GB2312"/>
          <w:color w:val="auto"/>
          <w:kern w:val="0"/>
          <w:sz w:val="32"/>
          <w:szCs w:val="32"/>
          <w:highlight w:val="none"/>
          <w:u w:val="none"/>
          <w:shd w:val="clear" w:color="auto" w:fill="FFFFFF"/>
          <w:lang w:val="en-US" w:eastAsia="zh-CN"/>
        </w:rPr>
        <w:t>2024年1月下专项经费120万元。</w:t>
      </w:r>
    </w:p>
    <w:p w14:paraId="26FEDEF4">
      <w:pPr>
        <w:numPr>
          <w:ilvl w:val="0"/>
          <w:numId w:val="0"/>
        </w:numPr>
        <w:adjustRightInd w:val="0"/>
        <w:snapToGrid w:val="0"/>
        <w:spacing w:line="578" w:lineRule="exact"/>
        <w:ind w:left="630" w:leftChars="0"/>
        <w:rPr>
          <w:rFonts w:hint="eastAsia" w:ascii="楷体_GB2312" w:hAnsi="宋体" w:eastAsia="楷体_GB2312"/>
          <w:b/>
          <w:sz w:val="32"/>
          <w:szCs w:val="32"/>
          <w:lang w:val="zh-CN"/>
        </w:rPr>
      </w:pPr>
    </w:p>
    <w:p w14:paraId="27E91249">
      <w:pPr>
        <w:numPr>
          <w:ilvl w:val="0"/>
          <w:numId w:val="0"/>
        </w:numPr>
        <w:adjustRightInd w:val="0"/>
        <w:snapToGrid w:val="0"/>
        <w:spacing w:line="578" w:lineRule="exact"/>
        <w:ind w:leftChars="200"/>
        <w:rPr>
          <w:rFonts w:hint="eastAsia" w:ascii="楷体_GB2312" w:hAnsi="宋体" w:eastAsia="楷体_GB2312"/>
          <w:b/>
          <w:sz w:val="32"/>
          <w:szCs w:val="32"/>
          <w:lang w:val="zh-CN"/>
        </w:rPr>
      </w:pPr>
      <w:r>
        <w:rPr>
          <w:rFonts w:hint="eastAsia" w:ascii="楷体_GB2312" w:hAnsi="宋体" w:eastAsia="楷体_GB2312"/>
          <w:b/>
          <w:sz w:val="32"/>
          <w:szCs w:val="32"/>
          <w:lang w:val="zh-CN"/>
        </w:rPr>
        <w:t>（</w:t>
      </w:r>
      <w:r>
        <w:rPr>
          <w:rFonts w:hint="eastAsia" w:ascii="楷体_GB2312" w:hAnsi="宋体" w:eastAsia="楷体_GB2312"/>
          <w:b/>
          <w:sz w:val="32"/>
          <w:szCs w:val="32"/>
          <w:lang w:val="en-US" w:eastAsia="zh-CN"/>
        </w:rPr>
        <w:t>四）</w:t>
      </w:r>
      <w:r>
        <w:rPr>
          <w:rFonts w:hint="eastAsia" w:ascii="楷体_GB2312" w:hAnsi="宋体" w:eastAsia="楷体_GB2312"/>
          <w:b/>
          <w:sz w:val="32"/>
          <w:szCs w:val="32"/>
          <w:lang w:val="zh-CN"/>
        </w:rPr>
        <w:t>项目绩效目标设置。</w:t>
      </w:r>
    </w:p>
    <w:p w14:paraId="305FB4AD">
      <w:pPr>
        <w:autoSpaceDE w:val="0"/>
        <w:autoSpaceDN w:val="0"/>
        <w:adjustRightInd w:val="0"/>
        <w:spacing w:line="600" w:lineRule="exact"/>
        <w:ind w:firstLine="640" w:firstLineChars="200"/>
        <w:jc w:val="left"/>
        <w:rPr>
          <w:rFonts w:hint="eastAsia" w:ascii="楷体_GB2312" w:hAnsi="宋体" w:eastAsia="楷体_GB2312"/>
          <w:b/>
          <w:sz w:val="32"/>
          <w:szCs w:val="32"/>
          <w:lang w:val="zh-CN"/>
        </w:rPr>
      </w:pPr>
      <w:r>
        <w:rPr>
          <w:rFonts w:eastAsia="仿宋_GB2312"/>
          <w:kern w:val="0"/>
          <w:sz w:val="32"/>
          <w:szCs w:val="32"/>
        </w:rPr>
        <w:t>按照把资金用到实处</w:t>
      </w:r>
      <w:r>
        <w:rPr>
          <w:rFonts w:hint="eastAsia" w:eastAsia="仿宋_GB2312"/>
          <w:kern w:val="0"/>
          <w:sz w:val="32"/>
          <w:szCs w:val="32"/>
          <w:lang w:eastAsia="zh-CN"/>
        </w:rPr>
        <w:t>，</w:t>
      </w:r>
      <w:r>
        <w:rPr>
          <w:rFonts w:eastAsia="仿宋_GB2312"/>
          <w:kern w:val="0"/>
          <w:sz w:val="32"/>
          <w:szCs w:val="32"/>
        </w:rPr>
        <w:t>确保资金不浪费</w:t>
      </w:r>
      <w:r>
        <w:rPr>
          <w:rFonts w:hint="eastAsia" w:eastAsia="仿宋_GB2312"/>
          <w:kern w:val="0"/>
          <w:sz w:val="32"/>
          <w:szCs w:val="32"/>
        </w:rPr>
        <w:t>的原则</w:t>
      </w:r>
      <w:r>
        <w:rPr>
          <w:rFonts w:hint="eastAsia" w:eastAsia="仿宋_GB2312"/>
          <w:kern w:val="0"/>
          <w:sz w:val="32"/>
          <w:szCs w:val="32"/>
          <w:lang w:eastAsia="zh-CN"/>
        </w:rPr>
        <w:t>，</w:t>
      </w:r>
      <w:r>
        <w:rPr>
          <w:rFonts w:eastAsia="仿宋_GB2312"/>
          <w:kern w:val="0"/>
          <w:sz w:val="32"/>
          <w:szCs w:val="32"/>
        </w:rPr>
        <w:t>确保每一分钱发挥最大的用处。按照</w:t>
      </w:r>
      <w:r>
        <w:rPr>
          <w:rFonts w:hint="eastAsia" w:eastAsia="仿宋_GB2312"/>
          <w:kern w:val="0"/>
          <w:sz w:val="32"/>
          <w:szCs w:val="32"/>
        </w:rPr>
        <w:t>2</w:t>
      </w:r>
      <w:r>
        <w:rPr>
          <w:rFonts w:eastAsia="仿宋_GB2312"/>
          <w:kern w:val="0"/>
          <w:sz w:val="32"/>
          <w:szCs w:val="32"/>
        </w:rPr>
        <w:t>02</w:t>
      </w:r>
      <w:r>
        <w:rPr>
          <w:rFonts w:hint="eastAsia" w:eastAsia="仿宋_GB2312"/>
          <w:kern w:val="0"/>
          <w:sz w:val="32"/>
          <w:szCs w:val="32"/>
          <w:lang w:val="en-US" w:eastAsia="zh-CN"/>
        </w:rPr>
        <w:t>4</w:t>
      </w:r>
      <w:r>
        <w:rPr>
          <w:rFonts w:eastAsia="仿宋_GB2312"/>
          <w:kern w:val="0"/>
          <w:sz w:val="32"/>
          <w:szCs w:val="32"/>
        </w:rPr>
        <w:t>年实际产生的门诊及住院费用进行补助。</w:t>
      </w:r>
    </w:p>
    <w:p w14:paraId="394FA88C">
      <w:pPr>
        <w:adjustRightInd w:val="0"/>
        <w:snapToGrid w:val="0"/>
        <w:spacing w:line="578" w:lineRule="exact"/>
        <w:ind w:firstLine="640" w:firstLineChars="200"/>
        <w:rPr>
          <w:rFonts w:hint="eastAsia" w:ascii="黑体" w:hAnsi="宋体" w:eastAsia="黑体"/>
          <w:color w:val="auto"/>
          <w:sz w:val="32"/>
          <w:szCs w:val="32"/>
        </w:rPr>
      </w:pPr>
      <w:r>
        <w:rPr>
          <w:rFonts w:hint="eastAsia" w:ascii="黑体" w:hAnsi="宋体" w:eastAsia="黑体"/>
          <w:color w:val="auto"/>
          <w:sz w:val="32"/>
          <w:szCs w:val="32"/>
        </w:rPr>
        <w:t>二、评价实施</w:t>
      </w:r>
    </w:p>
    <w:p w14:paraId="425E59C3">
      <w:pPr>
        <w:spacing w:line="578" w:lineRule="exact"/>
        <w:ind w:firstLine="640"/>
        <w:rPr>
          <w:rFonts w:hint="eastAsia" w:ascii="楷体_GB2312" w:hAnsi="宋体" w:eastAsia="楷体_GB2312"/>
          <w:b/>
          <w:sz w:val="32"/>
          <w:szCs w:val="32"/>
          <w:lang w:val="zh-CN"/>
        </w:rPr>
      </w:pPr>
      <w:r>
        <w:rPr>
          <w:rFonts w:hint="eastAsia" w:ascii="楷体_GB2312" w:hAnsi="宋体" w:eastAsia="楷体_GB2312"/>
          <w:b/>
          <w:sz w:val="32"/>
          <w:szCs w:val="32"/>
          <w:lang w:val="zh-CN"/>
        </w:rPr>
        <w:t>（一）评价目的。</w:t>
      </w:r>
    </w:p>
    <w:p w14:paraId="19683E8C">
      <w:pPr>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年医疗救助补助资金绩效总体目标为持续做好符合条件的救助对象参保缴费资助工作；</w:t>
      </w:r>
      <w:r>
        <w:rPr>
          <w:rFonts w:hint="eastAsia" w:ascii="仿宋_GB2312" w:hAnsi="仿宋_GB2312" w:eastAsia="仿宋_GB2312" w:cs="仿宋_GB2312"/>
          <w:color w:val="000000" w:themeColor="text1"/>
          <w:sz w:val="32"/>
          <w:szCs w:val="32"/>
        </w:rPr>
        <w:t>医疗救助对象覆盖低保、特困、纳入监测的易返贫致贫人口、低保边缘家庭成员和因病致贫重病患者。</w:t>
      </w:r>
      <w:r>
        <w:rPr>
          <w:rFonts w:hint="eastAsia" w:ascii="仿宋_GB2312" w:hAnsi="仿宋_GB2312" w:eastAsia="仿宋_GB2312" w:cs="仿宋_GB2312"/>
          <w:sz w:val="32"/>
          <w:szCs w:val="32"/>
        </w:rPr>
        <w:t>重点救助对象自付政策范围内医疗费用按规定年度限额内住院救助比例达到80%；加强医疗救助规范管理、统筹医疗救助，探索建立防范和化解因病致贫风险的长效机制。</w:t>
      </w:r>
    </w:p>
    <w:p w14:paraId="0115EC3E">
      <w:pPr>
        <w:numPr>
          <w:ilvl w:val="0"/>
          <w:numId w:val="8"/>
        </w:numPr>
        <w:adjustRightInd w:val="0"/>
        <w:snapToGrid w:val="0"/>
        <w:spacing w:line="578" w:lineRule="exact"/>
        <w:ind w:left="0" w:leftChars="0"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预设问题及评价重点。</w:t>
      </w:r>
    </w:p>
    <w:p w14:paraId="0280C292">
      <w:pPr>
        <w:pStyle w:val="34"/>
        <w:keepNext w:val="0"/>
        <w:keepLines w:val="0"/>
        <w:pageBreakBefore w:val="0"/>
        <w:widowControl w:val="0"/>
        <w:kinsoku/>
        <w:wordWrap/>
        <w:overflowPunct/>
        <w:topLinePunct w:val="0"/>
        <w:bidi w:val="0"/>
        <w:spacing w:line="560" w:lineRule="exact"/>
        <w:ind w:firstLine="640" w:firstLineChars="200"/>
        <w:jc w:val="left"/>
        <w:rPr>
          <w:rFonts w:hint="default" w:ascii="仿宋_GB2312" w:hAnsi="仿宋_GB2312" w:eastAsia="仿宋_GB2312" w:cs="仿宋_GB2312"/>
          <w:color w:val="auto"/>
          <w:kern w:val="0"/>
          <w:sz w:val="32"/>
          <w:szCs w:val="32"/>
          <w:lang w:val="en-US" w:eastAsia="zh-CN" w:bidi="ar-SA"/>
        </w:rPr>
      </w:pPr>
      <w:r>
        <w:rPr>
          <w:rFonts w:hint="default" w:ascii="仿宋_GB2312" w:hAnsi="仿宋_GB2312" w:eastAsia="仿宋_GB2312" w:cs="仿宋_GB2312"/>
          <w:color w:val="auto"/>
          <w:kern w:val="0"/>
          <w:sz w:val="32"/>
          <w:szCs w:val="32"/>
          <w:lang w:val="en-US" w:eastAsia="zh-CN" w:bidi="ar-SA"/>
        </w:rPr>
        <w:t>截止202</w:t>
      </w:r>
      <w:r>
        <w:rPr>
          <w:rFonts w:hint="eastAsia" w:ascii="仿宋_GB2312" w:hAnsi="仿宋_GB2312" w:eastAsia="仿宋_GB2312" w:cs="仿宋_GB2312"/>
          <w:color w:val="auto"/>
          <w:kern w:val="0"/>
          <w:sz w:val="32"/>
          <w:szCs w:val="32"/>
          <w:lang w:val="en-US" w:eastAsia="zh-CN" w:bidi="ar-SA"/>
        </w:rPr>
        <w:t>4</w:t>
      </w:r>
      <w:r>
        <w:rPr>
          <w:rFonts w:hint="default" w:ascii="仿宋_GB2312" w:hAnsi="仿宋_GB2312" w:eastAsia="仿宋_GB2312" w:cs="仿宋_GB2312"/>
          <w:color w:val="auto"/>
          <w:kern w:val="0"/>
          <w:sz w:val="32"/>
          <w:szCs w:val="32"/>
          <w:lang w:val="en-US" w:eastAsia="zh-CN" w:bidi="ar-SA"/>
        </w:rPr>
        <w:t>年12月底，</w:t>
      </w:r>
      <w:r>
        <w:rPr>
          <w:rFonts w:hint="eastAsia" w:ascii="仿宋_GB2312" w:hAnsi="仿宋_GB2312" w:eastAsia="仿宋_GB2312" w:cs="仿宋_GB2312"/>
          <w:color w:val="auto"/>
          <w:kern w:val="0"/>
          <w:sz w:val="32"/>
          <w:szCs w:val="32"/>
          <w:lang w:val="en-US" w:eastAsia="zh-CN" w:bidi="ar-SA"/>
        </w:rPr>
        <w:t>医疗救助资金115.52</w:t>
      </w:r>
      <w:r>
        <w:rPr>
          <w:rFonts w:hint="default" w:ascii="仿宋_GB2312" w:hAnsi="仿宋_GB2312" w:eastAsia="仿宋_GB2312" w:cs="仿宋_GB2312"/>
          <w:color w:val="auto"/>
          <w:kern w:val="0"/>
          <w:sz w:val="32"/>
          <w:szCs w:val="32"/>
          <w:lang w:val="en-US" w:eastAsia="zh-CN" w:bidi="ar-SA"/>
        </w:rPr>
        <w:t>万元，资金拨付率</w:t>
      </w:r>
      <w:r>
        <w:rPr>
          <w:rFonts w:hint="eastAsia" w:ascii="仿宋_GB2312" w:hAnsi="仿宋_GB2312" w:eastAsia="仿宋_GB2312" w:cs="仿宋_GB2312"/>
          <w:color w:val="auto"/>
          <w:kern w:val="0"/>
          <w:sz w:val="32"/>
          <w:szCs w:val="32"/>
          <w:lang w:val="en-US" w:eastAsia="zh-CN" w:bidi="ar-SA"/>
        </w:rPr>
        <w:t>100</w:t>
      </w:r>
      <w:r>
        <w:rPr>
          <w:rFonts w:hint="default" w:ascii="仿宋_GB2312" w:hAnsi="仿宋_GB2312" w:eastAsia="仿宋_GB2312" w:cs="仿宋_GB2312"/>
          <w:color w:val="auto"/>
          <w:kern w:val="0"/>
          <w:sz w:val="32"/>
          <w:szCs w:val="32"/>
          <w:lang w:val="en-US" w:eastAsia="zh-CN" w:bidi="ar-SA"/>
        </w:rPr>
        <w:t>%，严格按照资金使用管理要求，资金支付范围、标准、进度等合规合法，符合预算要求，未发现违纪违法问题。</w:t>
      </w:r>
    </w:p>
    <w:p w14:paraId="59C256A1">
      <w:pPr>
        <w:adjustRightInd w:val="0"/>
        <w:snapToGrid w:val="0"/>
        <w:spacing w:line="578" w:lineRule="exact"/>
        <w:ind w:firstLine="643"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（三）评价选点。</w:t>
      </w:r>
    </w:p>
    <w:p w14:paraId="542358C8">
      <w:pPr>
        <w:pStyle w:val="5"/>
        <w:ind w:firstLine="640" w:firstLineChars="200"/>
        <w:rPr>
          <w:rFonts w:hint="eastAsia"/>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跟踪改进计划的实施，确保改进措施能够有效提高项目质量</w:t>
      </w:r>
      <w:r>
        <w:rPr>
          <w:rFonts w:hint="eastAsia" w:hAnsi="仿宋_GB2312" w:cs="仿宋_GB2312"/>
          <w:color w:val="auto"/>
          <w:kern w:val="0"/>
          <w:sz w:val="32"/>
          <w:szCs w:val="32"/>
          <w:highlight w:val="none"/>
          <w:u w:val="none"/>
          <w:shd w:val="clear" w:color="auto" w:fill="FFFFFF"/>
          <w:lang w:val="en-US" w:eastAsia="zh-CN"/>
        </w:rPr>
        <w:t>。</w:t>
      </w:r>
    </w:p>
    <w:p w14:paraId="46DF484C">
      <w:pPr>
        <w:spacing w:line="578" w:lineRule="exact"/>
        <w:ind w:firstLine="640"/>
        <w:rPr>
          <w:rFonts w:hint="eastAsia" w:ascii="楷体_GB2312" w:hAnsi="宋体" w:eastAsia="楷体_GB2312"/>
          <w:b/>
          <w:sz w:val="32"/>
          <w:szCs w:val="32"/>
          <w:lang w:val="zh-CN"/>
        </w:rPr>
      </w:pPr>
      <w:r>
        <w:rPr>
          <w:rFonts w:hint="eastAsia" w:ascii="楷体_GB2312" w:hAnsi="宋体" w:eastAsia="楷体_GB2312"/>
          <w:b/>
          <w:sz w:val="32"/>
          <w:szCs w:val="32"/>
          <w:lang w:val="zh-CN"/>
        </w:rPr>
        <w:t>（四）评价方法。</w:t>
      </w:r>
    </w:p>
    <w:p w14:paraId="70EB4895">
      <w:pPr>
        <w:pStyle w:val="5"/>
        <w:rPr>
          <w:rFonts w:hint="default" w:eastAsia="楷体_GB2312"/>
          <w:lang w:val="en-US" w:eastAsia="zh-CN"/>
        </w:rPr>
      </w:pPr>
      <w:r>
        <w:rPr>
          <w:rFonts w:hint="eastAsia" w:ascii="楷体_GB2312" w:hAnsi="宋体" w:eastAsia="楷体_GB2312"/>
          <w:b/>
          <w:sz w:val="32"/>
          <w:szCs w:val="32"/>
          <w:lang w:val="en-US" w:eastAsia="zh-CN"/>
        </w:rPr>
        <w:t xml:space="preserve">  </w:t>
      </w:r>
      <w:r>
        <w:rPr>
          <w:rFonts w:hint="eastAsia" w:ascii="仿宋_GB2312" w:hAnsi="仿宋_GB2312" w:eastAsia="仿宋_GB2312" w:cs="仿宋_GB2312"/>
          <w:color w:val="auto"/>
          <w:kern w:val="0"/>
          <w:sz w:val="32"/>
          <w:szCs w:val="32"/>
          <w:highlight w:val="none"/>
          <w:u w:val="none"/>
          <w:shd w:val="clear" w:color="auto" w:fill="FFFFFF"/>
          <w:lang w:val="en-US" w:eastAsia="zh-CN"/>
        </w:rPr>
        <w:t>1.明确自评目的：明确自评的目的。2.收集信息：收集项目相关信息，包括项目计划、项目进度、项目问题等。3.评估项目进度：根据项目计划和实际进度进行比较，评估项目是否按时完成</w:t>
      </w:r>
      <w:r>
        <w:rPr>
          <w:rFonts w:hint="eastAsia" w:ascii="仿宋_GB2312" w:hAnsi="仿宋_GB2312" w:eastAsia="仿宋_GB2312" w:cs="仿宋_GB2312"/>
          <w:color w:val="auto"/>
          <w:kern w:val="0"/>
          <w:sz w:val="32"/>
          <w:szCs w:val="32"/>
          <w:highlight w:val="none"/>
          <w:u w:val="none"/>
          <w:shd w:val="clear" w:color="auto" w:fill="FFFFFF"/>
          <w:lang w:val="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4.评估项目质量：根据项目成果和项目要求进行比较，评估项目是否按时完成。5.评估项目风险：根据项目进程中出现的问题进行评估，评估项目未来可能出现的风险。6.制定改进计划：根据自评结果制定改进计划，确保项目能够顺利完成。7.跟踪实施：跟踪改进计划的实施，确保改进措施能够有效提高项目质量。8.总结评估：总结自评过程和结果，为今后的项目管理做出参考。</w:t>
      </w:r>
    </w:p>
    <w:p w14:paraId="747DCB4E">
      <w:pPr>
        <w:spacing w:line="578" w:lineRule="exact"/>
        <w:ind w:firstLine="640"/>
        <w:rPr>
          <w:rFonts w:hint="eastAsia" w:ascii="楷体_GB2312" w:hAnsi="宋体" w:eastAsia="楷体_GB2312"/>
          <w:b/>
          <w:sz w:val="32"/>
          <w:szCs w:val="32"/>
          <w:lang w:val="zh-CN"/>
        </w:rPr>
      </w:pPr>
      <w:r>
        <w:rPr>
          <w:rFonts w:hint="eastAsia" w:ascii="楷体_GB2312" w:hAnsi="宋体" w:eastAsia="楷体_GB2312"/>
          <w:b/>
          <w:sz w:val="32"/>
          <w:szCs w:val="32"/>
          <w:lang w:val="zh-CN"/>
        </w:rPr>
        <w:t>（五）评价组织。</w:t>
      </w:r>
    </w:p>
    <w:p w14:paraId="70B53899">
      <w:pPr>
        <w:ind w:firstLine="640" w:firstLineChars="200"/>
        <w:rPr>
          <w:rFonts w:hint="eastAsia"/>
        </w:rPr>
      </w:pPr>
      <w:r>
        <w:rPr>
          <w:rFonts w:hint="eastAsia" w:ascii="仿宋_GB2312" w:hAnsi="仿宋_GB2312" w:eastAsia="仿宋_GB2312" w:cs="仿宋_GB2312"/>
          <w:b w:val="0"/>
          <w:bCs w:val="0"/>
          <w:color w:val="auto"/>
          <w:kern w:val="0"/>
          <w:position w:val="0"/>
          <w:sz w:val="32"/>
          <w:szCs w:val="32"/>
          <w:highlight w:val="none"/>
          <w:lang w:val="zh-CN" w:eastAsia="zh-CN" w:bidi="ar-SA"/>
        </w:rPr>
        <w:t>成立</w:t>
      </w:r>
      <w:r>
        <w:rPr>
          <w:rFonts w:hint="eastAsia" w:ascii="仿宋_GB2312" w:hAnsi="仿宋_GB2312" w:eastAsia="仿宋_GB2312" w:cs="仿宋_GB2312"/>
          <w:b w:val="0"/>
          <w:bCs w:val="0"/>
          <w:color w:val="auto"/>
          <w:kern w:val="0"/>
          <w:position w:val="0"/>
          <w:sz w:val="32"/>
          <w:szCs w:val="32"/>
          <w:highlight w:val="none"/>
          <w:lang w:val="en-US" w:eastAsia="zh-CN" w:bidi="ar-SA"/>
        </w:rPr>
        <w:t>攀枝花市仁和区医疗保障局</w:t>
      </w:r>
      <w:r>
        <w:rPr>
          <w:rFonts w:hint="eastAsia" w:ascii="仿宋_GB2312" w:hAnsi="仿宋_GB2312" w:eastAsia="仿宋_GB2312" w:cs="仿宋_GB2312"/>
          <w:b w:val="0"/>
          <w:bCs w:val="0"/>
          <w:color w:val="auto"/>
          <w:kern w:val="0"/>
          <w:position w:val="0"/>
          <w:sz w:val="32"/>
          <w:szCs w:val="32"/>
          <w:highlight w:val="none"/>
          <w:lang w:val="zh-CN" w:eastAsia="zh-CN" w:bidi="ar-SA"/>
        </w:rPr>
        <w:t>项目绩效评价领导小组，</w:t>
      </w:r>
      <w:r>
        <w:rPr>
          <w:rFonts w:hint="default" w:ascii="仿宋_GB2312" w:eastAsia="仿宋_GB2312"/>
          <w:sz w:val="32"/>
          <w:szCs w:val="32"/>
          <w:lang w:val="en-US" w:eastAsia="zh-CN"/>
        </w:rPr>
        <w:t>由</w:t>
      </w:r>
      <w:r>
        <w:rPr>
          <w:rFonts w:hint="eastAsia" w:ascii="仿宋_GB2312" w:eastAsia="仿宋_GB2312"/>
          <w:sz w:val="32"/>
          <w:szCs w:val="32"/>
          <w:lang w:val="en-US" w:eastAsia="zh-CN"/>
        </w:rPr>
        <w:t>局长黄万方担任组长，副局长金学全担任副组长，马燕、苏雪梅为成员，明确责任分工，确保工作落到实处。</w:t>
      </w:r>
    </w:p>
    <w:p w14:paraId="407AB108">
      <w:pPr>
        <w:numPr>
          <w:ilvl w:val="0"/>
          <w:numId w:val="0"/>
        </w:numPr>
        <w:adjustRightInd w:val="0"/>
        <w:snapToGrid w:val="0"/>
        <w:spacing w:line="578" w:lineRule="exact"/>
        <w:ind w:leftChars="200" w:firstLine="320" w:firstLineChars="100"/>
        <w:rPr>
          <w:rFonts w:hint="eastAsia" w:ascii="仿宋_GB2312" w:hAnsi="宋体"/>
          <w:sz w:val="32"/>
          <w:szCs w:val="32"/>
          <w:lang w:val="zh-CN"/>
        </w:rPr>
      </w:pPr>
      <w:r>
        <w:rPr>
          <w:rFonts w:hint="eastAsia" w:ascii="黑体" w:hAnsi="宋体" w:eastAsia="黑体"/>
          <w:sz w:val="32"/>
          <w:szCs w:val="32"/>
          <w:lang w:val="en-US" w:eastAsia="zh-CN"/>
        </w:rPr>
        <w:t>三、</w:t>
      </w:r>
      <w:r>
        <w:rPr>
          <w:rFonts w:hint="eastAsia" w:ascii="黑体" w:hAnsi="宋体" w:eastAsia="黑体"/>
          <w:sz w:val="32"/>
          <w:szCs w:val="32"/>
        </w:rPr>
        <w:t>绩效分析</w:t>
      </w:r>
      <w:r>
        <w:rPr>
          <w:rFonts w:hint="eastAsia" w:ascii="黑体" w:hAnsi="宋体" w:eastAsia="黑体"/>
          <w:sz w:val="32"/>
          <w:szCs w:val="32"/>
          <w:lang w:val="zh-CN"/>
        </w:rPr>
        <w:tab/>
      </w:r>
    </w:p>
    <w:p w14:paraId="2082EA67">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医疗救助是各级党委、政府解决困难群众医疗负担问题的制度性安排，是社会救助体系内的基本内容之一。</w:t>
      </w:r>
      <w:r>
        <w:rPr>
          <w:rFonts w:hint="eastAsia" w:ascii="仿宋_GB2312" w:hAnsi="仿宋_GB2312" w:eastAsia="仿宋_GB2312" w:cs="仿宋_GB2312"/>
          <w:kern w:val="0"/>
          <w:sz w:val="32"/>
          <w:szCs w:val="32"/>
        </w:rPr>
        <w:t>困难群众看病就医方便程度持续提高，有效健全了社会救助体系</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kern w:val="0"/>
          <w:sz w:val="32"/>
          <w:szCs w:val="32"/>
        </w:rPr>
        <w:t>医疗救助对象覆盖范围100%，通过“一站式”住院救助，实现救助对象享受医疗救助待遇“零等待”，给困难群众提供方便快捷的看病就医环境，有效缓解了救助对象自</w:t>
      </w:r>
      <w:r>
        <w:rPr>
          <w:rFonts w:hint="eastAsia" w:ascii="仿宋_GB2312" w:hAnsi="仿宋_GB2312" w:eastAsia="仿宋_GB2312" w:cs="仿宋_GB2312"/>
          <w:kern w:val="0"/>
          <w:sz w:val="32"/>
          <w:szCs w:val="32"/>
          <w:lang w:val="en-US" w:eastAsia="zh-CN"/>
        </w:rPr>
        <w:t>费</w:t>
      </w:r>
      <w:r>
        <w:rPr>
          <w:rFonts w:hint="eastAsia" w:ascii="仿宋_GB2312" w:hAnsi="仿宋_GB2312" w:eastAsia="仿宋_GB2312" w:cs="仿宋_GB2312"/>
          <w:kern w:val="0"/>
          <w:sz w:val="32"/>
          <w:szCs w:val="32"/>
        </w:rPr>
        <w:t>医疗费高，减轻困难群众就医负担，为全社会编织了一张相对完整的医疗保障网络，维护了社会稳定。</w:t>
      </w:r>
    </w:p>
    <w:p w14:paraId="42278619">
      <w:pPr>
        <w:autoSpaceDE w:val="0"/>
        <w:autoSpaceDN w:val="0"/>
        <w:adjustRightInd w:val="0"/>
        <w:spacing w:line="600" w:lineRule="exact"/>
        <w:ind w:firstLine="420" w:firstLineChars="200"/>
        <w:jc w:val="left"/>
        <w:rPr>
          <w:lang w:val="zh-CN"/>
        </w:rPr>
      </w:pPr>
    </w:p>
    <w:p w14:paraId="05AE816F">
      <w:pPr>
        <w:spacing w:line="578" w:lineRule="exact"/>
        <w:ind w:firstLine="640"/>
        <w:rPr>
          <w:rFonts w:hint="eastAsia" w:ascii="楷体_GB2312" w:hAnsi="宋体" w:eastAsia="楷体_GB2312"/>
          <w:b/>
          <w:sz w:val="32"/>
          <w:szCs w:val="32"/>
        </w:rPr>
      </w:pPr>
      <w:r>
        <w:rPr>
          <w:rFonts w:hint="eastAsia" w:ascii="楷体_GB2312" w:hAnsi="宋体" w:eastAsia="楷体_GB2312"/>
          <w:b/>
          <w:sz w:val="32"/>
          <w:szCs w:val="32"/>
          <w:lang w:val="zh-CN"/>
        </w:rPr>
        <w:t>（一）</w:t>
      </w:r>
      <w:r>
        <w:rPr>
          <w:rFonts w:hint="eastAsia" w:ascii="楷体_GB2312" w:hAnsi="宋体" w:eastAsia="楷体_GB2312"/>
          <w:b/>
          <w:sz w:val="32"/>
          <w:szCs w:val="32"/>
        </w:rPr>
        <w:t>通用指标</w:t>
      </w:r>
      <w:r>
        <w:rPr>
          <w:rFonts w:ascii="Times New Roman" w:hAnsi="Times New Roman" w:eastAsia="楷体_GB2312"/>
          <w:b/>
          <w:bCs/>
          <w:color w:val="000000"/>
          <w:kern w:val="0"/>
          <w:sz w:val="32"/>
          <w:szCs w:val="32"/>
          <w:shd w:val="clear" w:color="auto" w:fill="FFFFFF"/>
          <w:lang w:val="zh-CN"/>
        </w:rPr>
        <w:t>绩效分析。</w:t>
      </w:r>
    </w:p>
    <w:p w14:paraId="654D48D1">
      <w:pPr>
        <w:spacing w:line="578" w:lineRule="exact"/>
        <w:ind w:firstLine="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项目决策。</w:t>
      </w:r>
    </w:p>
    <w:p w14:paraId="2D652A96">
      <w:pPr>
        <w:spacing w:line="540" w:lineRule="exact"/>
        <w:ind w:firstLine="640" w:firstLineChars="200"/>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按政策规定对2024年</w:t>
      </w:r>
      <w:r>
        <w:rPr>
          <w:rFonts w:hint="eastAsia" w:ascii="仿宋_GB2312" w:eastAsia="仿宋_GB2312"/>
          <w:sz w:val="32"/>
          <w:szCs w:val="32"/>
        </w:rPr>
        <w:t>医疗救助资助参保、住院救助、门诊救助。</w:t>
      </w:r>
    </w:p>
    <w:p w14:paraId="04898746">
      <w:pPr>
        <w:numPr>
          <w:ilvl w:val="0"/>
          <w:numId w:val="0"/>
        </w:numPr>
        <w:spacing w:line="578"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项目管理。</w:t>
      </w:r>
    </w:p>
    <w:p w14:paraId="7447F10B">
      <w:pPr>
        <w:spacing w:line="578" w:lineRule="exact"/>
        <w:ind w:firstLine="640" w:firstLineChars="200"/>
        <w:rPr>
          <w:rFonts w:hint="eastAsia" w:ascii="Times New Roman" w:hAnsi="Times New Roman" w:eastAsia="仿宋_GB2312"/>
          <w:kern w:val="0"/>
          <w:sz w:val="32"/>
          <w:szCs w:val="32"/>
          <w:lang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按照相关法律法规及项</w:t>
      </w:r>
      <w:r>
        <w:rPr>
          <w:rFonts w:hint="eastAsia" w:ascii="Times New Roman" w:hAnsi="Times New Roman" w:eastAsia="仿宋_GB2312"/>
          <w:kern w:val="0"/>
          <w:sz w:val="32"/>
          <w:szCs w:val="32"/>
        </w:rPr>
        <w:t>目管理制度推进相关工作</w:t>
      </w:r>
      <w:r>
        <w:rPr>
          <w:rFonts w:hint="eastAsia" w:ascii="Times New Roman" w:hAnsi="Times New Roman" w:eastAsia="仿宋_GB2312"/>
          <w:kern w:val="0"/>
          <w:sz w:val="32"/>
          <w:szCs w:val="32"/>
          <w:lang w:eastAsia="zh-CN"/>
        </w:rPr>
        <w:t>。</w:t>
      </w:r>
    </w:p>
    <w:p w14:paraId="47C8AA6E">
      <w:pPr>
        <w:numPr>
          <w:ilvl w:val="0"/>
          <w:numId w:val="0"/>
        </w:numPr>
        <w:spacing w:line="578"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项目实施。</w:t>
      </w:r>
    </w:p>
    <w:p w14:paraId="130BD88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项目由仁和区医疗保障局负责，由仁和区医疗保障事务中心负责实施。按照实际参保人员进行补助、报销。</w:t>
      </w:r>
    </w:p>
    <w:p w14:paraId="28D0A25B">
      <w:pPr>
        <w:numPr>
          <w:ilvl w:val="0"/>
          <w:numId w:val="9"/>
        </w:num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项目结果。</w:t>
      </w:r>
    </w:p>
    <w:p w14:paraId="555FC080">
      <w:pPr>
        <w:numPr>
          <w:ilvl w:val="0"/>
          <w:numId w:val="0"/>
        </w:numPr>
        <w:spacing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年医疗救助补助资金绩效总体目标为持续做好符合条件的救助对象参保缴费资助工作；</w:t>
      </w:r>
      <w:r>
        <w:rPr>
          <w:rFonts w:hint="eastAsia" w:ascii="仿宋_GB2312" w:hAnsi="仿宋_GB2312" w:eastAsia="仿宋_GB2312" w:cs="仿宋_GB2312"/>
          <w:color w:val="000000" w:themeColor="text1"/>
          <w:sz w:val="32"/>
          <w:szCs w:val="32"/>
        </w:rPr>
        <w:t>医疗救助对象覆盖低保、特困、纳入监测的易返贫致贫人口、低保边缘家庭成员和因病致贫重病患者。</w:t>
      </w:r>
      <w:r>
        <w:rPr>
          <w:rFonts w:hint="eastAsia" w:ascii="仿宋_GB2312" w:hAnsi="仿宋_GB2312" w:eastAsia="仿宋_GB2312" w:cs="仿宋_GB2312"/>
          <w:sz w:val="32"/>
          <w:szCs w:val="32"/>
        </w:rPr>
        <w:t>重点救助对象自付政策范围内医疗费用按规定年度限额内住院救助比例达到</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0%；加强医疗救助规范管理、统筹医疗救助，探索建立防范和化解因病致贫风险的长效机制。</w:t>
      </w:r>
    </w:p>
    <w:p w14:paraId="739622A0">
      <w:pPr>
        <w:spacing w:line="578" w:lineRule="exact"/>
        <w:ind w:firstLine="643" w:firstLineChars="200"/>
        <w:rPr>
          <w:rFonts w:hint="eastAsia" w:ascii="仿宋_GB2312" w:hAnsi="仿宋_GB2312" w:eastAsia="仿宋_GB2312" w:cs="仿宋_GB2312"/>
          <w:color w:val="auto"/>
          <w:kern w:val="0"/>
          <w:sz w:val="32"/>
          <w:szCs w:val="32"/>
          <w:lang w:val="zh-CN"/>
        </w:rPr>
      </w:pPr>
      <w:r>
        <w:rPr>
          <w:rFonts w:hint="eastAsia" w:ascii="楷体_GB2312" w:hAnsi="宋体" w:eastAsia="楷体_GB2312"/>
          <w:b/>
          <w:color w:val="auto"/>
          <w:sz w:val="32"/>
          <w:szCs w:val="32"/>
          <w:highlight w:val="none"/>
          <w:lang w:val="zh-CN"/>
        </w:rPr>
        <w:t>（二）</w:t>
      </w:r>
      <w:r>
        <w:rPr>
          <w:rFonts w:hint="eastAsia" w:ascii="楷体_GB2312" w:hAnsi="宋体" w:eastAsia="楷体_GB2312"/>
          <w:b/>
          <w:color w:val="auto"/>
          <w:sz w:val="32"/>
          <w:szCs w:val="32"/>
          <w:highlight w:val="none"/>
        </w:rPr>
        <w:t>专用指标</w:t>
      </w:r>
      <w:r>
        <w:rPr>
          <w:rFonts w:ascii="Times New Roman" w:hAnsi="Times New Roman" w:eastAsia="楷体_GB2312"/>
          <w:b/>
          <w:bCs/>
          <w:color w:val="auto"/>
          <w:kern w:val="0"/>
          <w:sz w:val="32"/>
          <w:szCs w:val="32"/>
          <w:highlight w:val="none"/>
          <w:shd w:val="clear" w:color="auto" w:fill="FFFFFF"/>
          <w:lang w:val="zh-CN"/>
        </w:rPr>
        <w:t>绩效分析。</w:t>
      </w:r>
    </w:p>
    <w:p w14:paraId="5CD030B2">
      <w:pPr>
        <w:spacing w:line="578"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产业发展。</w:t>
      </w:r>
    </w:p>
    <w:p w14:paraId="2599D052">
      <w:pPr>
        <w:spacing w:line="560" w:lineRule="exact"/>
        <w:ind w:firstLine="640" w:firstLineChars="200"/>
        <w:rPr>
          <w:rFonts w:hint="eastAsia"/>
        </w:rPr>
      </w:pPr>
      <w:r>
        <w:rPr>
          <w:rFonts w:hint="eastAsia" w:ascii="仿宋_GB2312" w:hAnsi="仿宋_GB2312" w:eastAsia="仿宋_GB2312" w:cs="仿宋_GB2312"/>
          <w:color w:val="000000" w:themeColor="text1"/>
          <w:kern w:val="0"/>
          <w:sz w:val="32"/>
          <w:szCs w:val="32"/>
        </w:rPr>
        <w:t>对健全社会救助体系有明显的促进作用，有助于健全医疗保障体系。</w:t>
      </w:r>
      <w:r>
        <w:rPr>
          <w:rFonts w:hint="eastAsia" w:ascii="仿宋_GB2312" w:hAnsi="仿宋_GB2312" w:eastAsia="仿宋_GB2312" w:cs="仿宋_GB2312"/>
          <w:color w:val="000000" w:themeColor="text1"/>
          <w:sz w:val="32"/>
          <w:szCs w:val="32"/>
        </w:rPr>
        <w:t>202</w:t>
      </w:r>
      <w:r>
        <w:rPr>
          <w:rFonts w:hint="eastAsia" w:ascii="仿宋_GB2312" w:hAnsi="仿宋_GB2312" w:eastAsia="仿宋_GB2312" w:cs="仿宋_GB2312"/>
          <w:color w:val="000000" w:themeColor="text1"/>
          <w:sz w:val="32"/>
          <w:szCs w:val="32"/>
          <w:lang w:val="en-US" w:eastAsia="zh-CN"/>
        </w:rPr>
        <w:t>4</w:t>
      </w:r>
      <w:r>
        <w:rPr>
          <w:rFonts w:hint="eastAsia" w:ascii="仿宋_GB2312" w:hAnsi="仿宋_GB2312" w:eastAsia="仿宋_GB2312" w:cs="仿宋_GB2312"/>
          <w:color w:val="000000" w:themeColor="text1"/>
          <w:sz w:val="32"/>
          <w:szCs w:val="32"/>
        </w:rPr>
        <w:t>年，</w:t>
      </w:r>
      <w:r>
        <w:rPr>
          <w:rFonts w:hint="eastAsia" w:ascii="仿宋_GB2312" w:hAnsi="仿宋_GB2312" w:eastAsia="仿宋_GB2312" w:cs="仿宋_GB2312"/>
          <w:color w:val="000000" w:themeColor="text1"/>
          <w:sz w:val="32"/>
          <w:szCs w:val="32"/>
          <w:lang w:val="en-US" w:eastAsia="zh-CN"/>
        </w:rPr>
        <w:t>仁和区</w:t>
      </w:r>
      <w:r>
        <w:rPr>
          <w:rFonts w:hint="eastAsia" w:ascii="仿宋_GB2312" w:hAnsi="仿宋_GB2312" w:eastAsia="仿宋_GB2312" w:cs="仿宋_GB2312"/>
          <w:color w:val="000000" w:themeColor="text1"/>
          <w:sz w:val="32"/>
          <w:szCs w:val="32"/>
        </w:rPr>
        <w:t>全面贯彻落实国家、省、市医疗救助政策，切实履行了医疗救助工作分级管理，医疗救助资金分级负担的职责，县医疗保障部门做好救助对象救助工作，规范执行政策，</w:t>
      </w:r>
      <w:r>
        <w:rPr>
          <w:rFonts w:hint="eastAsia" w:ascii="仿宋_GB2312" w:hAnsi="仿宋_GB2312" w:eastAsia="仿宋_GB2312" w:cs="仿宋_GB2312"/>
          <w:color w:val="000000" w:themeColor="text1"/>
          <w:sz w:val="32"/>
          <w:szCs w:val="32"/>
          <w:lang w:val="en-US" w:eastAsia="zh-CN"/>
        </w:rPr>
        <w:t>会同各</w:t>
      </w:r>
      <w:r>
        <w:rPr>
          <w:rFonts w:hint="eastAsia" w:ascii="仿宋_GB2312" w:hAnsi="仿宋_GB2312" w:eastAsia="仿宋_GB2312" w:cs="仿宋_GB2312"/>
          <w:color w:val="000000" w:themeColor="text1"/>
          <w:sz w:val="32"/>
          <w:szCs w:val="32"/>
        </w:rPr>
        <w:t>级部门建立并实施了部门间数据交换，有效维护困难群众利益，保障医疗救助制度可持续性发展。</w:t>
      </w:r>
    </w:p>
    <w:p w14:paraId="5FAC12AE">
      <w:pPr>
        <w:numPr>
          <w:ilvl w:val="0"/>
          <w:numId w:val="0"/>
        </w:numPr>
        <w:spacing w:line="578" w:lineRule="exact"/>
        <w:ind w:firstLine="640" w:firstLineChars="20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lang w:val="zh-CN"/>
        </w:rPr>
        <w:t>民生保障。</w:t>
      </w:r>
    </w:p>
    <w:p w14:paraId="5A7510E5">
      <w:pPr>
        <w:spacing w:line="540" w:lineRule="exact"/>
        <w:ind w:firstLine="640" w:firstLineChars="200"/>
        <w:rPr>
          <w:rFonts w:hint="default" w:ascii="仿宋_GB2312" w:hAnsi="仿宋_GB2312" w:eastAsia="仿宋_GB2312" w:cs="仿宋_GB2312"/>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2024年</w:t>
      </w:r>
      <w:r>
        <w:rPr>
          <w:rFonts w:hint="eastAsia" w:ascii="仿宋_GB2312" w:eastAsia="仿宋_GB2312"/>
          <w:sz w:val="32"/>
          <w:szCs w:val="32"/>
        </w:rPr>
        <w:t>医疗救助资助参保、住院救助、门诊救助</w:t>
      </w:r>
      <w:r>
        <w:rPr>
          <w:rFonts w:hint="eastAsia" w:ascii="仿宋_GB2312" w:eastAsia="仿宋_GB2312"/>
          <w:sz w:val="32"/>
          <w:szCs w:val="32"/>
          <w:lang w:val="en-US" w:eastAsia="zh-CN"/>
        </w:rPr>
        <w:t>等人员得到有效的资助。</w:t>
      </w:r>
    </w:p>
    <w:p w14:paraId="0E07C6B6">
      <w:pPr>
        <w:numPr>
          <w:ilvl w:val="0"/>
          <w:numId w:val="0"/>
        </w:numPr>
        <w:spacing w:line="578"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基础设施。</w:t>
      </w:r>
    </w:p>
    <w:p w14:paraId="7EEE14B8">
      <w:pPr>
        <w:pStyle w:val="5"/>
        <w:ind w:firstLine="640" w:firstLineChars="200"/>
        <w:rPr>
          <w:rFonts w:hint="eastAsia"/>
        </w:rPr>
      </w:pPr>
      <w:r>
        <w:rPr>
          <w:rFonts w:hint="eastAsia" w:hAnsi="仿宋_GB2312" w:cs="仿宋_GB2312"/>
          <w:sz w:val="32"/>
          <w:szCs w:val="32"/>
          <w:lang w:val="en-US" w:eastAsia="zh-CN"/>
        </w:rPr>
        <w:t>2</w:t>
      </w:r>
      <w:r>
        <w:rPr>
          <w:rFonts w:hint="eastAsia" w:ascii="仿宋_GB2312" w:hAnsi="仿宋_GB2312" w:eastAsia="仿宋_GB2312" w:cs="仿宋_GB2312"/>
          <w:sz w:val="32"/>
          <w:szCs w:val="32"/>
        </w:rPr>
        <w:t>02</w:t>
      </w:r>
      <w:r>
        <w:rPr>
          <w:rFonts w:hint="eastAsia" w:hAnsi="仿宋_GB2312" w:cs="仿宋_GB2312"/>
          <w:sz w:val="32"/>
          <w:szCs w:val="32"/>
          <w:lang w:val="en-US" w:eastAsia="zh-CN"/>
        </w:rPr>
        <w:t>4</w:t>
      </w:r>
      <w:r>
        <w:rPr>
          <w:rFonts w:hint="eastAsia" w:ascii="仿宋_GB2312" w:hAnsi="仿宋_GB2312" w:eastAsia="仿宋_GB2312" w:cs="仿宋_GB2312"/>
          <w:sz w:val="32"/>
          <w:szCs w:val="32"/>
        </w:rPr>
        <w:t>年医疗救助补助资金绩效总体目标为持续做好符合条件的救助对象参保缴费资助工作；</w:t>
      </w:r>
      <w:r>
        <w:rPr>
          <w:rFonts w:hint="eastAsia" w:ascii="仿宋_GB2312" w:hAnsi="仿宋_GB2312" w:eastAsia="仿宋_GB2312" w:cs="仿宋_GB2312"/>
          <w:color w:val="000000" w:themeColor="text1"/>
          <w:sz w:val="32"/>
          <w:szCs w:val="32"/>
        </w:rPr>
        <w:t>医疗救助对象覆盖低保、特困、纳入监测的易返贫致贫人口、低保边缘家庭成员和因病致贫重病患者。</w:t>
      </w:r>
    </w:p>
    <w:p w14:paraId="1E75A67D">
      <w:pPr>
        <w:numPr>
          <w:ilvl w:val="0"/>
          <w:numId w:val="0"/>
        </w:numPr>
        <w:spacing w:line="578" w:lineRule="exact"/>
        <w:ind w:firstLine="640" w:firstLineChars="200"/>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lang w:val="zh-CN"/>
        </w:rPr>
        <w:t>行政运转。</w:t>
      </w:r>
    </w:p>
    <w:p w14:paraId="59221983">
      <w:pPr>
        <w:pStyle w:val="5"/>
        <w:numPr>
          <w:ilvl w:val="0"/>
          <w:numId w:val="0"/>
        </w:numPr>
        <w:ind w:firstLine="640" w:firstLineChars="200"/>
        <w:rPr>
          <w:rFonts w:hint="default"/>
          <w:lang w:val="en-US"/>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202</w:t>
      </w:r>
      <w:r>
        <w:rPr>
          <w:rFonts w:hint="eastAsia" w:hAnsi="仿宋_GB2312" w:cs="仿宋_GB2312"/>
          <w:color w:val="auto"/>
          <w:kern w:val="0"/>
          <w:sz w:val="32"/>
          <w:szCs w:val="32"/>
          <w:highlight w:val="none"/>
          <w:u w:val="none"/>
          <w:shd w:val="clear" w:color="auto" w:fill="FFFFFF"/>
          <w:lang w:val="en-US" w:eastAsia="zh-CN"/>
        </w:rPr>
        <w:t>4</w:t>
      </w:r>
      <w:r>
        <w:rPr>
          <w:rFonts w:hint="eastAsia" w:ascii="仿宋_GB2312" w:hAnsi="仿宋_GB2312" w:eastAsia="仿宋_GB2312" w:cs="仿宋_GB2312"/>
          <w:color w:val="auto"/>
          <w:kern w:val="0"/>
          <w:sz w:val="32"/>
          <w:szCs w:val="32"/>
          <w:highlight w:val="none"/>
          <w:u w:val="none"/>
          <w:shd w:val="clear" w:color="auto" w:fill="FFFFFF"/>
          <w:lang w:val="en-US" w:eastAsia="zh-CN"/>
        </w:rPr>
        <w:t>年按政策规定，</w:t>
      </w:r>
      <w:r>
        <w:rPr>
          <w:rFonts w:hint="eastAsia" w:hAnsi="仿宋_GB2312" w:cs="仿宋_GB2312"/>
          <w:color w:val="auto"/>
          <w:kern w:val="0"/>
          <w:sz w:val="32"/>
          <w:szCs w:val="32"/>
          <w:highlight w:val="none"/>
          <w:u w:val="none"/>
          <w:shd w:val="clear" w:color="auto" w:fill="FFFFFF"/>
          <w:lang w:val="en-US" w:eastAsia="zh-CN"/>
        </w:rPr>
        <w:t>按照2024年医疗救助发生实际人数</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hAnsi="仿宋_GB2312" w:cs="仿宋_GB2312"/>
          <w:color w:val="auto"/>
          <w:kern w:val="0"/>
          <w:sz w:val="32"/>
          <w:szCs w:val="32"/>
          <w:highlight w:val="none"/>
          <w:u w:val="none"/>
          <w:shd w:val="clear" w:color="auto" w:fill="FFFFFF"/>
          <w:lang w:val="en-US" w:eastAsia="zh-CN"/>
        </w:rPr>
        <w:t>补助</w:t>
      </w:r>
      <w:r>
        <w:rPr>
          <w:rFonts w:hint="eastAsia" w:ascii="仿宋_GB2312" w:hAnsi="仿宋_GB2312" w:eastAsia="仿宋_GB2312" w:cs="仿宋_GB2312"/>
          <w:color w:val="auto"/>
          <w:kern w:val="0"/>
          <w:sz w:val="32"/>
          <w:szCs w:val="32"/>
          <w:highlight w:val="none"/>
          <w:u w:val="none"/>
          <w:shd w:val="clear" w:color="auto" w:fill="FFFFFF"/>
          <w:lang w:val="en-US" w:eastAsia="zh-CN"/>
        </w:rPr>
        <w:t>共计</w:t>
      </w:r>
      <w:r>
        <w:rPr>
          <w:rFonts w:hint="eastAsia" w:ascii="仿宋_GB2312" w:hAnsi="仿宋_GB2312" w:eastAsia="仿宋_GB2312" w:cs="仿宋_GB2312"/>
          <w:color w:val="auto"/>
          <w:kern w:val="0"/>
          <w:sz w:val="32"/>
          <w:szCs w:val="32"/>
          <w:lang w:val="en-US" w:eastAsia="zh-CN" w:bidi="ar-SA"/>
        </w:rPr>
        <w:t>115.52</w:t>
      </w:r>
      <w:r>
        <w:rPr>
          <w:rFonts w:hint="eastAsia" w:ascii="仿宋_GB2312" w:hAnsi="仿宋_GB2312" w:eastAsia="仿宋_GB2312" w:cs="仿宋_GB2312"/>
          <w:color w:val="auto"/>
          <w:kern w:val="0"/>
          <w:sz w:val="32"/>
          <w:szCs w:val="32"/>
          <w:highlight w:val="none"/>
          <w:u w:val="none"/>
          <w:shd w:val="clear" w:color="auto" w:fill="FFFFFF"/>
          <w:lang w:val="en-US" w:eastAsia="zh-CN"/>
        </w:rPr>
        <w:t>万元 ，完成预算数</w:t>
      </w:r>
      <w:r>
        <w:rPr>
          <w:rFonts w:hint="eastAsia" w:hAnsi="仿宋_GB2312" w:cs="仿宋_GB2312"/>
          <w:color w:val="auto"/>
          <w:kern w:val="0"/>
          <w:sz w:val="32"/>
          <w:szCs w:val="32"/>
          <w:highlight w:val="none"/>
          <w:u w:val="none"/>
          <w:shd w:val="clear" w:color="auto" w:fill="FFFFFF"/>
          <w:lang w:val="en-US" w:eastAsia="zh-CN"/>
        </w:rPr>
        <w:t>100</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hAnsi="仿宋_GB2312" w:cs="仿宋_GB2312"/>
          <w:color w:val="auto"/>
          <w:kern w:val="0"/>
          <w:sz w:val="32"/>
          <w:szCs w:val="32"/>
          <w:highlight w:val="none"/>
          <w:u w:val="none"/>
          <w:shd w:val="clear" w:color="auto" w:fill="FFFFFF"/>
          <w:lang w:val="en-US" w:eastAsia="zh-CN"/>
        </w:rPr>
        <w:t>项目正常运转。</w:t>
      </w:r>
    </w:p>
    <w:p w14:paraId="44FEBB88">
      <w:pPr>
        <w:numPr>
          <w:ilvl w:val="0"/>
          <w:numId w:val="0"/>
        </w:numPr>
        <w:spacing w:line="578" w:lineRule="exact"/>
        <w:ind w:firstLine="643" w:firstLineChars="200"/>
        <w:rPr>
          <w:rFonts w:hint="eastAsia"/>
        </w:rPr>
      </w:pPr>
      <w:r>
        <w:rPr>
          <w:rFonts w:hint="eastAsia" w:ascii="楷体_GB2312" w:hAnsi="宋体" w:eastAsia="楷体_GB2312"/>
          <w:b/>
          <w:sz w:val="32"/>
          <w:szCs w:val="32"/>
          <w:lang w:eastAsia="zh-CN"/>
        </w:rPr>
        <w:t>（</w:t>
      </w:r>
      <w:r>
        <w:rPr>
          <w:rFonts w:hint="eastAsia" w:ascii="楷体_GB2312" w:hAnsi="宋体" w:eastAsia="楷体_GB2312"/>
          <w:b/>
          <w:sz w:val="32"/>
          <w:szCs w:val="32"/>
          <w:lang w:val="en-US" w:eastAsia="zh-CN"/>
        </w:rPr>
        <w:t>三）</w:t>
      </w:r>
      <w:r>
        <w:rPr>
          <w:rFonts w:hint="eastAsia" w:ascii="楷体_GB2312" w:hAnsi="宋体" w:eastAsia="楷体_GB2312"/>
          <w:b/>
          <w:sz w:val="32"/>
          <w:szCs w:val="32"/>
        </w:rPr>
        <w:t>个性指标</w:t>
      </w:r>
      <w:r>
        <w:rPr>
          <w:rFonts w:ascii="Times New Roman" w:hAnsi="Times New Roman" w:eastAsia="楷体_GB2312"/>
          <w:b/>
          <w:bCs/>
          <w:color w:val="000000"/>
          <w:kern w:val="0"/>
          <w:sz w:val="32"/>
          <w:szCs w:val="32"/>
          <w:shd w:val="clear" w:color="auto" w:fill="FFFFFF"/>
          <w:lang w:val="zh-CN"/>
        </w:rPr>
        <w:t>绩效分析。</w:t>
      </w:r>
    </w:p>
    <w:p w14:paraId="1DBCAA38">
      <w:pPr>
        <w:numPr>
          <w:ilvl w:val="0"/>
          <w:numId w:val="0"/>
        </w:numPr>
        <w:spacing w:line="578" w:lineRule="exact"/>
        <w:ind w:firstLine="640" w:firstLineChars="200"/>
        <w:rPr>
          <w:rFonts w:hint="eastAsia" w:ascii="仿宋_GB2312" w:hAnsi="仿宋_GB2312" w:eastAsia="仿宋_GB2312" w:cs="仿宋_GB2312"/>
          <w:color w:val="auto"/>
          <w:kern w:val="0"/>
          <w:sz w:val="32"/>
          <w:szCs w:val="32"/>
          <w:highlight w:val="none"/>
          <w:u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en-US" w:eastAsia="zh-CN" w:bidi="ar-SA"/>
        </w:rPr>
        <w:t>按规定使用，拨付至专户、专款专用。符合预算管理和医疗救助补助资金管理要求，落实、计算、分配资金。</w:t>
      </w:r>
    </w:p>
    <w:p w14:paraId="06685394">
      <w:pPr>
        <w:pStyle w:val="5"/>
        <w:numPr>
          <w:ilvl w:val="0"/>
          <w:numId w:val="0"/>
        </w:numPr>
        <w:tabs>
          <w:tab w:val="left" w:pos="2160"/>
        </w:tabs>
        <w:spacing w:line="600" w:lineRule="exact"/>
        <w:ind w:leftChars="200" w:firstLine="320" w:firstLineChars="100"/>
        <w:rPr>
          <w:rFonts w:hint="eastAsia" w:ascii="黑体" w:hAnsi="宋体" w:eastAsia="黑体"/>
          <w:sz w:val="32"/>
          <w:szCs w:val="32"/>
        </w:rPr>
      </w:pPr>
      <w:r>
        <w:rPr>
          <w:rFonts w:hint="eastAsia" w:ascii="黑体" w:hAnsi="宋体" w:eastAsia="黑体"/>
          <w:sz w:val="32"/>
          <w:szCs w:val="32"/>
          <w:lang w:val="en-US" w:eastAsia="zh-CN"/>
        </w:rPr>
        <w:t>四、</w:t>
      </w:r>
      <w:r>
        <w:rPr>
          <w:rFonts w:hint="eastAsia" w:ascii="黑体" w:hAnsi="宋体" w:eastAsia="黑体"/>
          <w:sz w:val="32"/>
          <w:szCs w:val="32"/>
        </w:rPr>
        <w:t>评价结论</w:t>
      </w:r>
    </w:p>
    <w:p w14:paraId="6DB48FCA">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通</w:t>
      </w:r>
      <w:r>
        <w:rPr>
          <w:rFonts w:eastAsia="仿宋_GB2312"/>
          <w:kern w:val="0"/>
          <w:sz w:val="32"/>
          <w:szCs w:val="32"/>
        </w:rPr>
        <w:t>过该</w:t>
      </w:r>
      <w:r>
        <w:rPr>
          <w:rFonts w:hint="eastAsia" w:eastAsia="仿宋_GB2312"/>
          <w:kern w:val="0"/>
          <w:sz w:val="32"/>
          <w:szCs w:val="32"/>
        </w:rPr>
        <w:t>项目的开展</w:t>
      </w:r>
      <w:r>
        <w:rPr>
          <w:rFonts w:eastAsia="仿宋_GB2312"/>
          <w:kern w:val="0"/>
          <w:sz w:val="32"/>
          <w:szCs w:val="32"/>
        </w:rPr>
        <w:t>保障了困难群众基本医疗需求，进一步完善医疗救助制度，筑牢医疗保障底线；坚持突出重点，分类施救，公开便捷，发挥医疗救助的救急救难作用，能够为困难群众提供方便。</w:t>
      </w:r>
    </w:p>
    <w:p w14:paraId="3D5EFD03">
      <w:pPr>
        <w:autoSpaceDE w:val="0"/>
        <w:autoSpaceDN w:val="0"/>
        <w:adjustRightInd w:val="0"/>
        <w:spacing w:line="600" w:lineRule="exact"/>
        <w:ind w:firstLine="640" w:firstLineChars="200"/>
        <w:jc w:val="left"/>
        <w:rPr>
          <w:rFonts w:hint="eastAsia" w:ascii="黑体" w:hAnsi="宋体" w:eastAsia="黑体"/>
          <w:sz w:val="32"/>
          <w:szCs w:val="32"/>
        </w:rPr>
      </w:pPr>
    </w:p>
    <w:p w14:paraId="1BE19F85">
      <w:pPr>
        <w:autoSpaceDE w:val="0"/>
        <w:autoSpaceDN w:val="0"/>
        <w:adjustRightInd w:val="0"/>
        <w:spacing w:line="600" w:lineRule="exact"/>
        <w:ind w:firstLine="640" w:firstLineChars="200"/>
        <w:jc w:val="left"/>
        <w:rPr>
          <w:rFonts w:hint="eastAsia" w:ascii="黑体" w:hAnsi="宋体" w:eastAsia="黑体"/>
          <w:sz w:val="32"/>
          <w:szCs w:val="32"/>
        </w:rPr>
      </w:pPr>
      <w:r>
        <w:rPr>
          <w:rFonts w:hint="eastAsia" w:ascii="黑体" w:hAnsi="宋体" w:eastAsia="黑体"/>
          <w:sz w:val="32"/>
          <w:szCs w:val="32"/>
        </w:rPr>
        <w:t>五、存在主要问题</w:t>
      </w:r>
    </w:p>
    <w:p w14:paraId="75590A5C">
      <w:pPr>
        <w:pStyle w:val="5"/>
        <w:tabs>
          <w:tab w:val="left" w:pos="2160"/>
        </w:tabs>
        <w:spacing w:line="60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无</w:t>
      </w:r>
    </w:p>
    <w:p w14:paraId="26CB499F">
      <w:pPr>
        <w:pStyle w:val="5"/>
        <w:tabs>
          <w:tab w:val="left" w:pos="2160"/>
        </w:tabs>
        <w:spacing w:line="600" w:lineRule="exact"/>
        <w:ind w:firstLine="640" w:firstLineChars="200"/>
        <w:rPr>
          <w:rFonts w:hint="eastAsia" w:ascii="黑体" w:hAnsi="宋体" w:eastAsia="黑体"/>
          <w:kern w:val="0"/>
          <w:position w:val="3"/>
          <w:sz w:val="32"/>
          <w:szCs w:val="32"/>
          <w:lang w:val="zh-CN"/>
        </w:rPr>
      </w:pPr>
      <w:r>
        <w:rPr>
          <w:rFonts w:hint="eastAsia" w:ascii="黑体" w:hAnsi="宋体" w:eastAsia="黑体"/>
          <w:kern w:val="0"/>
          <w:position w:val="3"/>
          <w:sz w:val="32"/>
          <w:szCs w:val="32"/>
          <w:lang w:val="zh-CN"/>
        </w:rPr>
        <w:t>六、改进建议</w:t>
      </w:r>
    </w:p>
    <w:p w14:paraId="5EA87A40">
      <w:pPr>
        <w:tabs>
          <w:tab w:val="left" w:pos="1911"/>
        </w:tabs>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zh-CN"/>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无</w:t>
      </w:r>
    </w:p>
    <w:p w14:paraId="2BAA48FA">
      <w:pPr>
        <w:pStyle w:val="5"/>
        <w:spacing w:before="93"/>
        <w:rPr>
          <w:rFonts w:ascii="Times New Roman" w:eastAsia="黑体" w:cs="黑体"/>
          <w:sz w:val="32"/>
          <w:szCs w:val="32"/>
        </w:rPr>
      </w:pPr>
    </w:p>
    <w:p w14:paraId="59935811">
      <w:pPr>
        <w:pStyle w:val="34"/>
        <w:spacing w:line="578" w:lineRule="exact"/>
        <w:jc w:val="center"/>
        <w:rPr>
          <w:rFonts w:ascii="Times New Roman" w:hAnsi="Times New Roman" w:eastAsia="方正小标宋简体" w:cs="方正小标宋简体"/>
          <w:color w:val="auto"/>
          <w:kern w:val="2"/>
          <w:sz w:val="44"/>
          <w:szCs w:val="44"/>
          <w:lang w:val="en-US"/>
        </w:rPr>
      </w:pPr>
    </w:p>
    <w:p w14:paraId="55530BD2">
      <w:pPr>
        <w:spacing w:line="578" w:lineRule="exact"/>
        <w:ind w:firstLine="640"/>
        <w:rPr>
          <w:rFonts w:eastAsia="仿宋_GB2312" w:cs="仿宋_GB2312"/>
          <w:kern w:val="0"/>
          <w:sz w:val="32"/>
          <w:szCs w:val="32"/>
        </w:rPr>
      </w:pPr>
    </w:p>
    <w:p w14:paraId="21189FB9">
      <w:pPr>
        <w:spacing w:line="578" w:lineRule="exact"/>
        <w:ind w:firstLine="640"/>
        <w:rPr>
          <w:rFonts w:eastAsia="仿宋_GB2312" w:cs="仿宋_GB2312"/>
          <w:kern w:val="0"/>
          <w:sz w:val="32"/>
          <w:szCs w:val="32"/>
        </w:rPr>
      </w:pPr>
    </w:p>
    <w:p w14:paraId="03A52FAA">
      <w:pPr>
        <w:spacing w:line="578" w:lineRule="exact"/>
        <w:ind w:firstLine="640"/>
        <w:rPr>
          <w:rFonts w:eastAsia="仿宋_GB2312" w:cs="仿宋_GB2312"/>
          <w:kern w:val="0"/>
          <w:sz w:val="32"/>
          <w:szCs w:val="32"/>
        </w:rPr>
      </w:pPr>
      <w:bookmarkStart w:id="55" w:name="_Toc15396618"/>
      <w:r>
        <w:rPr>
          <w:rFonts w:hint="eastAsia" w:eastAsia="仿宋_GB2312" w:cs="仿宋_GB2312"/>
          <w:kern w:val="0"/>
          <w:sz w:val="32"/>
          <w:szCs w:val="32"/>
        </w:rPr>
        <w:br w:type="page"/>
      </w:r>
    </w:p>
    <w:p w14:paraId="759A5C94">
      <w:pPr>
        <w:widowControl/>
        <w:jc w:val="center"/>
        <w:rPr>
          <w:rFonts w:hint="eastAsia" w:ascii="方正小标宋_GBK" w:hAnsi="方正小标宋_GBK" w:eastAsia="方正小标宋_GBK" w:cs="方正小标宋_GBK"/>
        </w:rPr>
      </w:pPr>
      <w:r>
        <w:rPr>
          <w:rFonts w:hint="eastAsia" w:ascii="方正小标宋_GBK" w:hAnsi="方正小标宋_GBK" w:eastAsia="方正小标宋_GBK" w:cs="方正小标宋_GBK"/>
          <w:sz w:val="44"/>
          <w:szCs w:val="44"/>
        </w:rPr>
        <w:t>第</w:t>
      </w:r>
      <w:r>
        <w:rPr>
          <w:rStyle w:val="28"/>
          <w:rFonts w:hint="eastAsia" w:ascii="方正小标宋_GBK" w:hAnsi="方正小标宋_GBK" w:eastAsia="方正小标宋_GBK" w:cs="方正小标宋_GBK"/>
          <w:b w:val="0"/>
        </w:rPr>
        <w:t>五部分 附表</w:t>
      </w:r>
      <w:bookmarkEnd w:id="54"/>
      <w:bookmarkEnd w:id="55"/>
      <w:bookmarkStart w:id="56" w:name="_Toc15396619"/>
    </w:p>
    <w:p w14:paraId="78B29FB9">
      <w:pPr>
        <w:pStyle w:val="14"/>
        <w:adjustRightInd w:val="0"/>
        <w:snapToGrid w:val="0"/>
        <w:spacing w:line="560" w:lineRule="exact"/>
        <w:jc w:val="left"/>
        <w:rPr>
          <w:rFonts w:eastAsia="仿宋_GB2312" w:cs="仿宋_GB2312"/>
          <w:sz w:val="32"/>
          <w:szCs w:val="32"/>
        </w:rPr>
      </w:pPr>
    </w:p>
    <w:p w14:paraId="59E695DF">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6"/>
    </w:p>
    <w:p w14:paraId="26DF79A5">
      <w:pPr>
        <w:pStyle w:val="14"/>
        <w:adjustRightInd w:val="0"/>
        <w:snapToGrid w:val="0"/>
        <w:spacing w:line="560" w:lineRule="exact"/>
        <w:jc w:val="left"/>
        <w:rPr>
          <w:rFonts w:eastAsia="仿宋_GB2312" w:cs="仿宋_GB2312"/>
          <w:sz w:val="32"/>
          <w:szCs w:val="32"/>
        </w:rPr>
      </w:pPr>
      <w:bookmarkStart w:id="57" w:name="_Toc15396620"/>
      <w:r>
        <w:rPr>
          <w:rFonts w:hint="eastAsia" w:eastAsia="仿宋_GB2312" w:cs="仿宋_GB2312"/>
          <w:sz w:val="32"/>
          <w:szCs w:val="32"/>
        </w:rPr>
        <w:t>二、收入决算表</w:t>
      </w:r>
      <w:bookmarkEnd w:id="57"/>
    </w:p>
    <w:p w14:paraId="2097CF49">
      <w:pPr>
        <w:pStyle w:val="14"/>
        <w:adjustRightInd w:val="0"/>
        <w:snapToGrid w:val="0"/>
        <w:spacing w:line="560" w:lineRule="exact"/>
        <w:jc w:val="left"/>
        <w:rPr>
          <w:rFonts w:eastAsia="仿宋_GB2312" w:cs="仿宋_GB2312"/>
          <w:sz w:val="32"/>
          <w:szCs w:val="32"/>
        </w:rPr>
      </w:pPr>
      <w:bookmarkStart w:id="58" w:name="_Toc15396621"/>
      <w:r>
        <w:rPr>
          <w:rFonts w:hint="eastAsia" w:eastAsia="仿宋_GB2312" w:cs="仿宋_GB2312"/>
          <w:sz w:val="32"/>
          <w:szCs w:val="32"/>
        </w:rPr>
        <w:t>三、支出决算表</w:t>
      </w:r>
      <w:bookmarkEnd w:id="58"/>
    </w:p>
    <w:p w14:paraId="2F267C54">
      <w:pPr>
        <w:pStyle w:val="14"/>
        <w:adjustRightInd w:val="0"/>
        <w:snapToGrid w:val="0"/>
        <w:spacing w:line="560" w:lineRule="exact"/>
        <w:jc w:val="left"/>
        <w:rPr>
          <w:rFonts w:eastAsia="仿宋_GB2312" w:cs="仿宋_GB2312"/>
          <w:sz w:val="32"/>
          <w:szCs w:val="32"/>
        </w:rPr>
      </w:pPr>
      <w:bookmarkStart w:id="59" w:name="_Toc15396622"/>
      <w:r>
        <w:rPr>
          <w:rFonts w:hint="eastAsia" w:eastAsia="仿宋_GB2312" w:cs="仿宋_GB2312"/>
          <w:sz w:val="32"/>
          <w:szCs w:val="32"/>
        </w:rPr>
        <w:t>四、财政拨款收入支出决算总表</w:t>
      </w:r>
      <w:bookmarkEnd w:id="59"/>
    </w:p>
    <w:p w14:paraId="197FF225">
      <w:pPr>
        <w:pStyle w:val="14"/>
        <w:adjustRightInd w:val="0"/>
        <w:snapToGrid w:val="0"/>
        <w:spacing w:line="560" w:lineRule="exact"/>
        <w:jc w:val="left"/>
        <w:rPr>
          <w:rFonts w:eastAsia="仿宋_GB2312" w:cs="仿宋_GB2312"/>
          <w:sz w:val="32"/>
          <w:szCs w:val="32"/>
        </w:rPr>
      </w:pPr>
      <w:bookmarkStart w:id="60" w:name="_Toc15396623"/>
      <w:r>
        <w:rPr>
          <w:rFonts w:hint="eastAsia" w:eastAsia="仿宋_GB2312" w:cs="仿宋_GB2312"/>
          <w:sz w:val="32"/>
          <w:szCs w:val="32"/>
        </w:rPr>
        <w:t>五、财政拨款支出决算明细表</w:t>
      </w:r>
      <w:bookmarkEnd w:id="60"/>
      <w:bookmarkStart w:id="61" w:name="_Toc15396624"/>
    </w:p>
    <w:p w14:paraId="0D73815F">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61"/>
    </w:p>
    <w:p w14:paraId="7739819D">
      <w:pPr>
        <w:pStyle w:val="14"/>
        <w:adjustRightInd w:val="0"/>
        <w:snapToGrid w:val="0"/>
        <w:spacing w:line="560" w:lineRule="exact"/>
        <w:jc w:val="left"/>
        <w:rPr>
          <w:rFonts w:eastAsia="仿宋_GB2312" w:cs="仿宋_GB2312"/>
          <w:sz w:val="32"/>
          <w:szCs w:val="32"/>
        </w:rPr>
      </w:pPr>
      <w:bookmarkStart w:id="62" w:name="_Toc15396625"/>
      <w:r>
        <w:rPr>
          <w:rFonts w:hint="eastAsia" w:eastAsia="仿宋_GB2312" w:cs="仿宋_GB2312"/>
          <w:sz w:val="32"/>
          <w:szCs w:val="32"/>
        </w:rPr>
        <w:t>七、一般公共预算财政拨款支出决算明细表</w:t>
      </w:r>
      <w:bookmarkEnd w:id="62"/>
    </w:p>
    <w:p w14:paraId="445111DC">
      <w:pPr>
        <w:pStyle w:val="14"/>
        <w:adjustRightInd w:val="0"/>
        <w:snapToGrid w:val="0"/>
        <w:spacing w:line="560" w:lineRule="exact"/>
        <w:jc w:val="left"/>
        <w:rPr>
          <w:rFonts w:eastAsia="仿宋_GB2312" w:cs="仿宋_GB2312"/>
          <w:sz w:val="32"/>
          <w:szCs w:val="32"/>
        </w:rPr>
      </w:pPr>
      <w:bookmarkStart w:id="63" w:name="_Toc15396626"/>
      <w:r>
        <w:rPr>
          <w:rFonts w:hint="eastAsia" w:eastAsia="仿宋_GB2312" w:cs="仿宋_GB2312"/>
          <w:sz w:val="32"/>
          <w:szCs w:val="32"/>
        </w:rPr>
        <w:t>八、一般公共预算财政拨款基本支出决算表</w:t>
      </w:r>
      <w:bookmarkEnd w:id="63"/>
    </w:p>
    <w:p w14:paraId="3406D9D9">
      <w:pPr>
        <w:pStyle w:val="14"/>
        <w:adjustRightInd w:val="0"/>
        <w:snapToGrid w:val="0"/>
        <w:spacing w:line="560" w:lineRule="exact"/>
        <w:jc w:val="left"/>
        <w:rPr>
          <w:rFonts w:eastAsia="仿宋_GB2312" w:cs="仿宋_GB2312"/>
          <w:sz w:val="32"/>
          <w:szCs w:val="32"/>
        </w:rPr>
      </w:pPr>
      <w:bookmarkStart w:id="64" w:name="_Toc15396627"/>
      <w:r>
        <w:rPr>
          <w:rFonts w:hint="eastAsia" w:eastAsia="仿宋_GB2312" w:cs="仿宋_GB2312"/>
          <w:sz w:val="32"/>
          <w:szCs w:val="32"/>
        </w:rPr>
        <w:t>九、一般公共预算财政拨款项目支出决算表</w:t>
      </w:r>
      <w:bookmarkEnd w:id="64"/>
    </w:p>
    <w:p w14:paraId="5439D4D2">
      <w:pPr>
        <w:pStyle w:val="14"/>
        <w:adjustRightInd w:val="0"/>
        <w:snapToGrid w:val="0"/>
        <w:spacing w:line="560" w:lineRule="exact"/>
        <w:jc w:val="left"/>
        <w:rPr>
          <w:rFonts w:eastAsia="仿宋_GB2312" w:cs="仿宋_GB2312"/>
          <w:sz w:val="32"/>
          <w:szCs w:val="32"/>
        </w:rPr>
      </w:pPr>
      <w:bookmarkStart w:id="65" w:name="_Toc15396628"/>
      <w:r>
        <w:rPr>
          <w:rFonts w:hint="eastAsia" w:eastAsia="仿宋_GB2312" w:cs="仿宋_GB2312"/>
          <w:sz w:val="32"/>
          <w:szCs w:val="32"/>
        </w:rPr>
        <w:t>十、</w:t>
      </w:r>
      <w:bookmarkEnd w:id="65"/>
      <w:r>
        <w:rPr>
          <w:rFonts w:hint="eastAsia" w:eastAsia="仿宋_GB2312" w:cs="仿宋_GB2312"/>
          <w:sz w:val="32"/>
          <w:szCs w:val="32"/>
        </w:rPr>
        <w:t>政府性基金预算财政拨款收入支出决算表</w:t>
      </w:r>
    </w:p>
    <w:p w14:paraId="3E109F5D">
      <w:pPr>
        <w:pStyle w:val="14"/>
        <w:adjustRightInd w:val="0"/>
        <w:snapToGrid w:val="0"/>
        <w:spacing w:line="560" w:lineRule="exact"/>
        <w:jc w:val="left"/>
        <w:rPr>
          <w:rFonts w:eastAsia="仿宋_GB2312" w:cs="仿宋_GB2312"/>
          <w:sz w:val="32"/>
          <w:szCs w:val="32"/>
        </w:rPr>
      </w:pPr>
      <w:bookmarkStart w:id="66" w:name="_Toc15396629"/>
      <w:r>
        <w:rPr>
          <w:rFonts w:hint="eastAsia" w:eastAsia="仿宋_GB2312" w:cs="仿宋_GB2312"/>
          <w:sz w:val="32"/>
          <w:szCs w:val="32"/>
        </w:rPr>
        <w:t>十一、</w:t>
      </w:r>
      <w:bookmarkEnd w:id="66"/>
      <w:r>
        <w:rPr>
          <w:rFonts w:hint="eastAsia" w:eastAsia="仿宋_GB2312" w:cs="仿宋_GB2312"/>
          <w:sz w:val="32"/>
          <w:szCs w:val="32"/>
        </w:rPr>
        <w:t>国有资本经营预算财政拨款收入支出决算表</w:t>
      </w:r>
    </w:p>
    <w:p w14:paraId="1F044016">
      <w:pPr>
        <w:pStyle w:val="14"/>
        <w:adjustRightInd w:val="0"/>
        <w:snapToGrid w:val="0"/>
        <w:spacing w:line="560" w:lineRule="exact"/>
        <w:jc w:val="left"/>
        <w:rPr>
          <w:rFonts w:eastAsia="仿宋_GB2312" w:cs="仿宋_GB2312"/>
          <w:sz w:val="32"/>
          <w:szCs w:val="32"/>
        </w:rPr>
      </w:pPr>
      <w:bookmarkStart w:id="67" w:name="_Toc15396630"/>
      <w:r>
        <w:rPr>
          <w:rFonts w:hint="eastAsia" w:eastAsia="仿宋_GB2312" w:cs="仿宋_GB2312"/>
          <w:sz w:val="32"/>
          <w:szCs w:val="32"/>
        </w:rPr>
        <w:t>十二、</w:t>
      </w:r>
      <w:bookmarkEnd w:id="67"/>
      <w:r>
        <w:rPr>
          <w:rFonts w:hint="eastAsia" w:eastAsia="仿宋_GB2312" w:cs="仿宋_GB2312"/>
          <w:sz w:val="32"/>
          <w:szCs w:val="32"/>
        </w:rPr>
        <w:t>国有资本经营预算财政拨款支出决算表</w:t>
      </w:r>
    </w:p>
    <w:p w14:paraId="3EAB4094">
      <w:pPr>
        <w:pStyle w:val="14"/>
        <w:adjustRightInd w:val="0"/>
        <w:snapToGrid w:val="0"/>
        <w:spacing w:line="560" w:lineRule="exact"/>
        <w:jc w:val="left"/>
        <w:rPr>
          <w:rFonts w:eastAsia="仿宋_GB2312" w:cs="仿宋_GB2312"/>
          <w:sz w:val="32"/>
          <w:szCs w:val="32"/>
        </w:rPr>
      </w:pPr>
      <w:bookmarkStart w:id="68" w:name="_Toc15396631"/>
      <w:r>
        <w:rPr>
          <w:rFonts w:hint="eastAsia" w:eastAsia="仿宋_GB2312" w:cs="仿宋_GB2312"/>
          <w:sz w:val="32"/>
          <w:szCs w:val="32"/>
        </w:rPr>
        <w:t>十三、</w:t>
      </w:r>
      <w:bookmarkEnd w:id="68"/>
      <w:r>
        <w:rPr>
          <w:rFonts w:hint="eastAsia" w:eastAsia="仿宋_GB2312" w:cs="仿宋_GB2312"/>
          <w:sz w:val="32"/>
          <w:szCs w:val="32"/>
        </w:rPr>
        <w:t>财政拨款“三公”经费支出决算表</w:t>
      </w:r>
    </w:p>
    <w:p w14:paraId="53FB4287"/>
    <w:sectPr>
      <w:footerReference r:id="rId9" w:type="first"/>
      <w:headerReference r:id="rId7" w:type="default"/>
      <w:footerReference r:id="rId8"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E09BF0-F682-402E-9D8C-B20F303D0C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C9E76474-1E63-436D-B07E-9EE5B5D5F788}"/>
  </w:font>
  <w:font w:name="仿宋">
    <w:panose1 w:val="02010609060101010101"/>
    <w:charset w:val="86"/>
    <w:family w:val="modern"/>
    <w:pitch w:val="default"/>
    <w:sig w:usb0="800002BF" w:usb1="38CF7CFA" w:usb2="00000016" w:usb3="00000000" w:csb0="00040001" w:csb1="00000000"/>
    <w:embedRegular r:id="rId3" w:fontKey="{3196A60E-A8E7-4035-9327-4ABBF367C225}"/>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embedRegular r:id="rId4" w:fontKey="{0CC874BC-6B0D-419B-86AF-67F2EA4AFD3B}"/>
  </w:font>
  <w:font w:name="方正小标宋_GBK">
    <w:panose1 w:val="03000509000000000000"/>
    <w:charset w:val="86"/>
    <w:family w:val="script"/>
    <w:pitch w:val="default"/>
    <w:sig w:usb0="00000001" w:usb1="080E0000" w:usb2="00000000" w:usb3="00000000" w:csb0="00040000" w:csb1="00000000"/>
    <w:embedRegular r:id="rId5" w:fontKey="{CCD80AE6-6BDB-48F3-80B2-025797C78564}"/>
  </w:font>
  <w:font w:name="方正黑体_GBK">
    <w:panose1 w:val="03000509000000000000"/>
    <w:charset w:val="86"/>
    <w:family w:val="auto"/>
    <w:pitch w:val="default"/>
    <w:sig w:usb0="00000001" w:usb1="080E0000" w:usb2="00000000" w:usb3="00000000" w:csb0="00040000" w:csb1="00000000"/>
    <w:embedRegular r:id="rId6" w:fontKey="{DEA60E1D-F708-4946-ABE6-131292329052}"/>
  </w:font>
  <w:font w:name="方正公文黑体">
    <w:panose1 w:val="02000500000000000000"/>
    <w:charset w:val="86"/>
    <w:family w:val="auto"/>
    <w:pitch w:val="default"/>
    <w:sig w:usb0="A00002BF" w:usb1="38CF7CFA" w:usb2="00000016" w:usb3="00000000" w:csb0="00040001" w:csb1="00000000"/>
    <w:embedRegular r:id="rId7" w:fontKey="{0989D726-C54A-454D-ACB3-D3FD7EBDB17A}"/>
  </w:font>
  <w:font w:name="楷体_GB2312">
    <w:panose1 w:val="02010609030101010101"/>
    <w:charset w:val="86"/>
    <w:family w:val="auto"/>
    <w:pitch w:val="default"/>
    <w:sig w:usb0="00000001" w:usb1="080E0000" w:usb2="00000000" w:usb3="00000000" w:csb0="00040000" w:csb1="00000000"/>
    <w:embedRegular r:id="rId8" w:fontKey="{ADCA0EC0-3E19-4992-ADBE-72C3E7F3E7DE}"/>
  </w:font>
  <w:font w:name="方正仿宋_GBK">
    <w:panose1 w:val="03000509000000000000"/>
    <w:charset w:val="86"/>
    <w:family w:val="auto"/>
    <w:pitch w:val="default"/>
    <w:sig w:usb0="00000001" w:usb1="080E0000" w:usb2="00000000" w:usb3="00000000" w:csb0="00040000" w:csb1="00000000"/>
    <w:embedRegular r:id="rId9" w:fontKey="{93C36F5E-549B-42C2-AD5E-BB7E83ABB9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2D9FF">
    <w:pPr>
      <w:pStyle w:val="10"/>
      <w:jc w:val="center"/>
    </w:pPr>
    <w:r>
      <w:rPr>
        <w:sz w:val="18"/>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64E0E140">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w:r>
  </w:p>
  <w:p w14:paraId="0DBE1AC9">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B70A0">
    <w:pPr>
      <w:pStyle w:val="10"/>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2C21DDB">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BA49A">
    <w:pPr>
      <w:pStyle w:val="10"/>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59FFA828">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w:r>
  </w:p>
  <w:p w14:paraId="2371ED1F">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769D9">
    <w:pPr>
      <w:pStyle w:val="10"/>
    </w:pPr>
    <w:r>
      <w:rPr>
        <w:sz w:val="18"/>
      </w:rP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5AEABA1">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A4A85">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3F5AE">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2BFB1">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C6BDC0"/>
    <w:multiLevelType w:val="singleLevel"/>
    <w:tmpl w:val="8FC6BDC0"/>
    <w:lvl w:ilvl="0" w:tentative="0">
      <w:start w:val="2"/>
      <w:numFmt w:val="chineseCounting"/>
      <w:suff w:val="nothing"/>
      <w:lvlText w:val="（%1）"/>
      <w:lvlJc w:val="left"/>
      <w:rPr>
        <w:rFonts w:hint="eastAsia"/>
      </w:rPr>
    </w:lvl>
  </w:abstractNum>
  <w:abstractNum w:abstractNumId="1">
    <w:nsid w:val="C47D38EB"/>
    <w:multiLevelType w:val="singleLevel"/>
    <w:tmpl w:val="C47D38EB"/>
    <w:lvl w:ilvl="0" w:tentative="0">
      <w:start w:val="4"/>
      <w:numFmt w:val="decimal"/>
      <w:suff w:val="nothing"/>
      <w:lvlText w:val="%1、"/>
      <w:lvlJc w:val="left"/>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EEB50BC6"/>
    <w:multiLevelType w:val="singleLevel"/>
    <w:tmpl w:val="EEB50BC6"/>
    <w:lvl w:ilvl="0" w:tentative="0">
      <w:start w:val="2"/>
      <w:numFmt w:val="chineseCounting"/>
      <w:suff w:val="nothing"/>
      <w:lvlText w:val="（%1）"/>
      <w:lvlJc w:val="left"/>
      <w:rPr>
        <w:rFonts w:hint="eastAsia"/>
      </w:rPr>
    </w:lvl>
  </w:abstractNum>
  <w:abstractNum w:abstractNumId="4">
    <w:nsid w:val="F8A929CA"/>
    <w:multiLevelType w:val="singleLevel"/>
    <w:tmpl w:val="F8A929CA"/>
    <w:lvl w:ilvl="0" w:tentative="0">
      <w:start w:val="2"/>
      <w:numFmt w:val="decimal"/>
      <w:lvlText w:val="%1."/>
      <w:lvlJc w:val="left"/>
      <w:pPr>
        <w:tabs>
          <w:tab w:val="left" w:pos="312"/>
        </w:tabs>
      </w:pPr>
    </w:lvl>
  </w:abstractNum>
  <w:abstractNum w:abstractNumId="5">
    <w:nsid w:val="FFF674BC"/>
    <w:multiLevelType w:val="singleLevel"/>
    <w:tmpl w:val="FFF674BC"/>
    <w:lvl w:ilvl="0" w:tentative="0">
      <w:start w:val="1"/>
      <w:numFmt w:val="chineseCounting"/>
      <w:suff w:val="nothing"/>
      <w:lvlText w:val="%1、"/>
      <w:lvlJc w:val="left"/>
      <w:rPr>
        <w:rFonts w:hint="eastAsia"/>
      </w:rPr>
    </w:lvl>
  </w:abstractNum>
  <w:abstractNum w:abstractNumId="6">
    <w:nsid w:val="17F4D1D7"/>
    <w:multiLevelType w:val="singleLevel"/>
    <w:tmpl w:val="17F4D1D7"/>
    <w:lvl w:ilvl="0" w:tentative="0">
      <w:start w:val="2"/>
      <w:numFmt w:val="decimal"/>
      <w:lvlText w:val="%1."/>
      <w:lvlJc w:val="left"/>
      <w:pPr>
        <w:tabs>
          <w:tab w:val="left" w:pos="312"/>
        </w:tabs>
      </w:pPr>
    </w:lvl>
  </w:abstractNum>
  <w:abstractNum w:abstractNumId="7">
    <w:nsid w:val="3645D512"/>
    <w:multiLevelType w:val="singleLevel"/>
    <w:tmpl w:val="3645D512"/>
    <w:lvl w:ilvl="0" w:tentative="0">
      <w:start w:val="2"/>
      <w:numFmt w:val="chineseCounting"/>
      <w:suff w:val="nothing"/>
      <w:lvlText w:val="（%1）"/>
      <w:lvlJc w:val="left"/>
      <w:rPr>
        <w:rFonts w:hint="eastAsia"/>
      </w:rPr>
    </w:lvl>
  </w:abstractNum>
  <w:abstractNum w:abstractNumId="8">
    <w:nsid w:val="3C288314"/>
    <w:multiLevelType w:val="singleLevel"/>
    <w:tmpl w:val="3C288314"/>
    <w:lvl w:ilvl="0" w:tentative="0">
      <w:start w:val="1"/>
      <w:numFmt w:val="chineseCounting"/>
      <w:suff w:val="nothing"/>
      <w:lvlText w:val="（%1）"/>
      <w:lvlJc w:val="left"/>
      <w:rPr>
        <w:rFonts w:hint="eastAsia"/>
      </w:rPr>
    </w:lvl>
  </w:abstractNum>
  <w:num w:numId="1">
    <w:abstractNumId w:val="2"/>
  </w:num>
  <w:num w:numId="2">
    <w:abstractNumId w:val="5"/>
  </w:num>
  <w:num w:numId="3">
    <w:abstractNumId w:val="8"/>
  </w:num>
  <w:num w:numId="4">
    <w:abstractNumId w:val="0"/>
  </w:num>
  <w:num w:numId="5">
    <w:abstractNumId w:val="6"/>
  </w:num>
  <w:num w:numId="6">
    <w:abstractNumId w:val="4"/>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F1361C"/>
    <w:rsid w:val="00020131"/>
    <w:rsid w:val="000222C6"/>
    <w:rsid w:val="0002549F"/>
    <w:rsid w:val="00031B88"/>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0442A"/>
    <w:rsid w:val="00114E9B"/>
    <w:rsid w:val="00142216"/>
    <w:rsid w:val="00144D6A"/>
    <w:rsid w:val="0014729F"/>
    <w:rsid w:val="00154B92"/>
    <w:rsid w:val="00157BAB"/>
    <w:rsid w:val="001654D1"/>
    <w:rsid w:val="00174518"/>
    <w:rsid w:val="0018106D"/>
    <w:rsid w:val="001877A7"/>
    <w:rsid w:val="00191536"/>
    <w:rsid w:val="00196687"/>
    <w:rsid w:val="001A6F72"/>
    <w:rsid w:val="001C0962"/>
    <w:rsid w:val="001C7A7F"/>
    <w:rsid w:val="001D7531"/>
    <w:rsid w:val="001E737D"/>
    <w:rsid w:val="001F0592"/>
    <w:rsid w:val="001F7506"/>
    <w:rsid w:val="002006CD"/>
    <w:rsid w:val="00202B36"/>
    <w:rsid w:val="00204B7A"/>
    <w:rsid w:val="00204CDE"/>
    <w:rsid w:val="0021101A"/>
    <w:rsid w:val="0021319C"/>
    <w:rsid w:val="00220536"/>
    <w:rsid w:val="002343F8"/>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A7936"/>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82E"/>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5C3F"/>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2921"/>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40E1"/>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2CCC"/>
    <w:rsid w:val="00E54633"/>
    <w:rsid w:val="00E568DF"/>
    <w:rsid w:val="00E64269"/>
    <w:rsid w:val="00E82267"/>
    <w:rsid w:val="00E853CE"/>
    <w:rsid w:val="00E867B6"/>
    <w:rsid w:val="00EA010F"/>
    <w:rsid w:val="00EA66A4"/>
    <w:rsid w:val="00EB2E5F"/>
    <w:rsid w:val="00ED1B63"/>
    <w:rsid w:val="00ED3C1F"/>
    <w:rsid w:val="00ED4085"/>
    <w:rsid w:val="00ED420E"/>
    <w:rsid w:val="00ED6FBE"/>
    <w:rsid w:val="00EE2F57"/>
    <w:rsid w:val="00EF24C0"/>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726E90"/>
    <w:rsid w:val="04916F1E"/>
    <w:rsid w:val="061E35DE"/>
    <w:rsid w:val="066E0107"/>
    <w:rsid w:val="06E81796"/>
    <w:rsid w:val="07996F6E"/>
    <w:rsid w:val="07DFD8BA"/>
    <w:rsid w:val="09867E8F"/>
    <w:rsid w:val="0A2032A3"/>
    <w:rsid w:val="0B950354"/>
    <w:rsid w:val="0CA8290A"/>
    <w:rsid w:val="0D35B1ED"/>
    <w:rsid w:val="0E254B6B"/>
    <w:rsid w:val="0F98263C"/>
    <w:rsid w:val="101860EC"/>
    <w:rsid w:val="101F47CC"/>
    <w:rsid w:val="10C055FF"/>
    <w:rsid w:val="11694EBD"/>
    <w:rsid w:val="11772AA4"/>
    <w:rsid w:val="118107EC"/>
    <w:rsid w:val="12AB1903"/>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48756A"/>
    <w:rsid w:val="23860B96"/>
    <w:rsid w:val="240371BF"/>
    <w:rsid w:val="244F3473"/>
    <w:rsid w:val="24C97D99"/>
    <w:rsid w:val="25A718F0"/>
    <w:rsid w:val="25BB59F6"/>
    <w:rsid w:val="260C6732"/>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854497"/>
    <w:rsid w:val="349D6851"/>
    <w:rsid w:val="36AA5135"/>
    <w:rsid w:val="36BE0DA7"/>
    <w:rsid w:val="375D0B8F"/>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DF35FE8"/>
    <w:rsid w:val="3E740A63"/>
    <w:rsid w:val="3E78745D"/>
    <w:rsid w:val="3EE17838"/>
    <w:rsid w:val="3F55381A"/>
    <w:rsid w:val="3F7F7599"/>
    <w:rsid w:val="3FC30698"/>
    <w:rsid w:val="3FF4CAE0"/>
    <w:rsid w:val="3FF7B227"/>
    <w:rsid w:val="401B4705"/>
    <w:rsid w:val="4392561B"/>
    <w:rsid w:val="447B4F60"/>
    <w:rsid w:val="44E268DA"/>
    <w:rsid w:val="450D13D7"/>
    <w:rsid w:val="45506656"/>
    <w:rsid w:val="486A6C7A"/>
    <w:rsid w:val="4A03198C"/>
    <w:rsid w:val="4A0A3EB3"/>
    <w:rsid w:val="4A627F82"/>
    <w:rsid w:val="4B0E749A"/>
    <w:rsid w:val="4B1223F1"/>
    <w:rsid w:val="4B2477C4"/>
    <w:rsid w:val="4B4F25DA"/>
    <w:rsid w:val="4BE068DB"/>
    <w:rsid w:val="4CAF6A8E"/>
    <w:rsid w:val="4D577224"/>
    <w:rsid w:val="4DBF1CEB"/>
    <w:rsid w:val="4DF0007C"/>
    <w:rsid w:val="4EAB630A"/>
    <w:rsid w:val="4ECE2238"/>
    <w:rsid w:val="4F833267"/>
    <w:rsid w:val="4FE9BD67"/>
    <w:rsid w:val="4FFB052F"/>
    <w:rsid w:val="536015C6"/>
    <w:rsid w:val="537A527A"/>
    <w:rsid w:val="537E6D0A"/>
    <w:rsid w:val="53F74C96"/>
    <w:rsid w:val="55170BA8"/>
    <w:rsid w:val="553218C9"/>
    <w:rsid w:val="567E1AA5"/>
    <w:rsid w:val="56E47B74"/>
    <w:rsid w:val="57175D52"/>
    <w:rsid w:val="57BD3DD4"/>
    <w:rsid w:val="585A3CD0"/>
    <w:rsid w:val="59046094"/>
    <w:rsid w:val="5AF92295"/>
    <w:rsid w:val="5B250254"/>
    <w:rsid w:val="5BA227C4"/>
    <w:rsid w:val="5BDD79E6"/>
    <w:rsid w:val="5BF561CA"/>
    <w:rsid w:val="5BFF5DFC"/>
    <w:rsid w:val="5CD71FC4"/>
    <w:rsid w:val="5D1F11B5"/>
    <w:rsid w:val="5D695134"/>
    <w:rsid w:val="5DAE1B18"/>
    <w:rsid w:val="5DE7D9E5"/>
    <w:rsid w:val="5ECEC941"/>
    <w:rsid w:val="5FBF9FF3"/>
    <w:rsid w:val="5FCD4E2C"/>
    <w:rsid w:val="5FD6265C"/>
    <w:rsid w:val="5FEF394A"/>
    <w:rsid w:val="5FF67715"/>
    <w:rsid w:val="62BF3928"/>
    <w:rsid w:val="63B3701E"/>
    <w:rsid w:val="647F5392"/>
    <w:rsid w:val="65AD439E"/>
    <w:rsid w:val="65E66580"/>
    <w:rsid w:val="664B1D71"/>
    <w:rsid w:val="664B4E8E"/>
    <w:rsid w:val="67277B67"/>
    <w:rsid w:val="67AA3209"/>
    <w:rsid w:val="698D0931"/>
    <w:rsid w:val="6A36610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C29C7"/>
    <w:rsid w:val="776F6FFA"/>
    <w:rsid w:val="778769C8"/>
    <w:rsid w:val="77A75DCA"/>
    <w:rsid w:val="77DC22F5"/>
    <w:rsid w:val="783E271A"/>
    <w:rsid w:val="78616DE9"/>
    <w:rsid w:val="78E875D7"/>
    <w:rsid w:val="78FD538A"/>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2"/>
    <w:qFormat/>
    <w:uiPriority w:val="9"/>
    <w:rPr>
      <w:rFonts w:ascii="Times New Roman" w:hAnsi="Times New Roman"/>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paragraph" w:customStyle="1" w:styleId="33">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emf"/><Relationship Id="rId16" Type="http://schemas.openxmlformats.org/officeDocument/2006/relationships/image" Target="media/image6.emf"/><Relationship Id="rId15" Type="http://schemas.openxmlformats.org/officeDocument/2006/relationships/image" Target="media/image5.emf"/><Relationship Id="rId14" Type="http://schemas.openxmlformats.org/officeDocument/2006/relationships/image" Target="media/image4.emf"/><Relationship Id="rId13" Type="http://schemas.openxmlformats.org/officeDocument/2006/relationships/image" Target="media/image3.emf"/><Relationship Id="rId12" Type="http://schemas.openxmlformats.org/officeDocument/2006/relationships/image" Target="media/image2.emf"/><Relationship Id="rId11" Type="http://schemas.openxmlformats.org/officeDocument/2006/relationships/image" Target="media/image1.emf"/><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4097" textRotate="1"/>
    <customShpInfo spid="_x0000_s4100"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41</Pages>
  <Words>14469</Words>
  <Characters>17384</Characters>
  <Lines>59</Lines>
  <Paragraphs>16</Paragraphs>
  <TotalTime>30</TotalTime>
  <ScaleCrop>false</ScaleCrop>
  <LinksUpToDate>false</LinksUpToDate>
  <CharactersWithSpaces>17462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yt</cp:lastModifiedBy>
  <cp:lastPrinted>2025-09-17T06:05:00Z</cp:lastPrinted>
  <dcterms:modified xsi:type="dcterms:W3CDTF">2025-09-17T06:37:39Z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04787F2533EB45DC91BCDE4AB213247F</vt:lpwstr>
  </property>
  <property fmtid="{D5CDD505-2E9C-101B-9397-08002B2CF9AE}" pid="4" name="KSOTemplateDocerSaveRecord">
    <vt:lpwstr>eyJoZGlkIjoiYmY1ZDM2ZTdiY2ViZGIyZTYwYTI3ZWRlMDAzNTliNTEiLCJ1c2VySWQiOiIxNjUxNjQ0NDA5In0=</vt:lpwstr>
  </property>
</Properties>
</file>