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7833D">
      <w:pPr>
        <w:rPr>
          <w:rFonts w:hint="default" w:ascii="Times New Roman" w:hAnsi="Times New Roman" w:cs="Times New Roman"/>
        </w:rPr>
      </w:pPr>
      <w:bookmarkStart w:id="0" w:name="_Toc15378441"/>
      <w:bookmarkStart w:id="1" w:name="_Toc15377425"/>
      <w:bookmarkStart w:id="2" w:name="_Toc15396597"/>
      <w:bookmarkStart w:id="3" w:name="_Toc15377193"/>
      <w:bookmarkStart w:id="4" w:name="_Toc15396475"/>
      <w:bookmarkStart w:id="5" w:name="_Toc15306267"/>
    </w:p>
    <w:p w14:paraId="05DE3589">
      <w:pPr>
        <w:pStyle w:val="8"/>
        <w:jc w:val="center"/>
        <w:rPr>
          <w:rFonts w:hint="default" w:ascii="Times New Roman" w:hAnsi="Times New Roman" w:eastAsia="方正小标宋简体" w:cs="Times New Roman"/>
          <w:color w:val="auto"/>
          <w:kern w:val="2"/>
          <w:sz w:val="44"/>
          <w:szCs w:val="44"/>
          <w:highlight w:val="none"/>
          <w:lang w:val="en-US" w:eastAsia="zh-CN" w:bidi="ar-SA"/>
        </w:rPr>
      </w:pPr>
    </w:p>
    <w:p w14:paraId="4D1AC557">
      <w:pPr>
        <w:pStyle w:val="8"/>
        <w:jc w:val="center"/>
        <w:rPr>
          <w:rFonts w:hint="default" w:ascii="Times New Roman" w:hAnsi="Times New Roman" w:eastAsia="方正小标宋简体" w:cs="Times New Roman"/>
          <w:color w:val="auto"/>
          <w:kern w:val="2"/>
          <w:sz w:val="44"/>
          <w:szCs w:val="44"/>
          <w:highlight w:val="none"/>
          <w:lang w:val="en-US" w:eastAsia="zh-CN" w:bidi="ar-SA"/>
        </w:rPr>
      </w:pPr>
    </w:p>
    <w:p w14:paraId="6F2DD205">
      <w:pPr>
        <w:pStyle w:val="8"/>
        <w:jc w:val="center"/>
        <w:rPr>
          <w:rFonts w:hint="default" w:ascii="Times New Roman" w:hAnsi="Times New Roman" w:eastAsia="方正小标宋简体" w:cs="Times New Roman"/>
          <w:color w:val="auto"/>
          <w:kern w:val="2"/>
          <w:sz w:val="44"/>
          <w:szCs w:val="44"/>
          <w:highlight w:val="none"/>
          <w:lang w:val="en-US" w:eastAsia="zh-CN" w:bidi="ar-SA"/>
        </w:rPr>
      </w:pPr>
    </w:p>
    <w:p w14:paraId="4DF4DEAC">
      <w:pPr>
        <w:pStyle w:val="8"/>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0AB5D78">
      <w:pPr>
        <w:pStyle w:val="8"/>
        <w:jc w:val="center"/>
        <w:rPr>
          <w:rFonts w:hint="default" w:ascii="Times New Roman" w:hAnsi="Times New Roman" w:eastAsia="方正小标宋简体" w:cs="Times New Roman"/>
          <w:color w:val="auto"/>
          <w:kern w:val="2"/>
          <w:sz w:val="44"/>
          <w:szCs w:val="44"/>
          <w:highlight w:val="none"/>
          <w:lang w:val="en-US" w:eastAsia="zh-CN" w:bidi="ar-SA"/>
        </w:rPr>
      </w:pPr>
      <w:bookmarkStart w:id="6" w:name="_Toc15377194"/>
      <w:bookmarkStart w:id="7" w:name="_Toc15378442"/>
      <w:bookmarkStart w:id="8" w:name="_Toc15377426"/>
      <w:bookmarkStart w:id="9" w:name="_Toc15396598"/>
      <w:bookmarkStart w:id="10" w:name="_Toc15396476"/>
      <w:r>
        <w:rPr>
          <w:rFonts w:hint="default"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default" w:ascii="Times New Roman" w:hAnsi="Times New Roman" w:eastAsia="方正小标宋简体" w:cs="Times New Roman"/>
          <w:color w:val="auto"/>
          <w:kern w:val="2"/>
          <w:sz w:val="44"/>
          <w:szCs w:val="44"/>
          <w:highlight w:val="none"/>
          <w:lang w:val="en-US" w:eastAsia="zh-CN" w:bidi="ar-SA"/>
        </w:rPr>
        <w:t>攀枝花市</w:t>
      </w:r>
    </w:p>
    <w:p w14:paraId="17FC1ECE">
      <w:pPr>
        <w:pStyle w:val="8"/>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仁和区审计局部门决算</w:t>
      </w:r>
      <w:bookmarkEnd w:id="6"/>
      <w:bookmarkEnd w:id="7"/>
      <w:bookmarkEnd w:id="8"/>
      <w:bookmarkEnd w:id="9"/>
      <w:bookmarkEnd w:id="10"/>
      <w:bookmarkEnd w:id="11"/>
    </w:p>
    <w:p w14:paraId="62187AD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14:paraId="11F68190">
      <w:pPr>
        <w:widowControl/>
        <w:jc w:val="center"/>
        <w:rPr>
          <w:rFonts w:hint="default" w:ascii="Times New Roman" w:hAnsi="Times New Roman" w:eastAsia="黑体" w:cs="Times New Roman"/>
          <w:color w:val="FF0000"/>
          <w:sz w:val="48"/>
          <w:szCs w:val="48"/>
          <w:highlight w:val="none"/>
        </w:rPr>
        <w:sectPr>
          <w:footerReference r:id="rId5" w:type="first"/>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pPr>
    </w:p>
    <w:p w14:paraId="265FE7C4">
      <w:pPr>
        <w:widowControl/>
        <w:jc w:val="center"/>
        <w:rPr>
          <w:rFonts w:hint="default" w:ascii="Times New Roman" w:hAnsi="Times New Roman" w:eastAsia="黑体" w:cs="Times New Roman"/>
          <w:color w:val="000000" w:themeColor="text1"/>
          <w:sz w:val="48"/>
          <w:szCs w:val="48"/>
          <w:highlight w:val="none"/>
          <w14:textFill>
            <w14:solidFill>
              <w14:schemeClr w14:val="tx1"/>
            </w14:solidFill>
          </w14:textFill>
        </w:rPr>
      </w:pPr>
      <w:r>
        <w:rPr>
          <w:rFonts w:hint="default" w:ascii="Times New Roman" w:hAnsi="Times New Roman" w:eastAsia="黑体" w:cs="Times New Roman"/>
          <w:color w:val="000000" w:themeColor="text1"/>
          <w:sz w:val="48"/>
          <w:szCs w:val="48"/>
          <w:highlight w:val="none"/>
          <w14:textFill>
            <w14:solidFill>
              <w14:schemeClr w14:val="tx1"/>
            </w14:solidFill>
          </w14:textFill>
        </w:rPr>
        <w:t>目录</w:t>
      </w:r>
    </w:p>
    <w:p w14:paraId="43A7CFE5">
      <w:pPr>
        <w:widowControl/>
        <w:jc w:val="center"/>
        <w:rPr>
          <w:rFonts w:hint="default" w:ascii="Times New Roman" w:hAnsi="Times New Roman" w:eastAsia="黑体" w:cs="Times New Roman"/>
          <w:color w:val="000000" w:themeColor="text1"/>
          <w:sz w:val="28"/>
          <w:szCs w:val="28"/>
          <w:highlight w:val="none"/>
          <w14:textFill>
            <w14:solidFill>
              <w14:schemeClr w14:val="tx1"/>
            </w14:solidFill>
          </w14:textFill>
        </w:rPr>
      </w:pPr>
    </w:p>
    <w:p w14:paraId="24E194E3">
      <w:pPr>
        <w:pStyle w:val="14"/>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公开时间：20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p>
    <w:p w14:paraId="245B1A14">
      <w:pPr>
        <w:rPr>
          <w:rFonts w:hint="default" w:ascii="Times New Roman" w:hAnsi="Times New Roman" w:cs="Times New Roman"/>
          <w:color w:val="000000" w:themeColor="text1"/>
          <w:highlight w:val="none"/>
          <w14:textFill>
            <w14:solidFill>
              <w14:schemeClr w14:val="tx1"/>
            </w14:solidFill>
          </w14:textFill>
        </w:rPr>
      </w:pPr>
    </w:p>
    <w:p w14:paraId="0F6B1EEF">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第一部分 部门概况</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..........................................................................4</w:t>
      </w:r>
    </w:p>
    <w:p w14:paraId="74A8E0F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部门职责</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p>
    <w:p w14:paraId="1495EDC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二、机构设置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p>
    <w:p w14:paraId="026B288C">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第二部分</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2024年度</w:t>
      </w:r>
      <w:r>
        <w:rPr>
          <w:rFonts w:hint="default" w:ascii="Times New Roman" w:hAnsi="Times New Roman" w:eastAsia="黑体" w:cs="Times New Roman"/>
          <w:color w:val="000000" w:themeColor="text1"/>
          <w:sz w:val="32"/>
          <w:szCs w:val="32"/>
          <w:highlight w:val="none"/>
          <w14:textFill>
            <w14:solidFill>
              <w14:schemeClr w14:val="tx1"/>
            </w14:solidFill>
          </w14:textFill>
        </w:rPr>
        <w:t>部门决算情况说明</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..........................................7</w:t>
      </w:r>
    </w:p>
    <w:p w14:paraId="1F14D67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一、收入支出决算总体情况说明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p>
    <w:p w14:paraId="5A0412E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二、收入决算情况说明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p>
    <w:p w14:paraId="31D2752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三、支出决算情况说明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p>
    <w:p w14:paraId="6C0FFA0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四、财政拨款收入支出决算总体情况说明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p>
    <w:p w14:paraId="1C1502E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五、一般公共预算财政拨款支出决算情况说明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p>
    <w:p w14:paraId="4B08D52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六、一般公共预算财政拨款基本支出决算情况说明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w:t>
      </w:r>
    </w:p>
    <w:p w14:paraId="4215F33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七、财政拨款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三公”经费支出决算情况说明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.......................13</w:t>
      </w:r>
    </w:p>
    <w:p w14:paraId="5EA30FE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八、政府性基金预算支出决算情况说明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...............................14</w:t>
      </w:r>
    </w:p>
    <w:p w14:paraId="055FE6D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有资本经营预算支出决算情况说明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...........................14</w:t>
      </w:r>
    </w:p>
    <w:p w14:paraId="78400BA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、其他重要事项的情况说明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...............................................15</w:t>
      </w:r>
    </w:p>
    <w:p w14:paraId="1EA8744F">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第三部分 名词解释</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........................................................................17</w:t>
      </w:r>
    </w:p>
    <w:p w14:paraId="2EB40231">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第四部分 附件</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................................................................................21</w:t>
      </w:r>
    </w:p>
    <w:p w14:paraId="335A4A82">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第五部分 附表</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................................................................................32</w:t>
      </w:r>
    </w:p>
    <w:p w14:paraId="50FA0CC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一、收入支出决算总表</w:t>
      </w:r>
    </w:p>
    <w:p w14:paraId="6482EE0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二、收入决算表</w:t>
      </w:r>
    </w:p>
    <w:p w14:paraId="502E1E4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三、支出决算表</w:t>
      </w:r>
    </w:p>
    <w:p w14:paraId="171212C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四、财政拨款收入支出决算总表</w:t>
      </w:r>
    </w:p>
    <w:p w14:paraId="05F69FF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五、财政拨款支出决算明细表</w:t>
      </w:r>
    </w:p>
    <w:p w14:paraId="490C461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六、一般公共预算财政拨款支出决算表</w:t>
      </w:r>
    </w:p>
    <w:p w14:paraId="1C472D4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七、一般公共预算财政拨款支出决算明细表</w:t>
      </w:r>
    </w:p>
    <w:p w14:paraId="65B65E6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八、一般公共预算财政拨款基本支出决算</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明细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表</w:t>
      </w:r>
    </w:p>
    <w:p w14:paraId="25F24E1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九、一般公共预算财政拨款项目支出决算表</w:t>
      </w:r>
    </w:p>
    <w:p w14:paraId="4404362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十、政府性基金预算财政拨款收入支出决算表</w:t>
      </w:r>
    </w:p>
    <w:p w14:paraId="6DE3763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十一、国有资本经营预算财政拨款收入支出决算表</w:t>
      </w:r>
    </w:p>
    <w:p w14:paraId="679F4A6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国有资本经营预算财政拨款支出决算表</w:t>
      </w:r>
    </w:p>
    <w:p w14:paraId="3A03F13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十三、财政拨款“三公”经费支出决算表</w:t>
      </w:r>
    </w:p>
    <w:p w14:paraId="01B9172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default" w:ascii="Times New Roman" w:hAnsi="Times New Roman" w:eastAsia="仿宋_GB2312" w:cs="Times New Roman"/>
          <w:b/>
          <w:bCs/>
          <w:color w:val="FF0000"/>
          <w:sz w:val="32"/>
          <w:szCs w:val="32"/>
          <w:highlight w:val="none"/>
          <w:lang w:eastAsia="zh-CN"/>
        </w:rPr>
      </w:pPr>
    </w:p>
    <w:p w14:paraId="3EBB57A6">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_GB2312" w:cs="Times New Roman"/>
          <w:bCs/>
          <w:color w:val="auto"/>
          <w:kern w:val="44"/>
          <w:sz w:val="32"/>
          <w:szCs w:val="32"/>
          <w:highlight w:val="none"/>
        </w:rPr>
      </w:pPr>
      <w:bookmarkStart w:id="12" w:name="_Toc15396599"/>
      <w:bookmarkStart w:id="13" w:name="_Toc15377196"/>
      <w:r>
        <w:rPr>
          <w:rFonts w:hint="default" w:ascii="Times New Roman" w:hAnsi="Times New Roman" w:eastAsia="仿宋_GB2312" w:cs="Times New Roman"/>
          <w:b/>
          <w:color w:val="auto"/>
          <w:sz w:val="32"/>
          <w:szCs w:val="32"/>
          <w:highlight w:val="none"/>
        </w:rPr>
        <w:br w:type="page"/>
      </w:r>
    </w:p>
    <w:p w14:paraId="6359AB90">
      <w:pPr>
        <w:pStyle w:val="5"/>
        <w:jc w:val="center"/>
        <w:rPr>
          <w:rStyle w:val="30"/>
          <w:rFonts w:hint="default" w:ascii="Times New Roman" w:hAnsi="Times New Roman" w:eastAsia="方正小标宋简体" w:cs="Times New Roman"/>
          <w:b/>
          <w:bCs w:val="0"/>
          <w:color w:val="auto"/>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30"/>
          <w:rFonts w:hint="default" w:ascii="Times New Roman" w:hAnsi="Times New Roman" w:eastAsia="方正小标宋简体" w:cs="Times New Roman"/>
          <w:b w:val="0"/>
          <w:bCs w:val="0"/>
          <w:color w:val="auto"/>
          <w:highlight w:val="none"/>
        </w:rPr>
        <w:t>部门概况</w:t>
      </w:r>
      <w:bookmarkEnd w:id="12"/>
      <w:bookmarkEnd w:id="13"/>
    </w:p>
    <w:p w14:paraId="0BA57D4B">
      <w:pPr>
        <w:widowControl/>
        <w:jc w:val="left"/>
        <w:rPr>
          <w:rFonts w:hint="default" w:ascii="Times New Roman" w:hAnsi="Times New Roman" w:eastAsia="黑体" w:cs="Times New Roman"/>
          <w:color w:val="auto"/>
          <w:sz w:val="32"/>
          <w:szCs w:val="32"/>
          <w:highlight w:val="none"/>
        </w:rPr>
      </w:pPr>
    </w:p>
    <w:p w14:paraId="7414EB81">
      <w:pPr>
        <w:pStyle w:val="6"/>
        <w:rPr>
          <w:rFonts w:hint="default" w:ascii="Times New Roman" w:hAnsi="Times New Roman" w:eastAsia="黑体" w:cs="Times New Roman"/>
          <w:b w:val="0"/>
          <w:color w:val="auto"/>
          <w:highlight w:val="none"/>
          <w:lang w:eastAsia="zh-CN"/>
        </w:rPr>
      </w:pPr>
      <w:bookmarkStart w:id="14" w:name="_Toc15396600"/>
      <w:bookmarkStart w:id="15" w:name="_Toc15377197"/>
      <w:r>
        <w:rPr>
          <w:rFonts w:hint="default" w:ascii="Times New Roman" w:hAnsi="Times New Roman" w:eastAsia="黑体" w:cs="Times New Roman"/>
          <w:b w:val="0"/>
          <w:color w:val="auto"/>
          <w:highlight w:val="none"/>
        </w:rPr>
        <w:t>一、</w:t>
      </w:r>
      <w:bookmarkEnd w:id="14"/>
      <w:bookmarkEnd w:id="15"/>
      <w:r>
        <w:rPr>
          <w:rFonts w:hint="default" w:ascii="Times New Roman" w:hAnsi="Times New Roman" w:eastAsia="黑体" w:cs="Times New Roman"/>
          <w:b w:val="0"/>
          <w:color w:val="auto"/>
          <w:highlight w:val="none"/>
          <w:lang w:eastAsia="zh-CN"/>
        </w:rPr>
        <w:t>部门职责</w:t>
      </w:r>
    </w:p>
    <w:p w14:paraId="333A6D07">
      <w:pPr>
        <w:ind w:firstLine="800" w:firstLineChars="25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仁和区审计局贯彻落实党中央关于审计工作的方针政策和省委、市委、区委的决策部署，在履行职责过程中坚持和加强党对审计工作的集中统一领导。主要职责是：</w:t>
      </w:r>
    </w:p>
    <w:p w14:paraId="5B2213ED">
      <w:pPr>
        <w:ind w:firstLine="800" w:firstLineChars="25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主管全区审计工作。负责对区级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市区有关重大政策措施贯彻落实情况进行跟踪审计。对审计、专项审计调查和核查社会审计机构相关审计报告的结果承担责任，并负有督促被审计单位整改的责任。</w:t>
      </w:r>
    </w:p>
    <w:p w14:paraId="12473ED8">
      <w:pPr>
        <w:ind w:firstLine="800" w:firstLineChars="2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2.贯彻执行国家、省有关审计工作的方针政策</w:t>
      </w:r>
      <w:r>
        <w:rPr>
          <w:rFonts w:hint="default" w:ascii="Times New Roman" w:hAnsi="Times New Roman" w:eastAsia="仿宋_GB2312" w:cs="Times New Roman"/>
          <w:color w:val="auto"/>
          <w:sz w:val="32"/>
          <w:szCs w:val="32"/>
          <w:highlight w:val="none"/>
        </w:rPr>
        <w:t>和法律法规。起草全区审计规章草案、规范性文件。制定并组织实施全区专业领域审计工作规划，参与起草全区性财政经济及相关规章草案、规范性文件。组织对全区性重大投资项目、重大突发性公共事项、重要专项资金的审计和专项审计调查。对直接审计、调查和核查的事项依法进行审计评价，作出审计决定或提出审计建议。</w:t>
      </w:r>
    </w:p>
    <w:p w14:paraId="1A16D25F">
      <w:pPr>
        <w:ind w:firstLine="800" w:firstLineChars="2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向区委审计委员会提出年度区级预算执行和其他财政支出情况审计报告。向区政府和市审计局提出年度区级预算执行及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向区级有关部门（单位）、乡镇（街道）党（工）委、政府（办事处）通报审计情况和审计结果。</w:t>
      </w:r>
    </w:p>
    <w:p w14:paraId="4B6C4A44">
      <w:pPr>
        <w:pageBreakBefore w:val="0"/>
        <w:widowControl w:val="0"/>
        <w:kinsoku/>
        <w:wordWrap/>
        <w:overflowPunct/>
        <w:topLinePunct w:val="0"/>
        <w:autoSpaceDE/>
        <w:autoSpaceDN/>
        <w:bidi w:val="0"/>
        <w:ind w:left="0" w:firstLine="800" w:firstLineChars="2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直接审计下列事项，出具审计报告，在法定职权范围内作出审计决定，包括国家和省市区有关重大政策措施贯彻落实情况；区级预算执行情况和其他财政收支，区级各部门（单位）预算执行情况、决算草案和其他财政收支；乡镇（街办）政府预算执行情况、决算草案和其他财政收支，区级财政转移支付资金；使用区级财政资金的事业单位和社会团体的财务收支；区级政府投资和以区级政府投资为主的建设项目的预算执行情况和决算，区级重大公共工程项目的资金管理使用和建设运营情况；自然资源管理、污染防治和生态保护与修复情况；区属国有企业和国有资本占控股或主导地位的企业境内外资产、负债和损益；有关社会保障基金，社会捐赠资金、安全生产和职业健康财政资金以及其他基金、资金的财务收支；国际组织和外国政府援助、贷款项目；法律法规规定的其他事项。</w:t>
      </w:r>
    </w:p>
    <w:p w14:paraId="74D575FD">
      <w:pPr>
        <w:pStyle w:val="6"/>
        <w:pageBreakBefore w:val="0"/>
        <w:widowControl w:val="0"/>
        <w:kinsoku/>
        <w:wordWrap/>
        <w:overflowPunct/>
        <w:topLinePunct w:val="0"/>
        <w:autoSpaceDE/>
        <w:autoSpaceDN/>
        <w:bidi w:val="0"/>
        <w:spacing w:before="0" w:after="0"/>
        <w:ind w:left="0"/>
        <w:textAlignment w:val="auto"/>
        <w:rPr>
          <w:rStyle w:val="31"/>
          <w:rFonts w:hint="default" w:ascii="Times New Roman" w:hAnsi="Times New Roman" w:cs="Times New Roman"/>
          <w:b w:val="0"/>
          <w:bCs w:val="0"/>
          <w:color w:val="auto"/>
          <w:highlight w:val="none"/>
        </w:rPr>
      </w:pPr>
      <w:bookmarkStart w:id="16" w:name="_Toc15396601"/>
      <w:bookmarkStart w:id="17" w:name="_Toc15377200"/>
      <w:r>
        <w:rPr>
          <w:rFonts w:hint="default" w:ascii="Times New Roman" w:hAnsi="Times New Roman" w:eastAsia="黑体" w:cs="Times New Roman"/>
          <w:b w:val="0"/>
          <w:color w:val="auto"/>
          <w:highlight w:val="none"/>
        </w:rPr>
        <w:t>二、机</w:t>
      </w:r>
      <w:r>
        <w:rPr>
          <w:rStyle w:val="31"/>
          <w:rFonts w:hint="default" w:ascii="Times New Roman" w:hAnsi="Times New Roman" w:eastAsia="黑体" w:cs="Times New Roman"/>
          <w:b w:val="0"/>
          <w:bCs w:val="0"/>
          <w:color w:val="auto"/>
          <w:highlight w:val="none"/>
        </w:rPr>
        <w:t>构设置</w:t>
      </w:r>
      <w:bookmarkEnd w:id="16"/>
      <w:bookmarkEnd w:id="17"/>
    </w:p>
    <w:p w14:paraId="0F07742A">
      <w:pPr>
        <w:pageBreakBefore w:val="0"/>
        <w:widowControl w:val="0"/>
        <w:kinsoku/>
        <w:wordWrap/>
        <w:overflowPunct/>
        <w:topLinePunct w:val="0"/>
        <w:autoSpaceDE/>
        <w:autoSpaceDN/>
        <w:bidi w:val="0"/>
        <w:ind w:left="0"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攀枝花市仁和区审计局下</w:t>
      </w:r>
      <w:r>
        <w:rPr>
          <w:rFonts w:hint="eastAsia" w:eastAsia="仿宋_GB2312" w:cs="Times New Roman"/>
          <w:color w:val="auto"/>
          <w:sz w:val="32"/>
          <w:szCs w:val="32"/>
          <w:highlight w:val="none"/>
          <w:lang w:val="en-US" w:eastAsia="zh-CN"/>
        </w:rPr>
        <w:t>设4个股室，独立编制的1个</w:t>
      </w:r>
      <w:r>
        <w:rPr>
          <w:rFonts w:hint="default" w:ascii="Times New Roman" w:hAnsi="Times New Roman" w:eastAsia="仿宋_GB2312" w:cs="Times New Roman"/>
          <w:color w:val="auto"/>
          <w:sz w:val="32"/>
          <w:szCs w:val="32"/>
          <w:highlight w:val="none"/>
        </w:rPr>
        <w:t>参照公务员法管理的事业单位</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个事业单位。</w:t>
      </w:r>
    </w:p>
    <w:p w14:paraId="326974B5">
      <w:pPr>
        <w:pStyle w:val="8"/>
        <w:pageBreakBefore w:val="0"/>
        <w:widowControl w:val="0"/>
        <w:kinsoku/>
        <w:wordWrap/>
        <w:overflowPunct/>
        <w:topLinePunct w:val="0"/>
        <w:autoSpaceDE/>
        <w:autoSpaceDN/>
        <w:bidi w:val="0"/>
        <w:adjustRightInd w:val="0"/>
        <w:snapToGrid w:val="0"/>
        <w:spacing w:beforeLines="0" w:line="600" w:lineRule="exact"/>
        <w:ind w:left="0"/>
        <w:textAlignment w:val="auto"/>
        <w:rPr>
          <w:rFonts w:hint="default" w:ascii="Times New Roman" w:hAnsi="Times New Roman" w:eastAsia="仿宋_GB2312" w:cs="Times New Roman"/>
          <w:color w:val="auto"/>
          <w:sz w:val="32"/>
          <w:szCs w:val="32"/>
          <w:highlight w:val="none"/>
        </w:rPr>
      </w:pPr>
      <w:bookmarkStart w:id="70" w:name="_GoBack"/>
      <w:bookmarkEnd w:id="70"/>
    </w:p>
    <w:p w14:paraId="47B6DA65">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14D37C5E">
      <w:pPr>
        <w:pStyle w:val="5"/>
        <w:jc w:val="center"/>
        <w:rPr>
          <w:rFonts w:hint="default" w:ascii="Times New Roman" w:hAnsi="Times New Roman" w:eastAsia="方正小标宋简体" w:cs="Times New Roman"/>
          <w:b w:val="0"/>
          <w:color w:val="auto"/>
          <w:highlight w:val="none"/>
        </w:rPr>
      </w:pPr>
      <w:bookmarkStart w:id="18" w:name="_Toc15377204"/>
      <w:bookmarkStart w:id="19" w:name="_Toc15396602"/>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18"/>
      <w:bookmarkEnd w:id="19"/>
    </w:p>
    <w:p w14:paraId="1BB232E8">
      <w:pPr>
        <w:rPr>
          <w:rFonts w:hint="default" w:ascii="Times New Roman" w:hAnsi="Times New Roman" w:cs="Times New Roman"/>
          <w:color w:val="auto"/>
          <w:highlight w:val="none"/>
        </w:rPr>
      </w:pPr>
    </w:p>
    <w:p w14:paraId="183B538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20" w:name="_Toc15377205"/>
      <w:bookmarkStart w:id="21"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入支出决算总体情况说明</w:t>
      </w:r>
      <w:bookmarkEnd w:id="20"/>
      <w:bookmarkEnd w:id="21"/>
    </w:p>
    <w:p w14:paraId="1364458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396.</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65.71</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19.87</w:t>
      </w:r>
      <w:r>
        <w:rPr>
          <w:rFonts w:hint="default" w:ascii="Times New Roman" w:hAnsi="Times New Roman" w:eastAsia="仿宋_GB2312" w:cs="Times New Roman"/>
          <w:color w:val="auto"/>
          <w:sz w:val="32"/>
          <w:szCs w:val="32"/>
          <w:highlight w:val="none"/>
        </w:rPr>
        <w:t>%。主要变动原因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是</w:t>
      </w:r>
      <w:r>
        <w:rPr>
          <w:rFonts w:hint="default" w:ascii="Times New Roman" w:hAnsi="Times New Roman" w:eastAsia="仿宋_GB2312" w:cs="Times New Roman"/>
          <w:color w:val="auto"/>
          <w:sz w:val="32"/>
          <w:szCs w:val="32"/>
          <w:highlight w:val="none"/>
          <w:lang w:val="en-US" w:eastAsia="zh-CN"/>
        </w:rPr>
        <w:t>单位人员调入，</w:t>
      </w:r>
      <w:r>
        <w:rPr>
          <w:rFonts w:hint="default" w:ascii="Times New Roman" w:hAnsi="Times New Roman" w:eastAsia="仿宋_GB2312" w:cs="Times New Roman"/>
          <w:sz w:val="32"/>
          <w:szCs w:val="32"/>
          <w:highlight w:val="none"/>
          <w:lang w:eastAsia="zh-CN"/>
        </w:rPr>
        <w:t>二是</w:t>
      </w:r>
      <w:r>
        <w:rPr>
          <w:rFonts w:hint="default" w:ascii="Times New Roman" w:hAnsi="Times New Roman" w:eastAsia="仿宋_GB2312" w:cs="Times New Roman"/>
          <w:sz w:val="32"/>
          <w:szCs w:val="32"/>
          <w:highlight w:val="none"/>
          <w:lang w:val="en-US" w:eastAsia="zh-CN"/>
        </w:rPr>
        <w:t>2024年进行支付</w:t>
      </w:r>
      <w:r>
        <w:rPr>
          <w:rFonts w:hint="default" w:ascii="Times New Roman" w:hAnsi="Times New Roman" w:eastAsia="仿宋_GB2312" w:cs="Times New Roman"/>
          <w:sz w:val="32"/>
          <w:szCs w:val="32"/>
          <w:highlight w:val="none"/>
          <w:lang w:eastAsia="zh-CN"/>
        </w:rPr>
        <w:t>的上年度</w:t>
      </w:r>
      <w:r>
        <w:rPr>
          <w:rFonts w:hint="default" w:ascii="Times New Roman" w:hAnsi="Times New Roman" w:eastAsia="仿宋_GB2312" w:cs="Times New Roman"/>
          <w:sz w:val="32"/>
          <w:szCs w:val="32"/>
          <w:highlight w:val="none"/>
        </w:rPr>
        <w:t>投资审计委托费用</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因此</w:t>
      </w:r>
      <w:r>
        <w:rPr>
          <w:rFonts w:hint="default" w:ascii="Times New Roman" w:hAnsi="Times New Roman" w:eastAsia="仿宋_GB2312" w:cs="Times New Roman"/>
          <w:sz w:val="32"/>
          <w:szCs w:val="32"/>
          <w:highlight w:val="none"/>
        </w:rPr>
        <w:t>本年度支出数额较去年有所增加。</w:t>
      </w:r>
    </w:p>
    <w:p w14:paraId="79D82E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rP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11C67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2" w:name="_Toc15377206"/>
      <w:bookmarkStart w:id="23" w:name="_Toc15396604"/>
      <w:r>
        <w:rPr>
          <w:rFonts w:hint="default" w:ascii="Times New Roman" w:hAnsi="Times New Roman" w:eastAsia="黑体" w:cs="Times New Roman"/>
          <w:color w:val="auto"/>
          <w:sz w:val="32"/>
          <w:szCs w:val="32"/>
          <w:highlight w:val="none"/>
          <w:lang w:eastAsia="zh-CN"/>
        </w:rPr>
        <w:t>二、收入决算情况说明</w:t>
      </w:r>
      <w:bookmarkEnd w:id="22"/>
      <w:bookmarkEnd w:id="23"/>
    </w:p>
    <w:p w14:paraId="6826887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396.</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rPr>
        <w:t>万元，其中：一般公共预算财政拨款收入396.</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p>
    <w:p w14:paraId="777B8900">
      <w:pPr>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D264A0">
      <w:pPr>
        <w:pStyle w:val="2"/>
        <w:rPr>
          <w:rFonts w:hint="default" w:ascii="Times New Roman" w:hAnsi="Times New Roman" w:eastAsia="仿宋_GB2312" w:cs="Times New Roman"/>
          <w:color w:val="auto"/>
          <w:sz w:val="32"/>
          <w:szCs w:val="32"/>
          <w:highlight w:val="none"/>
          <w:lang w:eastAsia="zh-CN"/>
        </w:rPr>
      </w:pPr>
    </w:p>
    <w:p w14:paraId="1810B3C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default" w:ascii="Times New Roman" w:hAnsi="Times New Roman" w:eastAsia="黑体" w:cs="Times New Roman"/>
          <w:b w:val="0"/>
          <w:color w:val="auto"/>
          <w:highlight w:val="none"/>
        </w:rPr>
      </w:pPr>
      <w:bookmarkStart w:id="24" w:name="_Toc15377207"/>
      <w:bookmarkStart w:id="25" w:name="_Toc15396605"/>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1"/>
          <w:rFonts w:hint="default" w:ascii="Times New Roman" w:hAnsi="Times New Roman" w:eastAsia="黑体" w:cs="Times New Roman"/>
          <w:b w:val="0"/>
          <w:color w:val="auto"/>
          <w:highlight w:val="none"/>
        </w:rPr>
        <w:t>出决算情况说明</w:t>
      </w:r>
      <w:bookmarkEnd w:id="24"/>
      <w:bookmarkEnd w:id="25"/>
    </w:p>
    <w:p w14:paraId="5FFF957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396.96</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306.41</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77.1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90.55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22.81</w:t>
      </w:r>
      <w:r>
        <w:rPr>
          <w:rFonts w:hint="default" w:ascii="Times New Roman" w:hAnsi="Times New Roman" w:eastAsia="仿宋_GB2312" w:cs="Times New Roman"/>
          <w:color w:val="auto"/>
          <w:sz w:val="32"/>
          <w:szCs w:val="32"/>
          <w:highlight w:val="none"/>
          <w:lang w:eastAsia="zh-CN"/>
        </w:rPr>
        <w:t>%。</w:t>
      </w:r>
    </w:p>
    <w:p w14:paraId="276AF7EC">
      <w:pPr>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79BB4F">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26" w:name="_Toc15377208"/>
      <w:bookmarkStart w:id="27" w:name="_Toc15396606"/>
      <w:r>
        <w:rPr>
          <w:rFonts w:hint="default" w:ascii="Times New Roman" w:hAnsi="Times New Roman" w:eastAsia="黑体" w:cs="Times New Roman"/>
          <w:color w:val="auto"/>
          <w:sz w:val="32"/>
          <w:szCs w:val="32"/>
          <w:highlight w:val="none"/>
        </w:rPr>
        <w:t>四、财</w:t>
      </w:r>
      <w:r>
        <w:rPr>
          <w:rStyle w:val="31"/>
          <w:rFonts w:hint="default" w:ascii="Times New Roman" w:hAnsi="Times New Roman" w:eastAsia="黑体" w:cs="Times New Roman"/>
          <w:b w:val="0"/>
          <w:color w:val="auto"/>
          <w:highlight w:val="none"/>
        </w:rPr>
        <w:t>政拨款收入支出决算总体情况说明</w:t>
      </w:r>
      <w:bookmarkEnd w:id="26"/>
      <w:bookmarkEnd w:id="27"/>
    </w:p>
    <w:p w14:paraId="7210A49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396.96</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65.71</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19.87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lang w:val="en-US" w:eastAsia="zh-CN" w:bidi="ar-SA"/>
        </w:rPr>
        <w:t>。主要变动原因是：</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是</w:t>
      </w:r>
      <w:r>
        <w:rPr>
          <w:rFonts w:hint="default" w:ascii="Times New Roman" w:hAnsi="Times New Roman" w:eastAsia="仿宋_GB2312" w:cs="Times New Roman"/>
          <w:color w:val="auto"/>
          <w:sz w:val="32"/>
          <w:szCs w:val="32"/>
          <w:highlight w:val="none"/>
          <w:lang w:val="en-US" w:eastAsia="zh-CN"/>
        </w:rPr>
        <w:t>单位人员调入，</w:t>
      </w:r>
      <w:r>
        <w:rPr>
          <w:rFonts w:hint="default" w:ascii="Times New Roman" w:hAnsi="Times New Roman" w:eastAsia="仿宋_GB2312" w:cs="Times New Roman"/>
          <w:sz w:val="32"/>
          <w:szCs w:val="32"/>
          <w:highlight w:val="none"/>
          <w:lang w:eastAsia="zh-CN"/>
        </w:rPr>
        <w:t>二是</w:t>
      </w:r>
      <w:r>
        <w:rPr>
          <w:rFonts w:hint="default" w:ascii="Times New Roman" w:hAnsi="Times New Roman" w:eastAsia="仿宋_GB2312" w:cs="Times New Roman"/>
          <w:sz w:val="32"/>
          <w:szCs w:val="32"/>
          <w:highlight w:val="none"/>
          <w:lang w:val="en-US" w:eastAsia="zh-CN"/>
        </w:rPr>
        <w:t>2024年进行支付</w:t>
      </w:r>
      <w:r>
        <w:rPr>
          <w:rFonts w:hint="default" w:ascii="Times New Roman" w:hAnsi="Times New Roman" w:eastAsia="仿宋_GB2312" w:cs="Times New Roman"/>
          <w:sz w:val="32"/>
          <w:szCs w:val="32"/>
          <w:highlight w:val="none"/>
          <w:lang w:eastAsia="zh-CN"/>
        </w:rPr>
        <w:t>的上年度</w:t>
      </w:r>
      <w:r>
        <w:rPr>
          <w:rFonts w:hint="default" w:ascii="Times New Roman" w:hAnsi="Times New Roman" w:eastAsia="仿宋_GB2312" w:cs="Times New Roman"/>
          <w:sz w:val="32"/>
          <w:szCs w:val="32"/>
          <w:highlight w:val="none"/>
        </w:rPr>
        <w:t>投资审计委托费用</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因此</w:t>
      </w:r>
      <w:r>
        <w:rPr>
          <w:rFonts w:hint="default" w:ascii="Times New Roman" w:hAnsi="Times New Roman" w:eastAsia="仿宋_GB2312" w:cs="Times New Roman"/>
          <w:sz w:val="32"/>
          <w:szCs w:val="32"/>
          <w:highlight w:val="none"/>
        </w:rPr>
        <w:t>本年度支出数额较去年有所增加。</w:t>
      </w:r>
    </w:p>
    <w:p w14:paraId="1DBA6CED">
      <w:pPr>
        <w:pStyle w:val="3"/>
        <w:ind w:left="0" w:leftChars="0" w:firstLine="0" w:firstLineChars="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inline distT="0" distB="0" distL="114300" distR="114300">
            <wp:extent cx="4730750" cy="2710815"/>
            <wp:effectExtent l="4445" t="5080" r="8255" b="825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CDB121">
      <w:pPr>
        <w:spacing w:line="600" w:lineRule="exact"/>
        <w:ind w:firstLine="640" w:firstLineChars="200"/>
        <w:outlineLvl w:val="1"/>
        <w:rPr>
          <w:rStyle w:val="31"/>
          <w:rFonts w:hint="default" w:ascii="Times New Roman" w:hAnsi="Times New Roman" w:eastAsia="黑体" w:cs="Times New Roman"/>
          <w:b w:val="0"/>
          <w:color w:val="auto"/>
          <w:highlight w:val="none"/>
        </w:rPr>
      </w:pPr>
      <w:bookmarkStart w:id="28" w:name="_Toc15377209"/>
      <w:bookmarkStart w:id="29"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般公共预算财政拨款支出决算情况说明</w:t>
      </w:r>
      <w:bookmarkEnd w:id="28"/>
      <w:bookmarkEnd w:id="29"/>
    </w:p>
    <w:p w14:paraId="695A4654">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0"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0"/>
    </w:p>
    <w:p w14:paraId="5F810D2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396.96</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65.71</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19.87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lang w:val="en-US" w:eastAsia="zh-CN" w:bidi="ar-SA"/>
        </w:rPr>
        <w:t>。主要变动原因是：</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是</w:t>
      </w:r>
      <w:r>
        <w:rPr>
          <w:rFonts w:hint="default" w:ascii="Times New Roman" w:hAnsi="Times New Roman" w:eastAsia="仿宋_GB2312" w:cs="Times New Roman"/>
          <w:color w:val="auto"/>
          <w:sz w:val="32"/>
          <w:szCs w:val="32"/>
          <w:highlight w:val="none"/>
          <w:lang w:val="en-US" w:eastAsia="zh-CN"/>
        </w:rPr>
        <w:t>单位人员调入，</w:t>
      </w:r>
      <w:r>
        <w:rPr>
          <w:rFonts w:hint="default" w:ascii="Times New Roman" w:hAnsi="Times New Roman" w:eastAsia="仿宋_GB2312" w:cs="Times New Roman"/>
          <w:sz w:val="32"/>
          <w:szCs w:val="32"/>
          <w:highlight w:val="none"/>
          <w:lang w:eastAsia="zh-CN"/>
        </w:rPr>
        <w:t>二是</w:t>
      </w:r>
      <w:r>
        <w:rPr>
          <w:rFonts w:hint="default" w:ascii="Times New Roman" w:hAnsi="Times New Roman" w:eastAsia="仿宋_GB2312" w:cs="Times New Roman"/>
          <w:sz w:val="32"/>
          <w:szCs w:val="32"/>
          <w:highlight w:val="none"/>
          <w:lang w:val="en-US" w:eastAsia="zh-CN"/>
        </w:rPr>
        <w:t>2024年进行支付</w:t>
      </w:r>
      <w:r>
        <w:rPr>
          <w:rFonts w:hint="default" w:ascii="Times New Roman" w:hAnsi="Times New Roman" w:eastAsia="仿宋_GB2312" w:cs="Times New Roman"/>
          <w:sz w:val="32"/>
          <w:szCs w:val="32"/>
          <w:highlight w:val="none"/>
          <w:lang w:eastAsia="zh-CN"/>
        </w:rPr>
        <w:t>的上年度</w:t>
      </w:r>
      <w:r>
        <w:rPr>
          <w:rFonts w:hint="default" w:ascii="Times New Roman" w:hAnsi="Times New Roman" w:eastAsia="仿宋_GB2312" w:cs="Times New Roman"/>
          <w:sz w:val="32"/>
          <w:szCs w:val="32"/>
          <w:highlight w:val="none"/>
        </w:rPr>
        <w:t>投资审计委托费用</w:t>
      </w:r>
      <w:r>
        <w:rPr>
          <w:rFonts w:hint="default" w:ascii="Times New Roman" w:hAnsi="Times New Roman" w:eastAsia="仿宋_GB2312" w:cs="Times New Roman"/>
          <w:sz w:val="32"/>
          <w:szCs w:val="32"/>
          <w:highlight w:val="none"/>
          <w:lang w:eastAsia="zh-CN"/>
        </w:rPr>
        <w:t>增加</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因此</w:t>
      </w:r>
      <w:r>
        <w:rPr>
          <w:rFonts w:hint="default" w:ascii="Times New Roman" w:hAnsi="Times New Roman" w:eastAsia="仿宋_GB2312" w:cs="Times New Roman"/>
          <w:sz w:val="32"/>
          <w:szCs w:val="32"/>
          <w:highlight w:val="none"/>
        </w:rPr>
        <w:t>本年度支出数额较去年有所增加。</w:t>
      </w:r>
    </w:p>
    <w:p w14:paraId="78EEE42D">
      <w:pPr>
        <w:pStyle w:val="3"/>
        <w:ind w:left="0" w:leftChars="0" w:firstLine="0" w:firstLineChars="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inline distT="0" distB="0" distL="114300" distR="114300">
            <wp:extent cx="4826000" cy="2743200"/>
            <wp:effectExtent l="4445" t="4445" r="8255" b="14605"/>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D29BB4">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1"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31"/>
    </w:p>
    <w:p w14:paraId="3B136E9D">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396.96</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万元，主要用于以下方面：一般公共服务支出302.01万元，占76.08%；社会保障和就业支出56.08万元，占14.13%；卫生健康支出16.91万元，占4.27%；住房保障支出21.96万元，占5.54%。</w:t>
      </w:r>
    </w:p>
    <w:p w14:paraId="12847DFD">
      <w:pPr>
        <w:pStyle w:val="3"/>
        <w:ind w:left="0" w:leftChars="0" w:firstLine="0" w:firstLineChars="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inline distT="0" distB="0" distL="114300" distR="114300">
            <wp:extent cx="4826000" cy="2743200"/>
            <wp:effectExtent l="4445" t="4445" r="825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161F59">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2"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2"/>
    </w:p>
    <w:p w14:paraId="089485B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33" w:name="_Toc15378460"/>
      <w:bookmarkStart w:id="34" w:name="_Toc15377444"/>
      <w:bookmarkStart w:id="35" w:name="_Toc15377213"/>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396.96</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33"/>
      <w:bookmarkEnd w:id="34"/>
      <w:bookmarkEnd w:id="35"/>
    </w:p>
    <w:p w14:paraId="68BD584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1.一般公共服务（类）审计事务（款）行政运行（项）：支出决算为179.22万元，完成预算100%，决算数等于预算数。</w:t>
      </w:r>
    </w:p>
    <w:p w14:paraId="6CAF0B4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2.一般公共服务（类）审计事务（款）一般行政管理事务（项）：支出决算为0.56万元，完成预算100%，决算数等于预算数。</w:t>
      </w:r>
    </w:p>
    <w:p w14:paraId="75D1210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3.一般公共服务（类）审计事务（款）审计业务（项）：支出决算为88.88万元，完成预算100%，决算数等于预算数。</w:t>
      </w:r>
    </w:p>
    <w:p w14:paraId="049C835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4.一般公共服务（类）审计事务（款）信息化建设（项）：支出决算为1.11万元，完成预算100%，决算数等于预算数。</w:t>
      </w:r>
    </w:p>
    <w:p w14:paraId="6C4171C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5.一般公共服务（类）审计事务（款）事业运行（项）：支出决算为32.25万元，完成预算100%，决算数等于预算数。</w:t>
      </w:r>
    </w:p>
    <w:p w14:paraId="6365108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6.社会保障和就业（类）行政事业单位养老支出（款）行政单位离退休（项）：支出决算为9.09万元，完成预算100%，决算数等于预算数。</w:t>
      </w:r>
    </w:p>
    <w:p w14:paraId="159C8B6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7.社会保障和就业（类）行政事业单位养老支出（款）机关事业单位基本养老保险缴费支出（项）：支出决算为26.17万元，完成预算100%，决算数等于预算数。</w:t>
      </w:r>
    </w:p>
    <w:p w14:paraId="6A6D28C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8.社会保障和就业（类）行政事业单位养老支出（款）机关事业单位职业年金缴费支出（项）：支出决算为20.82万元，完成预算100%，决算数等于预算数。</w:t>
      </w:r>
    </w:p>
    <w:p w14:paraId="57A6B4F8">
      <w:pPr>
        <w:pStyle w:val="3"/>
        <w:keepNext w:val="0"/>
        <w:keepLines w:val="0"/>
        <w:pageBreakBefore w:val="0"/>
        <w:widowControl w:val="0"/>
        <w:kinsoku/>
        <w:wordWrap/>
        <w:overflowPunct/>
        <w:topLinePunct w:val="0"/>
        <w:autoSpaceDE/>
        <w:autoSpaceDN/>
        <w:bidi w:val="0"/>
        <w:adjustRightInd/>
        <w:snapToGrid/>
        <w:spacing w:after="0"/>
        <w:ind w:left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9.卫生健康（类）行政事业单位医疗（款）行政单位医疗（项）：支出决算为12.06万元，完成预算100%，决算数等于预算数。</w:t>
      </w:r>
    </w:p>
    <w:p w14:paraId="28CC37E4">
      <w:pPr>
        <w:pStyle w:val="3"/>
        <w:keepNext w:val="0"/>
        <w:keepLines w:val="0"/>
        <w:pageBreakBefore w:val="0"/>
        <w:widowControl w:val="0"/>
        <w:kinsoku/>
        <w:wordWrap/>
        <w:overflowPunct/>
        <w:topLinePunct w:val="0"/>
        <w:autoSpaceDE/>
        <w:autoSpaceDN/>
        <w:bidi w:val="0"/>
        <w:adjustRightInd/>
        <w:snapToGrid/>
        <w:spacing w:after="0"/>
        <w:ind w:left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10.卫生健康（类）行政事业单位医疗（款）事业单位医疗（项）：支出决算为1.88万元，完成预算100%，决算数等于预算数。</w:t>
      </w:r>
    </w:p>
    <w:p w14:paraId="537A79D3">
      <w:pPr>
        <w:pStyle w:val="3"/>
        <w:keepNext w:val="0"/>
        <w:keepLines w:val="0"/>
        <w:pageBreakBefore w:val="0"/>
        <w:widowControl w:val="0"/>
        <w:kinsoku/>
        <w:wordWrap/>
        <w:overflowPunct/>
        <w:topLinePunct w:val="0"/>
        <w:autoSpaceDE/>
        <w:autoSpaceDN/>
        <w:bidi w:val="0"/>
        <w:adjustRightInd/>
        <w:snapToGrid/>
        <w:spacing w:after="0"/>
        <w:ind w:left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11.卫生健康（类）行政事业单位医疗（款）公务员医疗补助（项）：支出决算为2.97万元，完成预算100%，决算数等于预算数。</w:t>
      </w:r>
    </w:p>
    <w:p w14:paraId="5E29C3E2">
      <w:pPr>
        <w:pStyle w:val="3"/>
        <w:keepNext w:val="0"/>
        <w:keepLines w:val="0"/>
        <w:pageBreakBefore w:val="0"/>
        <w:widowControl w:val="0"/>
        <w:kinsoku/>
        <w:wordWrap/>
        <w:overflowPunct/>
        <w:topLinePunct w:val="0"/>
        <w:autoSpaceDE/>
        <w:autoSpaceDN/>
        <w:bidi w:val="0"/>
        <w:adjustRightInd/>
        <w:snapToGrid/>
        <w:spacing w:after="0"/>
        <w:ind w:leftChars="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12.住房保障（类）住房改革（款）住房公积金（项）：支出决算为21.96万元，完成预算100%，决算数等于预算数。</w:t>
      </w:r>
    </w:p>
    <w:p w14:paraId="3A63A5F6">
      <w:pPr>
        <w:keepNext w:val="0"/>
        <w:keepLines w:val="0"/>
        <w:pageBreakBefore w:val="0"/>
        <w:widowControl w:val="0"/>
        <w:tabs>
          <w:tab w:val="right" w:pos="8306"/>
        </w:tabs>
        <w:kinsoku/>
        <w:wordWrap/>
        <w:overflowPunct/>
        <w:topLinePunct w:val="0"/>
        <w:autoSpaceDE/>
        <w:autoSpaceDN/>
        <w:bidi w:val="0"/>
        <w:adjustRightInd/>
        <w:snapToGrid/>
        <w:spacing w:line="600" w:lineRule="exact"/>
        <w:ind w:leftChars="0" w:firstLine="640"/>
        <w:textAlignment w:val="auto"/>
        <w:outlineLvl w:val="1"/>
        <w:rPr>
          <w:rStyle w:val="31"/>
          <w:rFonts w:hint="default" w:ascii="Times New Roman" w:hAnsi="Times New Roman" w:cs="Times New Roman"/>
          <w:color w:val="auto"/>
          <w:highlight w:val="none"/>
        </w:rPr>
      </w:pPr>
      <w:bookmarkStart w:id="36" w:name="_Toc15377214"/>
      <w:bookmarkStart w:id="37"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36"/>
      <w:bookmarkEnd w:id="37"/>
    </w:p>
    <w:p w14:paraId="3E0B9121">
      <w:pPr>
        <w:keepNext w:val="0"/>
        <w:keepLines w:val="0"/>
        <w:pageBreakBefore w:val="0"/>
        <w:widowControl w:val="0"/>
        <w:kinsoku/>
        <w:wordWrap/>
        <w:overflowPunct/>
        <w:topLinePunct w:val="0"/>
        <w:autoSpaceDE/>
        <w:autoSpaceDN/>
        <w:bidi w:val="0"/>
        <w:adjustRightInd/>
        <w:snapToGrid/>
        <w:spacing w:line="600" w:lineRule="exact"/>
        <w:ind w:leftChars="0"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306.41</w:t>
      </w:r>
      <w:r>
        <w:rPr>
          <w:rFonts w:hint="default" w:ascii="Times New Roman" w:hAnsi="Times New Roman" w:eastAsia="仿宋_GB2312" w:cs="Times New Roman"/>
          <w:color w:val="auto"/>
          <w:kern w:val="2"/>
          <w:sz w:val="32"/>
          <w:szCs w:val="32"/>
          <w:highlight w:val="none"/>
          <w:lang w:val="en-US" w:eastAsia="zh-CN" w:bidi="ar-SA"/>
        </w:rPr>
        <w:t>万元，其中：</w:t>
      </w:r>
    </w:p>
    <w:p w14:paraId="4FE2F44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297.58</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8.83</w:t>
      </w:r>
      <w:r>
        <w:rPr>
          <w:rFonts w:hint="default" w:ascii="Times New Roman" w:hAnsi="Times New Roman" w:eastAsia="仿宋_GB2312" w:cs="Times New Roman"/>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529D2C2">
      <w:pPr>
        <w:spacing w:line="600" w:lineRule="exact"/>
        <w:ind w:firstLine="640"/>
        <w:outlineLvl w:val="1"/>
        <w:rPr>
          <w:rStyle w:val="31"/>
          <w:rFonts w:hint="default" w:ascii="Times New Roman" w:hAnsi="Times New Roman" w:eastAsia="黑体" w:cs="Times New Roman"/>
          <w:b w:val="0"/>
          <w:color w:val="auto"/>
          <w:highlight w:val="none"/>
        </w:rPr>
      </w:pPr>
      <w:bookmarkStart w:id="38" w:name="_Toc15377215"/>
      <w:bookmarkStart w:id="39" w:name="_Toc15396609"/>
      <w:r>
        <w:rPr>
          <w:rFonts w:hint="default" w:ascii="Times New Roman" w:hAnsi="Times New Roman" w:eastAsia="黑体" w:cs="Times New Roman"/>
          <w:color w:val="auto"/>
          <w:sz w:val="32"/>
          <w:szCs w:val="32"/>
          <w:highlight w:val="none"/>
        </w:rPr>
        <w:t>七、</w:t>
      </w:r>
      <w:r>
        <w:rPr>
          <w:rStyle w:val="31"/>
          <w:rFonts w:hint="default" w:ascii="Times New Roman" w:hAnsi="Times New Roman" w:eastAsia="黑体" w:cs="Times New Roman"/>
          <w:b w:val="0"/>
          <w:color w:val="auto"/>
          <w:highlight w:val="none"/>
        </w:rPr>
        <w:t>财政拨款</w:t>
      </w:r>
      <w:r>
        <w:rPr>
          <w:rStyle w:val="31"/>
          <w:rFonts w:hint="default" w:ascii="Times New Roman" w:hAnsi="Times New Roman" w:eastAsia="黑体" w:cs="Times New Roman"/>
          <w:color w:val="auto"/>
          <w:highlight w:val="none"/>
        </w:rPr>
        <w:t>“</w:t>
      </w:r>
      <w:r>
        <w:rPr>
          <w:rStyle w:val="31"/>
          <w:rFonts w:hint="default" w:ascii="Times New Roman" w:hAnsi="Times New Roman" w:eastAsia="黑体" w:cs="Times New Roman"/>
          <w:b w:val="0"/>
          <w:color w:val="auto"/>
          <w:highlight w:val="none"/>
        </w:rPr>
        <w:t>三公”经费支出决算情况说明</w:t>
      </w:r>
      <w:bookmarkEnd w:id="38"/>
      <w:bookmarkEnd w:id="39"/>
    </w:p>
    <w:p w14:paraId="5590D213">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0"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40"/>
    </w:p>
    <w:p w14:paraId="584188B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0.43</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%，较上年度减少0.01万元，下降2.27%。决算数等于预算数。</w:t>
      </w:r>
    </w:p>
    <w:p w14:paraId="70E2776F">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1"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41"/>
    </w:p>
    <w:p w14:paraId="236D5BA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万元，占0%；公务接待费支出决算</w:t>
      </w:r>
      <w:r>
        <w:rPr>
          <w:rFonts w:hint="default" w:ascii="Times New Roman" w:hAnsi="Times New Roman" w:eastAsia="仿宋_GB2312" w:cs="Times New Roman"/>
          <w:sz w:val="32"/>
          <w:szCs w:val="32"/>
        </w:rPr>
        <w:t>0.43</w:t>
      </w:r>
      <w:r>
        <w:rPr>
          <w:rFonts w:hint="default" w:ascii="Times New Roman" w:hAnsi="Times New Roman" w:eastAsia="仿宋_GB2312" w:cs="Times New Roman"/>
          <w:color w:val="auto"/>
          <w:kern w:val="2"/>
          <w:sz w:val="32"/>
          <w:szCs w:val="32"/>
          <w:highlight w:val="none"/>
          <w:lang w:val="en-US" w:eastAsia="zh-CN" w:bidi="ar-SA"/>
        </w:rPr>
        <w:t>万元，占100%。具体情况如下：</w:t>
      </w:r>
    </w:p>
    <w:p w14:paraId="537D868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（图7：“三公”经费财政拨款支出结构）（饼状图）</w:t>
      </w:r>
    </w:p>
    <w:p w14:paraId="2F70E09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人。因公出国（境）支出决算与2023年持平。</w:t>
      </w:r>
    </w:p>
    <w:p w14:paraId="76FE96C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公务用车购置及运行维护费支出决算比2023年度持平。</w:t>
      </w:r>
    </w:p>
    <w:p w14:paraId="28A9B6F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万元。全年按规定更新购置公务用车0辆。截至2024年12月31日，单位共有公务用车0辆，其中：轿车0辆、越野车0辆、载客汽车0辆。</w:t>
      </w:r>
    </w:p>
    <w:p w14:paraId="396FB42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21F1925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3.公务接待费支出0.43万元，完成预算100%。</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公务接待费支出决算比2023年度减少0.01万元，下降2.27%。其中：</w:t>
      </w:r>
    </w:p>
    <w:p w14:paraId="3943CCC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0.43</w:t>
      </w:r>
      <w:r>
        <w:rPr>
          <w:rFonts w:hint="default" w:ascii="Times New Roman" w:hAnsi="Times New Roman" w:eastAsia="仿宋_GB2312" w:cs="Times New Roman"/>
          <w:color w:val="auto"/>
          <w:kern w:val="2"/>
          <w:sz w:val="32"/>
          <w:szCs w:val="32"/>
          <w:highlight w:val="none"/>
          <w:lang w:val="en-US" w:eastAsia="zh-CN" w:bidi="ar-SA"/>
        </w:rPr>
        <w:t>万元，主要用于迎接上级部门审计项目检查或考察学习等开支的用餐费等。国内公务接待</w:t>
      </w:r>
      <w:r>
        <w:rPr>
          <w:rFonts w:hint="default" w:ascii="Times New Roman" w:hAnsi="Times New Roman" w:eastAsia="仿宋_GB2312" w:cs="Times New Roman"/>
          <w:sz w:val="32"/>
          <w:szCs w:val="32"/>
        </w:rPr>
        <w:t>4</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33</w:t>
      </w:r>
      <w:r>
        <w:rPr>
          <w:rFonts w:hint="default" w:ascii="Times New Roman" w:hAnsi="Times New Roman" w:eastAsia="仿宋_GB2312" w:cs="Times New Roman"/>
          <w:color w:val="auto"/>
          <w:kern w:val="2"/>
          <w:sz w:val="32"/>
          <w:szCs w:val="32"/>
          <w:highlight w:val="none"/>
          <w:lang w:val="en-US" w:eastAsia="zh-CN" w:bidi="ar-SA"/>
        </w:rPr>
        <w:t>人次（不包括陪同人员），共计支出0.43万元，具体内容包括：</w:t>
      </w:r>
      <w:r>
        <w:rPr>
          <w:rFonts w:hint="eastAsia" w:eastAsia="仿宋_GB2312" w:cs="Times New Roman"/>
          <w:color w:val="auto"/>
          <w:kern w:val="2"/>
          <w:sz w:val="32"/>
          <w:szCs w:val="32"/>
          <w:highlight w:val="none"/>
          <w:lang w:val="en-US" w:eastAsia="zh-CN" w:bidi="ar-SA"/>
        </w:rPr>
        <w:t>审计科研所来仁和交流研讨接待1次</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省内其他审计机关到我局</w:t>
      </w:r>
      <w:r>
        <w:rPr>
          <w:rFonts w:hint="default" w:ascii="Times New Roman" w:hAnsi="Times New Roman" w:eastAsia="仿宋_GB2312" w:cs="Times New Roman"/>
          <w:color w:val="auto"/>
          <w:kern w:val="2"/>
          <w:sz w:val="32"/>
          <w:szCs w:val="32"/>
          <w:highlight w:val="none"/>
          <w:lang w:val="en-US" w:eastAsia="zh-CN" w:bidi="ar-SA"/>
        </w:rPr>
        <w:t>交流学习</w:t>
      </w:r>
      <w:r>
        <w:rPr>
          <w:rFonts w:hint="eastAsia" w:eastAsia="仿宋_GB2312" w:cs="Times New Roman"/>
          <w:color w:val="auto"/>
          <w:kern w:val="2"/>
          <w:sz w:val="32"/>
          <w:szCs w:val="32"/>
          <w:highlight w:val="none"/>
          <w:lang w:val="en-US" w:eastAsia="zh-CN" w:bidi="ar-SA"/>
        </w:rPr>
        <w:t>接待1次</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上级审计机关到我区开展审计项目进场接待2次</w:t>
      </w:r>
      <w:r>
        <w:rPr>
          <w:rFonts w:hint="default" w:ascii="Times New Roman" w:hAnsi="Times New Roman" w:eastAsia="仿宋_GB2312" w:cs="Times New Roman"/>
          <w:color w:val="auto"/>
          <w:kern w:val="2"/>
          <w:sz w:val="32"/>
          <w:szCs w:val="32"/>
          <w:highlight w:val="none"/>
          <w:lang w:val="en-US" w:eastAsia="zh-CN" w:bidi="ar-SA"/>
        </w:rPr>
        <w:t>。</w:t>
      </w:r>
    </w:p>
    <w:p w14:paraId="47FC97C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bookmarkStart w:id="42" w:name="_Toc15377218"/>
      <w:bookmarkStart w:id="43" w:name="_Toc15396610"/>
    </w:p>
    <w:p w14:paraId="66F475F6">
      <w:pPr>
        <w:spacing w:line="600" w:lineRule="exact"/>
        <w:ind w:firstLine="640"/>
        <w:outlineLvl w:val="1"/>
        <w:rPr>
          <w:rStyle w:val="31"/>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42"/>
      <w:bookmarkEnd w:id="43"/>
    </w:p>
    <w:p w14:paraId="48E82ED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%。与2023年度相比，政府性基金预算财政拨款支出持平。</w:t>
      </w:r>
    </w:p>
    <w:p w14:paraId="3185FF8F">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44" w:name="_Toc15396611"/>
      <w:bookmarkStart w:id="45" w:name="_Toc15377219"/>
      <w:r>
        <w:rPr>
          <w:rStyle w:val="31"/>
          <w:rFonts w:hint="default" w:ascii="Times New Roman" w:hAnsi="Times New Roman" w:eastAsia="黑体" w:cs="Times New Roman"/>
          <w:b w:val="0"/>
          <w:color w:val="auto"/>
          <w:highlight w:val="none"/>
          <w:lang w:eastAsia="zh-CN"/>
        </w:rPr>
        <w:t>九、</w:t>
      </w:r>
      <w:r>
        <w:rPr>
          <w:rStyle w:val="31"/>
          <w:rFonts w:hint="default" w:ascii="Times New Roman" w:hAnsi="Times New Roman" w:eastAsia="黑体" w:cs="Times New Roman"/>
          <w:b w:val="0"/>
          <w:color w:val="auto"/>
          <w:highlight w:val="none"/>
        </w:rPr>
        <w:t>国有资本经营预算支出决算情况说明</w:t>
      </w:r>
      <w:bookmarkEnd w:id="44"/>
      <w:bookmarkEnd w:id="45"/>
    </w:p>
    <w:p w14:paraId="7B8EEB7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%。与2023年度相比，国有资本经营预算财政拨款支出持平。</w:t>
      </w:r>
    </w:p>
    <w:p w14:paraId="057EF126">
      <w:pPr>
        <w:numPr>
          <w:ilvl w:val="0"/>
          <w:numId w:val="0"/>
        </w:numPr>
        <w:spacing w:line="600" w:lineRule="exact"/>
        <w:ind w:left="630" w:leftChars="0"/>
        <w:outlineLvl w:val="1"/>
        <w:rPr>
          <w:rStyle w:val="31"/>
          <w:rFonts w:hint="default" w:ascii="Times New Roman" w:hAnsi="Times New Roman" w:eastAsia="黑体" w:cs="Times New Roman"/>
          <w:b w:val="0"/>
          <w:color w:val="auto"/>
          <w:highlight w:val="none"/>
        </w:rPr>
      </w:pPr>
      <w:bookmarkStart w:id="46" w:name="_Toc15396612"/>
      <w:bookmarkStart w:id="47" w:name="_Toc15377221"/>
      <w:r>
        <w:rPr>
          <w:rStyle w:val="31"/>
          <w:rFonts w:hint="default" w:ascii="Times New Roman" w:hAnsi="Times New Roman" w:eastAsia="黑体" w:cs="Times New Roman"/>
          <w:b w:val="0"/>
          <w:color w:val="auto"/>
          <w:highlight w:val="none"/>
          <w:lang w:eastAsia="zh-CN"/>
        </w:rPr>
        <w:t>十、</w:t>
      </w:r>
      <w:r>
        <w:rPr>
          <w:rStyle w:val="31"/>
          <w:rFonts w:hint="default" w:ascii="Times New Roman" w:hAnsi="Times New Roman" w:eastAsia="黑体" w:cs="Times New Roman"/>
          <w:b w:val="0"/>
          <w:color w:val="auto"/>
          <w:highlight w:val="none"/>
        </w:rPr>
        <w:t>其他重要事项的情况说明</w:t>
      </w:r>
      <w:bookmarkEnd w:id="46"/>
      <w:bookmarkEnd w:id="47"/>
    </w:p>
    <w:p w14:paraId="405204B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8" w:name="_Toc15377222"/>
      <w:r>
        <w:rPr>
          <w:rFonts w:hint="default" w:ascii="Times New Roman" w:hAnsi="Times New Roman" w:eastAsia="楷体_GB2312" w:cs="Times New Roman"/>
          <w:b/>
          <w:color w:val="auto"/>
          <w:sz w:val="32"/>
          <w:szCs w:val="32"/>
          <w:highlight w:val="none"/>
        </w:rPr>
        <w:t>（一）机关运行经费支出情况</w:t>
      </w:r>
      <w:bookmarkEnd w:id="48"/>
    </w:p>
    <w:p w14:paraId="0268742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攀枝花市仁和区审计局</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8.83</w:t>
      </w:r>
      <w:r>
        <w:rPr>
          <w:rFonts w:hint="default" w:ascii="Times New Roman" w:hAnsi="Times New Roman" w:eastAsia="仿宋_GB2312" w:cs="Times New Roman"/>
          <w:color w:val="auto"/>
          <w:kern w:val="2"/>
          <w:sz w:val="32"/>
          <w:szCs w:val="32"/>
          <w:highlight w:val="none"/>
          <w:lang w:val="en-US" w:eastAsia="zh-CN" w:bidi="ar-SA"/>
        </w:rPr>
        <w:t>万元，比2023年度减少</w:t>
      </w:r>
      <w:r>
        <w:rPr>
          <w:rFonts w:hint="default" w:ascii="Times New Roman" w:hAnsi="Times New Roman" w:eastAsia="仿宋_GB2312" w:cs="Times New Roman"/>
          <w:color w:val="auto"/>
          <w:sz w:val="32"/>
          <w:szCs w:val="32"/>
          <w:highlight w:val="none"/>
          <w:lang w:val="en-US" w:eastAsia="zh-CN"/>
        </w:rPr>
        <w:t>13.56</w:t>
      </w:r>
      <w:r>
        <w:rPr>
          <w:rFonts w:hint="default" w:ascii="Times New Roman" w:hAnsi="Times New Roman" w:eastAsia="仿宋_GB2312" w:cs="Times New Roman"/>
          <w:color w:val="auto"/>
          <w:kern w:val="2"/>
          <w:sz w:val="32"/>
          <w:szCs w:val="32"/>
          <w:highlight w:val="none"/>
          <w:lang w:val="en-US" w:eastAsia="zh-CN" w:bidi="ar-SA"/>
        </w:rPr>
        <w:t>万元，下降60.56%。主要原因是2024年通讯费、车补未发，因此较2023年少支出十余万元。</w:t>
      </w:r>
    </w:p>
    <w:p w14:paraId="2B7AF01C">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9" w:name="_Toc15377223"/>
      <w:r>
        <w:rPr>
          <w:rFonts w:hint="default" w:ascii="Times New Roman" w:hAnsi="Times New Roman" w:eastAsia="楷体_GB2312" w:cs="Times New Roman"/>
          <w:b/>
          <w:color w:val="auto"/>
          <w:sz w:val="32"/>
          <w:szCs w:val="32"/>
          <w:highlight w:val="none"/>
        </w:rPr>
        <w:t>（二）政府采购支出情况</w:t>
      </w:r>
      <w:bookmarkEnd w:id="49"/>
    </w:p>
    <w:p w14:paraId="4EB0DF1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攀枝花市仁和区审计局</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1.8</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1.8</w:t>
      </w:r>
      <w:r>
        <w:rPr>
          <w:rFonts w:hint="default" w:ascii="Times New Roman" w:hAnsi="Times New Roman" w:eastAsia="仿宋_GB2312" w:cs="Times New Roman"/>
          <w:color w:val="auto"/>
          <w:kern w:val="2"/>
          <w:sz w:val="32"/>
          <w:szCs w:val="32"/>
          <w:highlight w:val="none"/>
          <w:lang w:val="en-US" w:eastAsia="zh-CN" w:bidi="ar-SA"/>
        </w:rPr>
        <w:t>万元。授予中小企业合同金额</w:t>
      </w:r>
      <w:r>
        <w:rPr>
          <w:rFonts w:hint="default" w:ascii="Times New Roman" w:hAnsi="Times New Roman" w:eastAsia="仿宋_GB2312" w:cs="Times New Roman"/>
          <w:sz w:val="32"/>
          <w:szCs w:val="32"/>
        </w:rPr>
        <w:t>1.8</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1.8</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w:t>
      </w:r>
    </w:p>
    <w:p w14:paraId="436A38B3">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0" w:name="_Toc15377224"/>
      <w:r>
        <w:rPr>
          <w:rFonts w:hint="default" w:ascii="Times New Roman" w:hAnsi="Times New Roman" w:eastAsia="楷体_GB2312" w:cs="Times New Roman"/>
          <w:b/>
          <w:color w:val="auto"/>
          <w:sz w:val="32"/>
          <w:szCs w:val="32"/>
          <w:highlight w:val="none"/>
        </w:rPr>
        <w:t>（三）国有资产占有使用情况</w:t>
      </w:r>
      <w:bookmarkEnd w:id="50"/>
    </w:p>
    <w:p w14:paraId="0E8F882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攀枝花市仁和区审计局</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w:t>
      </w:r>
    </w:p>
    <w:p w14:paraId="62C73D68">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4D95699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根据预算绩效管理要求，本部门在2024年度预算编制阶段，组织对固定资产投资审计项目等1个项目开展了预算事前绩效评估，对5个项目编制了绩效目标，预算执行过程中，选取5个项目开展绩效监控。</w:t>
      </w:r>
    </w:p>
    <w:p w14:paraId="1DA87E8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开展绩效自评，形成攀枝花市仁和区审计局部门整体（含部门预算项目）绩效自评报告，其中，攀枝花市仁和区审计局部门整体（含部门预算项目）绩效自评得分为92.8分，绩效自评综述攀枝花市仁和区审计局严格按照预算法、会计法及各项财务管理制度的规定，规范单位收支管理，厉行勤俭节约，严控一般性支出、最大限度地发挥了财政资金使用效率，较好地执行了年初预算各项资金计划，切实发挥审计监督在促进经济高质量发展、促进全面深化改革、促进权力规范运行、促进反腐倡廉等方面的重要作用。</w:t>
      </w:r>
    </w:p>
    <w:p w14:paraId="7B96E41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2024年攀枝花市仁和区审计局部门整体支出绩效自查自评结果良好，全年基本支出保证了部门的正常运转，项目支出保障了重点工作的开展。</w:t>
      </w:r>
    </w:p>
    <w:p w14:paraId="1438F1E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2024年本部门不涉及专项预算项目绩效评价。</w:t>
      </w:r>
    </w:p>
    <w:p w14:paraId="08D6029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6C863D13">
      <w:pPr>
        <w:pStyle w:val="2"/>
        <w:rPr>
          <w:rFonts w:hint="default" w:ascii="Times New Roman" w:hAnsi="Times New Roman" w:eastAsia="仿宋_GB2312" w:cs="Times New Roman"/>
          <w:color w:val="auto"/>
          <w:kern w:val="2"/>
          <w:sz w:val="32"/>
          <w:szCs w:val="32"/>
          <w:highlight w:val="none"/>
          <w:lang w:val="en-US" w:eastAsia="zh-CN" w:bidi="ar-SA"/>
        </w:rPr>
      </w:pPr>
    </w:p>
    <w:p w14:paraId="48F97F84">
      <w:pPr>
        <w:pStyle w:val="3"/>
        <w:rPr>
          <w:rFonts w:hint="default" w:ascii="Times New Roman" w:hAnsi="Times New Roman" w:eastAsia="仿宋_GB2312" w:cs="Times New Roman"/>
          <w:color w:val="auto"/>
          <w:kern w:val="2"/>
          <w:sz w:val="32"/>
          <w:szCs w:val="32"/>
          <w:highlight w:val="none"/>
          <w:lang w:val="en-US" w:eastAsia="zh-CN" w:bidi="ar-SA"/>
        </w:rPr>
      </w:pPr>
    </w:p>
    <w:p w14:paraId="7046D2AD">
      <w:pPr>
        <w:pStyle w:val="3"/>
        <w:rPr>
          <w:rFonts w:hint="default" w:ascii="Times New Roman" w:hAnsi="Times New Roman" w:eastAsia="仿宋_GB2312" w:cs="Times New Roman"/>
          <w:color w:val="auto"/>
          <w:kern w:val="2"/>
          <w:sz w:val="32"/>
          <w:szCs w:val="32"/>
          <w:highlight w:val="none"/>
          <w:lang w:val="en-US" w:eastAsia="zh-CN" w:bidi="ar-SA"/>
        </w:rPr>
      </w:pPr>
    </w:p>
    <w:p w14:paraId="0E898E8B">
      <w:pPr>
        <w:pStyle w:val="3"/>
        <w:rPr>
          <w:rFonts w:hint="default" w:ascii="Times New Roman" w:hAnsi="Times New Roman" w:eastAsia="仿宋_GB2312" w:cs="Times New Roman"/>
          <w:color w:val="auto"/>
          <w:kern w:val="2"/>
          <w:sz w:val="32"/>
          <w:szCs w:val="32"/>
          <w:highlight w:val="none"/>
          <w:lang w:val="en-US" w:eastAsia="zh-CN" w:bidi="ar-SA"/>
        </w:rPr>
      </w:pPr>
    </w:p>
    <w:p w14:paraId="6C4C77D5">
      <w:pPr>
        <w:pStyle w:val="3"/>
        <w:rPr>
          <w:rFonts w:hint="default" w:ascii="Times New Roman" w:hAnsi="Times New Roman" w:eastAsia="仿宋_GB2312" w:cs="Times New Roman"/>
          <w:color w:val="auto"/>
          <w:kern w:val="2"/>
          <w:sz w:val="32"/>
          <w:szCs w:val="32"/>
          <w:highlight w:val="none"/>
          <w:lang w:val="en-US" w:eastAsia="zh-CN" w:bidi="ar-SA"/>
        </w:rPr>
      </w:pPr>
    </w:p>
    <w:p w14:paraId="40521626">
      <w:pPr>
        <w:pStyle w:val="3"/>
        <w:rPr>
          <w:rFonts w:hint="default" w:ascii="Times New Roman" w:hAnsi="Times New Roman" w:eastAsia="仿宋_GB2312" w:cs="Times New Roman"/>
          <w:color w:val="auto"/>
          <w:kern w:val="2"/>
          <w:sz w:val="32"/>
          <w:szCs w:val="32"/>
          <w:highlight w:val="none"/>
          <w:lang w:val="en-US" w:eastAsia="zh-CN" w:bidi="ar-SA"/>
        </w:rPr>
      </w:pPr>
    </w:p>
    <w:p w14:paraId="64420EAB">
      <w:pPr>
        <w:pStyle w:val="3"/>
        <w:rPr>
          <w:rFonts w:hint="default" w:ascii="Times New Roman" w:hAnsi="Times New Roman" w:eastAsia="仿宋_GB2312" w:cs="Times New Roman"/>
          <w:color w:val="auto"/>
          <w:kern w:val="2"/>
          <w:sz w:val="32"/>
          <w:szCs w:val="32"/>
          <w:highlight w:val="none"/>
          <w:lang w:val="en-US" w:eastAsia="zh-CN" w:bidi="ar-SA"/>
        </w:rPr>
      </w:pPr>
    </w:p>
    <w:p w14:paraId="4B7515C7">
      <w:pPr>
        <w:pStyle w:val="3"/>
        <w:rPr>
          <w:rFonts w:hint="default" w:ascii="Times New Roman" w:hAnsi="Times New Roman" w:eastAsia="仿宋_GB2312" w:cs="Times New Roman"/>
          <w:color w:val="auto"/>
          <w:kern w:val="2"/>
          <w:sz w:val="32"/>
          <w:szCs w:val="32"/>
          <w:highlight w:val="none"/>
          <w:lang w:val="en-US" w:eastAsia="zh-CN" w:bidi="ar-SA"/>
        </w:rPr>
      </w:pPr>
    </w:p>
    <w:p w14:paraId="1F86769D">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51" w:name="_Toc15396613"/>
      <w:bookmarkStart w:id="52" w:name="_Toc15377225"/>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51"/>
      <w:bookmarkEnd w:id="52"/>
    </w:p>
    <w:p w14:paraId="725998EF">
      <w:pPr>
        <w:spacing w:line="600" w:lineRule="exact"/>
        <w:jc w:val="left"/>
        <w:rPr>
          <w:rFonts w:hint="default" w:ascii="Times New Roman" w:hAnsi="Times New Roman" w:cs="Times New Roman"/>
          <w:b/>
          <w:color w:val="auto"/>
          <w:sz w:val="44"/>
          <w:szCs w:val="44"/>
          <w:highlight w:val="none"/>
        </w:rPr>
      </w:pPr>
    </w:p>
    <w:p w14:paraId="4A22173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14:paraId="5175BAA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047E5DA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29526BF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4.其他收入：指单位取得的除上述收入以外的各项收入。</w:t>
      </w:r>
    </w:p>
    <w:p w14:paraId="6407560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5.使用非财政拨款结余（含专用结余）：指事业单位使用以前年度积累的非财政拨款结余弥补当年收支差额的金额。</w:t>
      </w:r>
    </w:p>
    <w:p w14:paraId="7E72030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6.年初结转和结余：指以前年度尚未完成、结转到本年按有关规定继续使用的资金。</w:t>
      </w:r>
    </w:p>
    <w:p w14:paraId="48A812F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360AD32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63A2F9E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9.一般公共服务（类）审计事务（款）行政运行（项）：</w:t>
      </w:r>
      <w:r>
        <w:rPr>
          <w:rFonts w:hint="default" w:ascii="Times New Roman" w:hAnsi="Times New Roman" w:eastAsia="仿宋_GB2312" w:cs="Times New Roman"/>
          <w:color w:val="auto"/>
          <w:sz w:val="32"/>
          <w:szCs w:val="32"/>
          <w:highlight w:val="none"/>
        </w:rPr>
        <w:t>指主要用于机关职工人员工资、日常运转经费支出</w:t>
      </w:r>
      <w:r>
        <w:rPr>
          <w:rFonts w:hint="default" w:ascii="Times New Roman" w:hAnsi="Times New Roman" w:eastAsia="仿宋_GB2312" w:cs="Times New Roman"/>
          <w:color w:val="auto"/>
          <w:sz w:val="32"/>
          <w:szCs w:val="32"/>
          <w:highlight w:val="none"/>
          <w:lang w:eastAsia="zh-CN"/>
        </w:rPr>
        <w:t>。</w:t>
      </w:r>
    </w:p>
    <w:p w14:paraId="31A42A7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10.一般公共服务（类）审计事务（款）一般行政管理事务（项）：指未单独设置项级科目的其他项目支出。</w:t>
      </w:r>
    </w:p>
    <w:p w14:paraId="05E1213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11.一般公共服务（类）审计事务（款）审计业务（项）：指各级审计机构的审计、专项调查、聘请社会审计组织人员及技术专家等方面的支出。</w:t>
      </w:r>
    </w:p>
    <w:p w14:paraId="20CC784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12.一般公共服务（类）审计事务（款）信息化建设（项）：指部门用于信息化建设方面的支出。</w:t>
      </w:r>
    </w:p>
    <w:p w14:paraId="1174B79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13.一般公共服务（类）审计事务（款）事业运行（项）：指事业单位的基本支出，不包括行政单位（包括实行公务员管理的事业单位）后勤服务中心、医务室等附属事业单位。。</w:t>
      </w:r>
    </w:p>
    <w:p w14:paraId="4559E7C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14.社会保障和就业（类）行政事业单位养老支出（款）行政单位离退休（项）：指行政单位（包括实行公务员管理的事业单位）开支的离退休经费。</w:t>
      </w:r>
    </w:p>
    <w:p w14:paraId="05EB196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15</w:t>
      </w:r>
      <w:r>
        <w:rPr>
          <w:rFonts w:hint="default" w:ascii="Times New Roman" w:hAnsi="Times New Roman" w:eastAsia="仿宋_GB2312" w:cs="Times New Roman"/>
          <w:color w:val="auto"/>
          <w:kern w:val="2"/>
          <w:sz w:val="32"/>
          <w:szCs w:val="32"/>
          <w:highlight w:val="none"/>
          <w:lang w:val="en-US" w:eastAsia="zh-CN" w:bidi="ar-SA"/>
        </w:rPr>
        <w:t>.社会保障和就业（类）行政事业单位养老支出（款）机关事业单位基本养老保险缴费支出（项）：指机关事业单位实施养老保险制度由单位缴纳的基本养老保险费支出。</w:t>
      </w:r>
    </w:p>
    <w:p w14:paraId="047C89A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16</w:t>
      </w:r>
      <w:r>
        <w:rPr>
          <w:rFonts w:hint="default" w:ascii="Times New Roman" w:hAnsi="Times New Roman" w:eastAsia="仿宋_GB2312" w:cs="Times New Roman"/>
          <w:color w:val="auto"/>
          <w:kern w:val="2"/>
          <w:sz w:val="32"/>
          <w:szCs w:val="32"/>
          <w:highlight w:val="none"/>
          <w:lang w:val="en-US" w:eastAsia="zh-CN" w:bidi="ar-SA"/>
        </w:rPr>
        <w:t>.社会保障和就业（类）行政事业单位养老支出（款）机关事业单位职业年金缴费支出（项）：指机关事业单位实施养老保险制度由单位实际缴纳的职业年金支出（含职业年金补记支出）。</w:t>
      </w:r>
    </w:p>
    <w:p w14:paraId="6735D09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17</w:t>
      </w:r>
      <w:r>
        <w:rPr>
          <w:rFonts w:hint="default" w:ascii="Times New Roman" w:hAnsi="Times New Roman" w:eastAsia="仿宋_GB2312" w:cs="Times New Roman"/>
          <w:color w:val="auto"/>
          <w:kern w:val="2"/>
          <w:sz w:val="32"/>
          <w:szCs w:val="32"/>
          <w:highlight w:val="none"/>
          <w:lang w:val="en-US" w:eastAsia="zh-CN" w:bidi="ar-SA"/>
        </w:rPr>
        <w:t>.卫生健康（类）行政事业单位医疗（款）行政单位医疗（项）：指财政部门安排的行政单位（包括实行公务员管理的事业单位，下同）基本医疗保险缴费经费，未参加医疗保险的行政单位公费医疗经费，按国家规定享受离休人员、红军老战士待遇人员的医疗经费。</w:t>
      </w:r>
    </w:p>
    <w:p w14:paraId="4FD2E56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kern w:val="2"/>
          <w:sz w:val="32"/>
          <w:szCs w:val="32"/>
          <w:highlight w:val="none"/>
          <w:lang w:val="en-US" w:eastAsia="zh-CN" w:bidi="ar-SA"/>
        </w:rPr>
        <w:t>.卫生健康（类）行政事业单位医疗（款）事业单位医疗（项）：指财政部门安排的事业单位基本医疗保险缴费经费，未参加医疗保险的事业单位的公费医疗经费，按国家规定享受离休人员待遇的医疗经费。</w:t>
      </w:r>
    </w:p>
    <w:p w14:paraId="1EB3AAD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19</w:t>
      </w:r>
      <w:r>
        <w:rPr>
          <w:rFonts w:hint="default" w:ascii="Times New Roman" w:hAnsi="Times New Roman" w:eastAsia="仿宋_GB2312" w:cs="Times New Roman"/>
          <w:color w:val="auto"/>
          <w:kern w:val="2"/>
          <w:sz w:val="32"/>
          <w:szCs w:val="32"/>
          <w:highlight w:val="none"/>
          <w:lang w:val="en-US" w:eastAsia="zh-CN" w:bidi="ar-SA"/>
        </w:rPr>
        <w:t>.卫生健康（类）行政事业单位医疗（款）公务员医疗补助（项）：指财政部门安排的公务员医疗补助经费。</w:t>
      </w:r>
    </w:p>
    <w:p w14:paraId="1D2CC87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20</w:t>
      </w:r>
      <w:r>
        <w:rPr>
          <w:rFonts w:hint="default" w:ascii="Times New Roman" w:hAnsi="Times New Roman" w:eastAsia="仿宋_GB2312" w:cs="Times New Roman"/>
          <w:color w:val="auto"/>
          <w:kern w:val="2"/>
          <w:sz w:val="32"/>
          <w:szCs w:val="32"/>
          <w:highlight w:val="none"/>
          <w:lang w:val="en-US" w:eastAsia="zh-CN" w:bidi="ar-SA"/>
        </w:rPr>
        <w:t>.住房保障（类）住房改革（款）住房公积金（项）：指行政事业单位按人力资源和社会保障部、财政部规定的基本工资和津贴补贴以及规定比例为职工缴纳的住房公积金。</w:t>
      </w:r>
    </w:p>
    <w:p w14:paraId="73E25C2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21</w:t>
      </w:r>
      <w:r>
        <w:rPr>
          <w:rFonts w:hint="default" w:ascii="Times New Roman" w:hAnsi="Times New Roman" w:eastAsia="仿宋_GB2312" w:cs="Times New Roman"/>
          <w:color w:val="auto"/>
          <w:kern w:val="2"/>
          <w:sz w:val="32"/>
          <w:szCs w:val="32"/>
          <w:highlight w:val="none"/>
          <w:lang w:val="en-US" w:eastAsia="zh-CN" w:bidi="ar-SA"/>
        </w:rPr>
        <w:t>.基本支出：指为保障机构正常运转、完成日常工作任务而发生的人员支出和公用支出。</w:t>
      </w:r>
    </w:p>
    <w:p w14:paraId="0BC85A5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22</w:t>
      </w:r>
      <w:r>
        <w:rPr>
          <w:rFonts w:hint="default" w:ascii="Times New Roman" w:hAnsi="Times New Roman" w:eastAsia="仿宋_GB2312" w:cs="Times New Roman"/>
          <w:color w:val="auto"/>
          <w:kern w:val="2"/>
          <w:sz w:val="32"/>
          <w:szCs w:val="32"/>
          <w:highlight w:val="none"/>
          <w:lang w:val="en-US" w:eastAsia="zh-CN" w:bidi="ar-SA"/>
        </w:rPr>
        <w:t xml:space="preserve">.项目支出：指在基本支出之外为完成特定行政任务和事业发展目标所发生的支出。 </w:t>
      </w:r>
    </w:p>
    <w:p w14:paraId="76E6D4C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23</w:t>
      </w:r>
      <w:r>
        <w:rPr>
          <w:rFonts w:hint="default" w:ascii="Times New Roman" w:hAnsi="Times New Roman" w:eastAsia="仿宋_GB2312" w:cs="Times New Roman"/>
          <w:color w:val="auto"/>
          <w:kern w:val="2"/>
          <w:sz w:val="32"/>
          <w:szCs w:val="32"/>
          <w:highlight w:val="none"/>
          <w:lang w:val="en-US" w:eastAsia="zh-CN" w:bidi="ar-SA"/>
        </w:rPr>
        <w:t>.经营支出：指事业单位在专业业务活动及其辅助活动之外开展非独立核算经营活动发生的支出。</w:t>
      </w:r>
    </w:p>
    <w:p w14:paraId="20A9D38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24</w:t>
      </w:r>
      <w:r>
        <w:rPr>
          <w:rFonts w:hint="default" w:ascii="Times New Roman" w:hAnsi="Times New Roman" w:eastAsia="仿宋_GB2312" w:cs="Times New Roman"/>
          <w:color w:val="auto"/>
          <w:kern w:val="2"/>
          <w:sz w:val="32"/>
          <w:szCs w:val="32"/>
          <w:highlight w:val="none"/>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E251A5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25</w:t>
      </w:r>
      <w:r>
        <w:rPr>
          <w:rFonts w:hint="default" w:ascii="Times New Roman" w:hAnsi="Times New Roman" w:eastAsia="仿宋_GB2312" w:cs="Times New Roman"/>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069DFE">
      <w:pPr>
        <w:spacing w:line="600" w:lineRule="exact"/>
        <w:jc w:val="center"/>
        <w:rPr>
          <w:rStyle w:val="30"/>
          <w:rFonts w:hint="default" w:ascii="Times New Roman" w:hAnsi="Times New Roman" w:eastAsia="黑体" w:cs="Times New Roman"/>
          <w:b w:val="0"/>
          <w:color w:val="auto"/>
          <w:highlight w:val="none"/>
          <w:lang w:eastAsia="zh-CN"/>
        </w:rPr>
      </w:pPr>
      <w:bookmarkStart w:id="53"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54" w:name="_Toc15396614"/>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54"/>
    </w:p>
    <w:p w14:paraId="0BEA1F37">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14:paraId="633FD948">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4109202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83EDA8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lang w:val="en-US" w:eastAsia="zh-CN"/>
        </w:rPr>
        <w:t>攀枝花市仁和区审计局</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08DD9F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p>
    <w:p w14:paraId="1AF03921">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F2CD51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14:paraId="5BFBD8A3">
      <w:pPr>
        <w:keepNext w:val="0"/>
        <w:keepLines w:val="0"/>
        <w:pageBreakBefore w:val="0"/>
        <w:kinsoku/>
        <w:wordWrap/>
        <w:overflowPunct/>
        <w:topLinePunct w:val="0"/>
        <w:autoSpaceDE/>
        <w:autoSpaceDN/>
        <w:bidi w:val="0"/>
        <w:spacing w:line="240" w:lineRule="auto"/>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color w:val="auto"/>
          <w:sz w:val="32"/>
          <w:szCs w:val="32"/>
          <w:highlight w:val="none"/>
          <w:lang w:val="zh-CN"/>
        </w:rPr>
        <w:t>（一）机构组成。</w:t>
      </w:r>
      <w:r>
        <w:rPr>
          <w:rFonts w:hint="default" w:ascii="Times New Roman" w:hAnsi="Times New Roman" w:eastAsia="仿宋_GB2312" w:cs="Times New Roman"/>
          <w:color w:val="auto"/>
          <w:sz w:val="32"/>
          <w:szCs w:val="32"/>
          <w:highlight w:val="none"/>
          <w:lang w:eastAsia="zh-CN"/>
        </w:rPr>
        <w:t>仁和区审计局属一级预算单位，下设非独立核算单位2个，其中参照公务员法管理的事业单位1个，其他事业单位1个。主要包括：攀枝花市仁和区经济责任审计事务中心、攀枝花市仁和区固定资产投资审计服务中心。局机关内设局办公室、财政与行政事业审计股、综合审计股、审理和审计整改督查股；机关事业单位公务用车改革后，不再保有公务用车。</w:t>
      </w:r>
    </w:p>
    <w:p w14:paraId="0BF429AC">
      <w:pPr>
        <w:pStyle w:val="16"/>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sz w:val="32"/>
          <w:szCs w:val="32"/>
          <w:highlight w:val="none"/>
          <w:lang w:val="zh-CN"/>
        </w:rPr>
        <w:t>（二）机构职能。</w:t>
      </w:r>
      <w:r>
        <w:rPr>
          <w:rFonts w:hint="default" w:ascii="Times New Roman" w:hAnsi="Times New Roman" w:eastAsia="仿宋_GB2312" w:cs="Times New Roman"/>
          <w:color w:val="auto"/>
          <w:kern w:val="2"/>
          <w:sz w:val="32"/>
          <w:szCs w:val="32"/>
          <w:highlight w:val="none"/>
          <w:lang w:val="en-US" w:eastAsia="zh-CN" w:bidi="ar-SA"/>
        </w:rPr>
        <w:t>仁和区审计局贯彻落实党中央关于审计工作的方针政策和省委、市委、区委的决策部署，在履行职责过程中坚持和加强党对审计工作的集中统一领导。主要职责是：</w:t>
      </w:r>
    </w:p>
    <w:p w14:paraId="2D447663">
      <w:pPr>
        <w:pStyle w:val="16"/>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主管全区审计工作。负责对区级财政收支和法律法规规定属于审计监督范围的财务收支的真实、合法和效益进行审计监督，对公共资金、国有资产、国有资源和领导干部履行经济责任情况实行审计全覆盖，对领导干部实行自然资源资产离任审计，对国家和省市区有关重大政策措施贯彻落实情况进行跟踪审计。对审计、专项审计调查和核查社会审计机构相关审计报告的结果承担责任，并负有督促被审计单位整改的责任。</w:t>
      </w:r>
    </w:p>
    <w:p w14:paraId="417B2A7F">
      <w:pPr>
        <w:pStyle w:val="16"/>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贯彻执行国家、省有关审计工作的方针政策和法律法规。起草全区审计规章草案、规范性文件。制定并组织实施全区专业领域审计工作规划，参与起草全区性财政经济及相关规章草案、规范性文件。组织对全区性重大投资项目、重大突发性公共事项、重要专项资金的审计和专项审计调查。对直接审计、调查和核查的事项依法进行审计评价，作出审计决定或提出审计建议。</w:t>
      </w:r>
    </w:p>
    <w:p w14:paraId="6819B9BF">
      <w:pPr>
        <w:pStyle w:val="16"/>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向区委审计委员会提出年度区级预算执行和其他财政支出情况审计报告。向区政府提出年度区级预算执行及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w:t>
      </w:r>
    </w:p>
    <w:p w14:paraId="3FD4A951">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仿宋_GB2312" w:cs="Times New Roman"/>
          <w:color w:val="auto"/>
          <w:kern w:val="2"/>
          <w:sz w:val="32"/>
          <w:szCs w:val="32"/>
          <w:highlight w:val="none"/>
          <w:lang w:val="en-US" w:eastAsia="zh-CN" w:bidi="ar-SA"/>
        </w:rPr>
        <w:t>4.直接审计下列事项，出具审计报告，在法定职权范围内作出审计决定，包括国家和省市区有关重大政策措施贯彻落实情况；区级预算执行情况、决算草案和其他财政收支，对本级各部门和下级政府预算的执行情况和决算以及其他财政收支情况进行审计监督；使用区级财政资金的事业单位和社会团体的财务收支；区级政府投资和以区级政府投资为主的建设项目的预算执行情况和决算，区级重大公共工程项目的资金管理使用和建设运营情况；自然资源管理、污染防治和生态保护与修复情况；区属国有企业和国有资本占控股或主导地位的企业境内外资产、负债和损益；有关社会保障基金，社会捐赠资金、安全生产和职业健康财政资金以及其他基金、资金的财务收支；国际组织和外国政府援助、贷款项目；法律法规规定的其他事项。</w:t>
      </w:r>
    </w:p>
    <w:p w14:paraId="2D61953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r>
        <w:rPr>
          <w:rFonts w:hint="default" w:ascii="Times New Roman" w:hAnsi="Times New Roman" w:eastAsia="仿宋_GB2312" w:cs="Times New Roman"/>
          <w:color w:val="auto"/>
          <w:sz w:val="32"/>
          <w:szCs w:val="32"/>
          <w:highlight w:val="none"/>
          <w:lang w:val="en-US" w:eastAsia="zh-CN"/>
        </w:rPr>
        <w:t>仁和区审计局机关行政编制11名，其中局长1名，副局长2名。机关工勤编制1名，参公管理事业单位“仁和区经济责任审计事务中心”为副科级，参公编制3名，所属事业单位“仁和区固定资产投资审计服务中心”为副科级，事业编制4名，我单位编制共19名。截至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年底，实有在职人员16人，其中公务员在职1</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人，工勤人员1人、参公人员在职2人、事业人员在职</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人。退休人员9名。</w:t>
      </w:r>
    </w:p>
    <w:p w14:paraId="682317D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5FB6AB60">
      <w:pPr>
        <w:pStyle w:val="10"/>
        <w:keepNext w:val="0"/>
        <w:keepLines w:val="0"/>
        <w:pageBreakBefore w:val="0"/>
        <w:kinsoku/>
        <w:wordWrap/>
        <w:overflowPunct/>
        <w:topLinePunct w:val="0"/>
        <w:bidi w:val="0"/>
        <w:spacing w:line="520" w:lineRule="exact"/>
        <w:ind w:left="0" w:leftChars="0" w:right="0" w:rightChars="0" w:firstLine="643" w:firstLineChars="200"/>
        <w:jc w:val="left"/>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（一）收入情况。</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本部门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全年部门财政资金收入</w:t>
      </w:r>
      <w:r>
        <w:rPr>
          <w:rFonts w:hint="default" w:ascii="Times New Roman" w:hAnsi="Times New Roman" w:eastAsia="仿宋_GB2312" w:cs="Times New Roman"/>
          <w:color w:val="000000" w:themeColor="text1"/>
          <w:sz w:val="32"/>
          <w:szCs w:val="32"/>
          <w14:textFill>
            <w14:solidFill>
              <w14:schemeClr w14:val="tx1"/>
            </w14:solidFill>
          </w14:textFill>
        </w:rPr>
        <w:t>396.96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万元。其中：</w:t>
      </w:r>
    </w:p>
    <w:p w14:paraId="1AD0D56F">
      <w:pPr>
        <w:pStyle w:val="10"/>
        <w:keepNext w:val="0"/>
        <w:keepLines w:val="0"/>
        <w:pageBreakBefore w:val="0"/>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w:t>
      </w:r>
    </w:p>
    <w:p w14:paraId="63504C33">
      <w:pPr>
        <w:pStyle w:val="10"/>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2024年，仁和区审计局全年基本支出财政资金收入306.41万元。</w:t>
      </w:r>
    </w:p>
    <w:p w14:paraId="35FCF6F2">
      <w:pPr>
        <w:pStyle w:val="10"/>
        <w:keepNext w:val="0"/>
        <w:keepLines w:val="0"/>
        <w:pageBreakBefore w:val="0"/>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2.部门预算项目支出。</w:t>
      </w:r>
    </w:p>
    <w:p w14:paraId="67776D02">
      <w:pPr>
        <w:pStyle w:val="10"/>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年初预算安排项目3个，涉及金额138.59万元。</w:t>
      </w:r>
    </w:p>
    <w:p w14:paraId="69923E85">
      <w:pPr>
        <w:pStyle w:val="10"/>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3.专项项目支出。</w:t>
      </w:r>
    </w:p>
    <w:p w14:paraId="08D2B120">
      <w:pPr>
        <w:pStyle w:val="10"/>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年中安排专项项目3个，其中2个为上年结转追加，1个为上级专项资金，涉及金额20.54万元。</w:t>
      </w:r>
    </w:p>
    <w:p w14:paraId="2DE3CAC5">
      <w:pPr>
        <w:pStyle w:val="10"/>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其中，人员支出297.58万元，公用支出8.83万元。截至2024年底，基本支出360.41万元已全部支付。</w:t>
      </w:r>
    </w:p>
    <w:p w14:paraId="2712EC69">
      <w:pPr>
        <w:pStyle w:val="10"/>
        <w:keepNext w:val="0"/>
        <w:keepLines w:val="0"/>
        <w:pageBreakBefore w:val="0"/>
        <w:kinsoku/>
        <w:wordWrap/>
        <w:overflowPunct/>
        <w:topLinePunct w:val="0"/>
        <w:bidi w:val="0"/>
        <w:spacing w:line="520" w:lineRule="exact"/>
        <w:ind w:left="0" w:leftChars="0" w:right="0" w:rightChars="0" w:firstLine="643"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auto"/>
          <w:kern w:val="0"/>
          <w:sz w:val="32"/>
          <w:szCs w:val="32"/>
          <w:highlight w:val="none"/>
          <w:shd w:val="clear" w:color="auto" w:fill="FFFFFF"/>
          <w:lang w:val="zh-CN"/>
        </w:rPr>
        <w:t>（二）支出情况。</w:t>
      </w:r>
      <w:r>
        <w:rPr>
          <w:rFonts w:hint="default" w:ascii="Times New Roman" w:hAnsi="Times New Roman" w:eastAsia="仿宋_GB2312" w:cs="Times New Roman"/>
          <w:color w:val="auto"/>
          <w:kern w:val="2"/>
          <w:sz w:val="32"/>
          <w:szCs w:val="32"/>
          <w:highlight w:val="none"/>
          <w:lang w:val="en-US" w:eastAsia="zh-CN" w:bidi="ar-SA"/>
        </w:rPr>
        <w:t>本部门</w:t>
      </w:r>
      <w:r>
        <w:rPr>
          <w:rFonts w:hint="default" w:ascii="Times New Roman" w:hAnsi="Times New Roman" w:eastAsia="仿宋_GB2312" w:cs="Times New Roman"/>
          <w:color w:val="auto"/>
          <w:sz w:val="32"/>
          <w:szCs w:val="32"/>
          <w:lang w:val="en-US" w:eastAsia="zh-CN"/>
        </w:rPr>
        <w:t>2024年</w:t>
      </w:r>
      <w:r>
        <w:rPr>
          <w:rFonts w:hint="default" w:ascii="Times New Roman" w:hAnsi="Times New Roman" w:eastAsia="仿宋_GB2312" w:cs="Times New Roman"/>
          <w:color w:val="auto"/>
          <w:kern w:val="2"/>
          <w:sz w:val="32"/>
          <w:szCs w:val="32"/>
          <w:highlight w:val="none"/>
          <w:lang w:val="en-US" w:eastAsia="zh-CN" w:bidi="ar-SA"/>
        </w:rPr>
        <w:t>全年部门财政资金支</w:t>
      </w:r>
      <w:r>
        <w:rPr>
          <w:rFonts w:hint="default" w:ascii="Times New Roman" w:hAnsi="Times New Roman" w:eastAsia="仿宋_GB2312" w:cs="Times New Roman"/>
          <w:color w:val="000000" w:themeColor="text1"/>
          <w:sz w:val="32"/>
          <w:szCs w:val="32"/>
          <w14:textFill>
            <w14:solidFill>
              <w14:schemeClr w14:val="tx1"/>
            </w14:solidFill>
          </w14:textFill>
        </w:rPr>
        <w:t>396.96</w:t>
      </w:r>
      <w:r>
        <w:rPr>
          <w:rFonts w:hint="default" w:ascii="Times New Roman" w:hAnsi="Times New Roman" w:eastAsia="仿宋_GB2312" w:cs="Times New Roman"/>
          <w:color w:val="auto"/>
          <w:kern w:val="2"/>
          <w:sz w:val="32"/>
          <w:szCs w:val="32"/>
          <w:highlight w:val="none"/>
          <w:lang w:val="en-US" w:eastAsia="zh-CN" w:bidi="ar-SA"/>
        </w:rPr>
        <w:t>万元。其中：</w:t>
      </w:r>
    </w:p>
    <w:p w14:paraId="4301606F">
      <w:pPr>
        <w:pStyle w:val="10"/>
        <w:keepNext w:val="0"/>
        <w:keepLines w:val="0"/>
        <w:pageBreakBefore w:val="0"/>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1.基本支出。</w:t>
      </w:r>
    </w:p>
    <w:p w14:paraId="0797A4AB">
      <w:pPr>
        <w:pStyle w:val="10"/>
        <w:keepNext w:val="0"/>
        <w:keepLines w:val="0"/>
        <w:pageBreakBefore w:val="0"/>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全年基本支出财政资金306.41万元，预算执行率为100%。</w:t>
      </w:r>
    </w:p>
    <w:p w14:paraId="402A2A68">
      <w:pPr>
        <w:pStyle w:val="10"/>
        <w:keepNext w:val="0"/>
        <w:keepLines w:val="0"/>
        <w:pageBreakBefore w:val="0"/>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2.部门预算项目支出。</w:t>
      </w:r>
    </w:p>
    <w:p w14:paraId="7878DAD5">
      <w:pPr>
        <w:pStyle w:val="10"/>
        <w:keepNext w:val="0"/>
        <w:keepLines w:val="0"/>
        <w:pageBreakBefore w:val="0"/>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全年部门预算项目支出89.98万元，预算执行率64.93%。</w:t>
      </w:r>
    </w:p>
    <w:p w14:paraId="622AB71E">
      <w:pPr>
        <w:pStyle w:val="10"/>
        <w:keepNext w:val="0"/>
        <w:keepLines w:val="0"/>
        <w:pageBreakBefore w:val="0"/>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3.专项项目支出。</w:t>
      </w:r>
    </w:p>
    <w:p w14:paraId="395D0D8B">
      <w:pPr>
        <w:pStyle w:val="10"/>
        <w:keepNext w:val="0"/>
        <w:keepLines w:val="0"/>
        <w:pageBreakBefore w:val="0"/>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FF0000"/>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全年专项项目支出0.56万元，预算执行率2.73%。</w:t>
      </w:r>
    </w:p>
    <w:p w14:paraId="26B72A9A">
      <w:pPr>
        <w:pStyle w:val="10"/>
        <w:keepNext w:val="0"/>
        <w:keepLines w:val="0"/>
        <w:pageBreakBefore w:val="0"/>
        <w:kinsoku/>
        <w:wordWrap/>
        <w:overflowPunct/>
        <w:topLinePunct w:val="0"/>
        <w:bidi w:val="0"/>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仁和区审计局年初预算安排项目经费159.13万元，其中，固定资产投资审计项目经费120.59万元，审计专项经费27万元，信息化建设项目2万元，其他项目经费9.55万元。截至2024年底，项目经费159.13万元支出90.55万元，剩余经费68.58万元年底财政收回指标。</w:t>
      </w:r>
    </w:p>
    <w:p w14:paraId="2709E3F7">
      <w:pPr>
        <w:keepNext w:val="0"/>
        <w:keepLines w:val="0"/>
        <w:pageBreakBefore w:val="0"/>
        <w:widowControl/>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Times New Roman" w:hAnsi="Times New Roman" w:eastAsia="仿宋_GB2312" w:cs="Times New Roman"/>
          <w:b w:val="0"/>
          <w:bCs w:val="0"/>
          <w:color w:val="FF0000"/>
          <w:kern w:val="0"/>
          <w:szCs w:val="32"/>
          <w:highlight w:val="none"/>
          <w:shd w:val="clear" w:color="auto" w:fill="FFFFFF"/>
          <w:lang w:val="zh-CN" w:eastAsia="zh-CN"/>
        </w:rPr>
      </w:pPr>
      <w:r>
        <w:rPr>
          <w:rFonts w:hint="default" w:ascii="Times New Roman" w:hAnsi="Times New Roman" w:eastAsia="楷体_GB2312" w:cs="Times New Roman"/>
          <w:b/>
          <w:bCs/>
          <w:color w:val="auto"/>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auto"/>
          <w:kern w:val="0"/>
          <w:sz w:val="32"/>
          <w:szCs w:val="32"/>
          <w:highlight w:val="none"/>
          <w:shd w:val="clear" w:color="auto" w:fill="FFFFFF"/>
          <w:lang w:val="zh-CN" w:eastAsia="zh-CN"/>
        </w:rPr>
        <w:t>。</w:t>
      </w:r>
      <w:r>
        <w:rPr>
          <w:rFonts w:hint="default" w:ascii="Times New Roman" w:hAnsi="Times New Roman" w:eastAsia="仿宋_GB2312" w:cs="Times New Roman"/>
          <w:color w:val="auto"/>
          <w:kern w:val="2"/>
          <w:sz w:val="32"/>
          <w:szCs w:val="32"/>
          <w:highlight w:val="none"/>
          <w:lang w:val="en-US" w:eastAsia="zh-CN" w:bidi="ar-SA"/>
        </w:rPr>
        <w:t>本部门</w:t>
      </w:r>
      <w:r>
        <w:rPr>
          <w:rFonts w:hint="default" w:ascii="Times New Roman" w:hAnsi="Times New Roman" w:eastAsia="仿宋_GB2312" w:cs="Times New Roman"/>
          <w:color w:val="auto"/>
          <w:sz w:val="32"/>
          <w:szCs w:val="32"/>
          <w:lang w:val="en-US" w:eastAsia="zh-CN"/>
        </w:rPr>
        <w:t>2024年决算报表无结转结余情况。</w:t>
      </w:r>
    </w:p>
    <w:p w14:paraId="17FD8F4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B1502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14:paraId="1536FAA2">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1.人员类预算绩效目标完成情况。</w:t>
      </w:r>
    </w:p>
    <w:p w14:paraId="71DE0001">
      <w:pPr>
        <w:pStyle w:val="2"/>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FF0000"/>
          <w:lang w:val="zh-CN" w:eastAsia="zh-CN"/>
        </w:rPr>
      </w:pPr>
      <w:r>
        <w:rPr>
          <w:rFonts w:hint="default" w:ascii="Times New Roman" w:hAnsi="Times New Roman" w:eastAsia="仿宋_GB2312" w:cs="Times New Roman"/>
          <w:color w:val="auto"/>
          <w:kern w:val="2"/>
          <w:sz w:val="32"/>
          <w:szCs w:val="32"/>
          <w:highlight w:val="none"/>
          <w:lang w:val="en-US" w:eastAsia="zh-CN" w:bidi="ar-SA"/>
        </w:rPr>
        <w:t>截至2024年底，区审计局财政供养人员2</w:t>
      </w:r>
      <w:r>
        <w:rPr>
          <w:rFonts w:hint="eastAsia"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人，其中，行政及参公人员13人，事业人员</w:t>
      </w:r>
      <w:r>
        <w:rPr>
          <w:rFonts w:hint="eastAsia"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人，工勤人员1人，退休人员9名。人员类经费保障时效为2024年1至12月；质量指标保障完成率达到100%；成本指标完成了年度总预算的100%；全年按工作时间进度完成预算执行100%；有效保障单位职工的正常福利待遇，确保各项工作正常运行；确保区委、区政府、上级审计机关、被审计单位对审计结果的认可≥95%。</w:t>
      </w:r>
    </w:p>
    <w:p w14:paraId="7CF8E9F8">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2.公用经费类预算绩效目标完成情况。</w:t>
      </w:r>
    </w:p>
    <w:p w14:paraId="6DC4CED9">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区审计局公用经费配备标准总额和定额部分完成率为100%；保障时效为2024年1至12月；质量指标保障完成率达到100%；成本指标完成了年度总预算的100%；全年按工作时间进度完成预算执行100%；有效保障单位水电、邮电、差旅、培训等工作的正常运转；确保区委、区政府、上级审计机关、被审计单位对审计结果的认可≥95%。</w:t>
      </w:r>
    </w:p>
    <w:p w14:paraId="7A97A4DE">
      <w:pPr>
        <w:pStyle w:val="10"/>
        <w:keepNext w:val="0"/>
        <w:keepLines w:val="0"/>
        <w:pageBreakBefore w:val="0"/>
        <w:kinsoku/>
        <w:wordWrap/>
        <w:overflowPunct/>
        <w:topLinePunct w:val="0"/>
        <w:bidi w:val="0"/>
        <w:spacing w:line="52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3.特定目标类项目目标完成情况。</w:t>
      </w:r>
    </w:p>
    <w:p w14:paraId="1A5922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contextualSpacing/>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2024年，区审计共安排</w:t>
      </w:r>
      <w:r>
        <w:rPr>
          <w:rFonts w:hint="eastAsia" w:eastAsia="仿宋_GB2312" w:cs="Times New Roman"/>
          <w:color w:val="auto"/>
          <w:kern w:val="2"/>
          <w:sz w:val="32"/>
          <w:szCs w:val="32"/>
          <w:highlight w:val="none"/>
          <w:lang w:val="en-US" w:eastAsia="zh-CN" w:bidi="ar-SA"/>
        </w:rPr>
        <w:t>预算</w:t>
      </w:r>
      <w:r>
        <w:rPr>
          <w:rFonts w:hint="default" w:ascii="Times New Roman" w:hAnsi="Times New Roman" w:eastAsia="仿宋_GB2312" w:cs="Times New Roman"/>
          <w:color w:val="auto"/>
          <w:kern w:val="2"/>
          <w:sz w:val="32"/>
          <w:szCs w:val="32"/>
          <w:highlight w:val="none"/>
          <w:lang w:val="en-US" w:eastAsia="zh-CN" w:bidi="ar-SA"/>
        </w:rPr>
        <w:t>项目6个（其中，年初部门预算项目3个，年中上级专项项目3个），完成率为100%；项目经费保障率为100%；保障时效为2024年1至12月；成本指标完成了年度总预算的56.9%，全年按工作时间进度完成预算执行56.9%，原因是部分项目单位报账资料不齐全，待报账资料补齐后再予以支付；实施项目充分发挥审计监督的有效性，提高财政资金使用效益，规范财政资金使用程序，增强领导干部经济责任、自然资源资产和环境保护责任，促进规上固定资产投资、基础设施建设发挥效益，节约财政资金；区委、区政府、上级审计机关、被审计单位对审计结果的认可≥95%。</w:t>
      </w:r>
    </w:p>
    <w:p w14:paraId="167C45D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楷体_GB2312" w:cs="Times New Roman"/>
          <w:b/>
          <w:bCs/>
          <w:color w:val="auto"/>
          <w:kern w:val="0"/>
          <w:sz w:val="32"/>
          <w:szCs w:val="32"/>
          <w:lang w:val="zh-CN" w:eastAsia="zh-CN"/>
        </w:rPr>
      </w:pPr>
      <w:r>
        <w:rPr>
          <w:rFonts w:hint="default" w:ascii="Times New Roman" w:hAnsi="Times New Roman" w:eastAsia="楷体_GB2312" w:cs="Times New Roman"/>
          <w:b/>
          <w:bCs/>
          <w:color w:val="auto"/>
          <w:kern w:val="0"/>
          <w:sz w:val="32"/>
          <w:szCs w:val="32"/>
          <w:highlight w:val="none"/>
          <w:shd w:val="clear" w:color="auto" w:fill="FFFFFF"/>
          <w:lang w:val="zh-CN" w:eastAsia="zh-CN"/>
        </w:rPr>
        <w:t>（</w:t>
      </w:r>
      <w:r>
        <w:rPr>
          <w:rFonts w:hint="default" w:ascii="Times New Roman" w:hAnsi="Times New Roman" w:eastAsia="楷体_GB2312" w:cs="Times New Roman"/>
          <w:b/>
          <w:bCs/>
          <w:color w:val="auto"/>
          <w:kern w:val="0"/>
          <w:sz w:val="32"/>
          <w:szCs w:val="32"/>
          <w:highlight w:val="none"/>
          <w:shd w:val="clear" w:color="auto" w:fill="FFFFFF"/>
          <w:lang w:val="en-US" w:eastAsia="zh-CN"/>
        </w:rPr>
        <w:t>三</w:t>
      </w:r>
      <w:r>
        <w:rPr>
          <w:rFonts w:hint="default" w:ascii="Times New Roman" w:hAnsi="Times New Roman" w:eastAsia="楷体_GB2312" w:cs="Times New Roman"/>
          <w:b/>
          <w:bCs/>
          <w:color w:val="auto"/>
          <w:kern w:val="0"/>
          <w:sz w:val="32"/>
          <w:szCs w:val="32"/>
          <w:highlight w:val="none"/>
          <w:shd w:val="clear" w:color="auto" w:fill="FFFFFF"/>
          <w:lang w:val="zh-CN" w:eastAsia="zh-CN"/>
        </w:rPr>
        <w:t>）绩效结果应用情况。</w:t>
      </w:r>
    </w:p>
    <w:p w14:paraId="4995385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bidi="ar"/>
        </w:rPr>
      </w:pPr>
      <w:r>
        <w:rPr>
          <w:rFonts w:hint="default" w:ascii="Times New Roman" w:hAnsi="Times New Roman" w:eastAsia="仿宋_GB2312" w:cs="Times New Roman"/>
          <w:color w:val="auto"/>
          <w:kern w:val="2"/>
          <w:sz w:val="32"/>
          <w:szCs w:val="32"/>
          <w:highlight w:val="none"/>
          <w:lang w:val="zh-CN" w:eastAsia="zh-CN" w:bidi="ar-SA"/>
        </w:rPr>
        <w:t>通过绩效自评，进一步掌握了资金使用绩效，发现了工作中存在的问题和不足，为今后加强资金使用管理、充分发挥资金使用绩效，为后续工作提供了重要的参考依据。区审计局将严格按照绩效自评结果公开公示要求，及时在政府网站公开绩效评价情况，接受群众监督。</w:t>
      </w:r>
    </w:p>
    <w:p w14:paraId="11314E9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5AB48503">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color w:val="auto"/>
          <w:kern w:val="2"/>
          <w:sz w:val="32"/>
          <w:szCs w:val="32"/>
          <w:highlight w:val="none"/>
          <w:lang w:val="en-US" w:eastAsia="zh-CN" w:bidi="ar-SA"/>
        </w:rPr>
        <w:t>攀枝花市仁和区审计局认真对照部门预算绩效评价指标体系，对本部门履职效能、预算管理、财务管理、资产管理、采购管理、项目决策、项目执行、目标实现等方面进行了评价，自评得分92.8分。</w:t>
      </w:r>
    </w:p>
    <w:p w14:paraId="1A03664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攀枝花市仁和区审计局严格按照预算法、会计法及各项财务管理制度的规定，规范单位收支管理，厉行勤俭节约，严控一般性支出、最大限度地发挥了财政资金使用效率，较好地执行了年初预算各项资金计划，切实发挥审计监督在促进经济高质量发展、促进全面深化改革、促进权力规范运行、促进反腐倡廉等方面的重要作用。</w:t>
      </w:r>
    </w:p>
    <w:p w14:paraId="58AF432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二</w:t>
      </w:r>
      <w:r>
        <w:rPr>
          <w:rFonts w:hint="default" w:ascii="Times New Roman" w:hAnsi="Times New Roman" w:eastAsia="楷体_GB2312" w:cs="Times New Roman"/>
          <w:b/>
          <w:bCs/>
          <w:color w:val="000000"/>
          <w:kern w:val="0"/>
          <w:sz w:val="32"/>
          <w:szCs w:val="32"/>
          <w:highlight w:val="none"/>
          <w:shd w:val="clear" w:color="auto" w:fill="FFFFFF"/>
          <w:lang w:val="zh-CN"/>
        </w:rPr>
        <w:t>）存在问题。</w:t>
      </w:r>
      <w:r>
        <w:rPr>
          <w:rFonts w:hint="default" w:ascii="Times New Roman" w:hAnsi="Times New Roman" w:eastAsia="仿宋_GB2312" w:cs="Times New Roman"/>
          <w:color w:val="auto"/>
          <w:kern w:val="2"/>
          <w:sz w:val="32"/>
          <w:szCs w:val="32"/>
          <w:highlight w:val="none"/>
          <w:lang w:val="zh-CN" w:eastAsia="zh-CN" w:bidi="ar-SA"/>
        </w:rPr>
        <w:t>因财政资金调度困难及部分项目单位报账资料不齐全等原因未完成支付，待报账资料补齐后于</w:t>
      </w:r>
      <w:r>
        <w:rPr>
          <w:rFonts w:hint="default" w:ascii="Times New Roman" w:hAnsi="Times New Roman" w:eastAsia="仿宋_GB2312" w:cs="Times New Roman"/>
          <w:color w:val="auto"/>
          <w:kern w:val="2"/>
          <w:sz w:val="32"/>
          <w:szCs w:val="32"/>
          <w:highlight w:val="none"/>
          <w:lang w:val="en-US" w:eastAsia="zh-CN" w:bidi="ar-SA"/>
        </w:rPr>
        <w:t>2025年进行</w:t>
      </w:r>
      <w:r>
        <w:rPr>
          <w:rFonts w:hint="default" w:ascii="Times New Roman" w:hAnsi="Times New Roman" w:eastAsia="仿宋_GB2312" w:cs="Times New Roman"/>
          <w:color w:val="auto"/>
          <w:kern w:val="2"/>
          <w:sz w:val="32"/>
          <w:szCs w:val="32"/>
          <w:highlight w:val="none"/>
          <w:lang w:val="zh-CN" w:eastAsia="zh-CN" w:bidi="ar-SA"/>
        </w:rPr>
        <w:t>支付，</w:t>
      </w:r>
      <w:r>
        <w:rPr>
          <w:rFonts w:hint="default" w:ascii="Times New Roman" w:hAnsi="Times New Roman" w:eastAsia="仿宋_GB2312" w:cs="Times New Roman"/>
          <w:color w:val="auto"/>
          <w:kern w:val="2"/>
          <w:sz w:val="32"/>
          <w:szCs w:val="32"/>
          <w:highlight w:val="none"/>
          <w:lang w:val="en-US" w:eastAsia="zh-CN" w:bidi="ar-SA"/>
        </w:rPr>
        <w:t>对整体绩效效果产生一定影响。</w:t>
      </w:r>
      <w:r>
        <w:rPr>
          <w:rFonts w:hint="default" w:ascii="Times New Roman" w:hAnsi="Times New Roman" w:eastAsia="仿宋_GB2312" w:cs="Times New Roman"/>
          <w:color w:val="auto"/>
          <w:kern w:val="2"/>
          <w:sz w:val="32"/>
          <w:szCs w:val="32"/>
          <w:highlight w:val="none"/>
          <w:lang w:val="zh-CN" w:eastAsia="zh-CN" w:bidi="ar-SA"/>
        </w:rPr>
        <w:t>下一步将及时督促相关单位补齐报账资料，充分发挥专项资金效益。</w:t>
      </w:r>
    </w:p>
    <w:p w14:paraId="7DD7D31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5" w:name="_Hlk110546638"/>
      <w:r>
        <w:rPr>
          <w:rFonts w:hint="default" w:ascii="Times New Roman" w:hAnsi="Times New Roman" w:eastAsia="仿宋_GB2312" w:cs="Times New Roman"/>
          <w:sz w:val="32"/>
          <w:szCs w:val="32"/>
          <w:u w:val="none"/>
          <w:lang w:val="en-US" w:eastAsia="zh-CN" w:bidi="ar"/>
        </w:rPr>
        <w:t>一是优化预算编制结构与范围，严控一般性支出，保障重点领域，推进全口径预算管理。二是提升预算编制的精细化水平，细化预算编制颗粒度，避免“大类支出”导致资金使用模糊。</w:t>
      </w:r>
    </w:p>
    <w:bookmarkEnd w:id="55"/>
    <w:p w14:paraId="4C723C5E">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zh-CN" w:eastAsia="zh-CN" w:bidi="ar"/>
        </w:rPr>
      </w:pPr>
    </w:p>
    <w:p w14:paraId="1C420E2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部门预算项目支出绩效自评表（2024年度）</w:t>
      </w:r>
    </w:p>
    <w:p w14:paraId="01E876B3">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727A6E58">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4AB381FE">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7A0964C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sectPr>
          <w:footerReference r:id="rId6" w:type="default"/>
          <w:pgSz w:w="11906" w:h="16838"/>
          <w:pgMar w:top="2098" w:right="1474" w:bottom="1984" w:left="1587" w:header="851" w:footer="992" w:gutter="0"/>
          <w:pgNumType w:fmt="decimal" w:start="2"/>
          <w:cols w:space="425" w:num="1"/>
          <w:docGrid w:type="lines" w:linePitch="312" w:charSpace="0"/>
        </w:sectPr>
      </w:pPr>
    </w:p>
    <w:p w14:paraId="234962F7">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kern w:val="2"/>
          <w:sz w:val="32"/>
          <w:szCs w:val="32"/>
          <w:u w:val="none"/>
          <w:lang w:val="zh-CN" w:eastAsia="zh-CN" w:bidi="ar"/>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302"/>
        <w:gridCol w:w="1090"/>
        <w:gridCol w:w="1455"/>
        <w:gridCol w:w="496"/>
        <w:gridCol w:w="1017"/>
        <w:gridCol w:w="729"/>
        <w:gridCol w:w="1079"/>
        <w:gridCol w:w="609"/>
        <w:gridCol w:w="496"/>
        <w:gridCol w:w="1692"/>
      </w:tblGrid>
      <w:tr w14:paraId="10B7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105D8C">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7C40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A88E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5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5C46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51041122T000000396092-固定资产投资审计项目经费</w:t>
            </w:r>
          </w:p>
        </w:tc>
      </w:tr>
      <w:tr w14:paraId="3324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B72D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83F24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攀枝花市仁和区审计局部门</w:t>
            </w:r>
          </w:p>
        </w:tc>
        <w:tc>
          <w:tcPr>
            <w:tcW w:w="504" w:type="pct"/>
            <w:tcBorders>
              <w:top w:val="nil"/>
              <w:left w:val="nil"/>
              <w:bottom w:val="nil"/>
              <w:right w:val="nil"/>
            </w:tcBorders>
            <w:shd w:val="clear" w:color="auto" w:fill="auto"/>
            <w:vAlign w:val="center"/>
          </w:tcPr>
          <w:p w14:paraId="63E27751">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841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攀枝花市仁和区审计局</w:t>
            </w:r>
          </w:p>
        </w:tc>
      </w:tr>
      <w:tr w14:paraId="21B3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31F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F8C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E5A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2E133">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D93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A4202">
            <w:pPr>
              <w:rPr>
                <w:rFonts w:hint="default" w:ascii="Times New Roman" w:hAnsi="Times New Roman" w:eastAsia="宋体" w:cs="Times New Roman"/>
                <w:i w:val="0"/>
                <w:iCs w:val="0"/>
                <w:color w:val="000000"/>
                <w:sz w:val="18"/>
                <w:szCs w:val="18"/>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4ED9">
            <w:pPr>
              <w:rPr>
                <w:rFonts w:hint="default" w:ascii="Times New Roman" w:hAnsi="Times New Roman" w:eastAsia="宋体" w:cs="Times New Roman"/>
                <w:i w:val="0"/>
                <w:iCs w:val="0"/>
                <w:color w:val="000000"/>
                <w:sz w:val="18"/>
                <w:szCs w:val="18"/>
                <w:u w:val="none"/>
              </w:rPr>
            </w:pPr>
          </w:p>
        </w:tc>
        <w:tc>
          <w:tcPr>
            <w:tcW w:w="22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7E82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围绕全区重点项目，充分发挥审计在项目科学决策、规范管理、控制成本、提高质量上的监督和服务作用，实行“质量和廉政风险”双控制；在审计项目的安排上，对投资规模大、党委、政府关注和群众关心的民生项目优先审计，以大项目、热点项目、民生项目审计带动其他政府投资项目审计，适时跟进，规范过程，切实做到最大限度节约财政资金，提高投资效益；以购买服务方式以及为固定资产审计开展的相关工作，确保政府投资审计工作顺利开展。</w:t>
            </w:r>
          </w:p>
        </w:tc>
        <w:tc>
          <w:tcPr>
            <w:tcW w:w="18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2CA5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围绕区委、区政府中心工作和群众关切的热点问题，合理确定计划审计项目，2024年度完成审计项目15个（其中本级自定项目12个，省市等统一组织实施项目3个）。强化与纪检监察、巡视巡察、组织人事等部门的定期会商，向区纪委监委移送的线索促进追责问责4起，其中党员领导干部1名。</w:t>
            </w:r>
          </w:p>
        </w:tc>
      </w:tr>
      <w:tr w14:paraId="60EF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DE58">
            <w:pP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6B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5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1DE1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财政资金预算执行数78.68万元，开展2024年度仁和区审计局部门预算项目支出各项工作。实施过程中，严格遵循审计方案要求，规范审计流程，年初制定详细审计计划，年中根据项目进度调整资源分配，年末完成 15 个审计项目，有效保障财政资金使用效益。</w:t>
            </w:r>
          </w:p>
        </w:tc>
      </w:tr>
      <w:tr w14:paraId="1699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334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6F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E5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A2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434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17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62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53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03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3273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5FBD4">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85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81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120.59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8E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78.68</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3A4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78.68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40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EE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94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54E18">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p>
        </w:tc>
      </w:tr>
      <w:tr w14:paraId="0338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49B8F">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8F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B5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120.59</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8B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78.68</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25A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78.68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AF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A4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92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1CBFF">
            <w:pPr>
              <w:rPr>
                <w:rFonts w:hint="default" w:ascii="Times New Roman" w:hAnsi="Times New Roman" w:eastAsia="黑体" w:cs="Times New Roman"/>
                <w:i w:val="0"/>
                <w:iCs w:val="0"/>
                <w:color w:val="000000"/>
                <w:sz w:val="18"/>
                <w:szCs w:val="18"/>
                <w:u w:val="none"/>
              </w:rPr>
            </w:pPr>
          </w:p>
        </w:tc>
      </w:tr>
      <w:tr w14:paraId="5629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B018">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C6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0C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ED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9A7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F2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38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0C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D6B2">
            <w:pPr>
              <w:rPr>
                <w:rFonts w:hint="default" w:ascii="Times New Roman" w:hAnsi="Times New Roman" w:eastAsia="黑体" w:cs="Times New Roman"/>
                <w:i w:val="0"/>
                <w:iCs w:val="0"/>
                <w:color w:val="000000"/>
                <w:sz w:val="18"/>
                <w:szCs w:val="18"/>
                <w:u w:val="none"/>
              </w:rPr>
            </w:pPr>
          </w:p>
        </w:tc>
      </w:tr>
      <w:tr w14:paraId="73D6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6DE63">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7F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D5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D2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A43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AB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6E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89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411">
            <w:pPr>
              <w:rPr>
                <w:rFonts w:hint="default" w:ascii="Times New Roman" w:hAnsi="Times New Roman" w:eastAsia="黑体" w:cs="Times New Roman"/>
                <w:i w:val="0"/>
                <w:iCs w:val="0"/>
                <w:color w:val="000000"/>
                <w:sz w:val="18"/>
                <w:szCs w:val="18"/>
                <w:u w:val="none"/>
              </w:rPr>
            </w:pPr>
          </w:p>
        </w:tc>
      </w:tr>
      <w:tr w14:paraId="05B6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4ECA">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03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CC73">
            <w:pPr>
              <w:jc w:val="center"/>
              <w:rPr>
                <w:rFonts w:hint="default" w:ascii="Times New Roman" w:hAnsi="Times New Roman" w:eastAsia="微软雅黑" w:cs="Times New Roman"/>
                <w:i/>
                <w:iCs/>
                <w:color w:val="000000"/>
                <w:sz w:val="16"/>
                <w:szCs w:val="16"/>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8F68">
            <w:pPr>
              <w:jc w:val="center"/>
              <w:rPr>
                <w:rFonts w:hint="default" w:ascii="Times New Roman" w:hAnsi="Times New Roman" w:eastAsia="微软雅黑" w:cs="Times New Roman"/>
                <w:i/>
                <w:iCs/>
                <w:color w:val="000000"/>
                <w:sz w:val="16"/>
                <w:szCs w:val="16"/>
                <w:u w:val="none"/>
              </w:rPr>
            </w:pP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033EA">
            <w:pPr>
              <w:jc w:val="center"/>
              <w:rPr>
                <w:rFonts w:hint="default" w:ascii="Times New Roman" w:hAnsi="Times New Roman" w:eastAsia="微软雅黑" w:cs="Times New Roman"/>
                <w:i/>
                <w:iCs/>
                <w:color w:val="000000"/>
                <w:sz w:val="16"/>
                <w:szCs w:val="16"/>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0EFB">
            <w:pPr>
              <w:jc w:val="center"/>
              <w:rPr>
                <w:rFonts w:hint="default" w:ascii="Times New Roman" w:hAnsi="Times New Roman" w:eastAsia="微软雅黑" w:cs="Times New Roman"/>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E2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C6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EA3A">
            <w:pPr>
              <w:rPr>
                <w:rFonts w:hint="default" w:ascii="Times New Roman" w:hAnsi="Times New Roman" w:eastAsia="黑体" w:cs="Times New Roman"/>
                <w:i w:val="0"/>
                <w:iCs w:val="0"/>
                <w:color w:val="000000"/>
                <w:sz w:val="18"/>
                <w:szCs w:val="18"/>
                <w:u w:val="none"/>
              </w:rPr>
            </w:pPr>
          </w:p>
        </w:tc>
      </w:tr>
      <w:tr w14:paraId="19F5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E5A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1C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D2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93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4C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6C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A4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89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D4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0A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61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4CC8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705A3">
            <w:pPr>
              <w:jc w:val="center"/>
              <w:rPr>
                <w:rFonts w:hint="default" w:ascii="Times New Roman" w:hAnsi="Times New Roman" w:eastAsia="宋体" w:cs="Times New Roman"/>
                <w:i w:val="0"/>
                <w:iCs w:val="0"/>
                <w:color w:val="000000"/>
                <w:sz w:val="18"/>
                <w:szCs w:val="18"/>
                <w:u w:val="none"/>
              </w:rPr>
            </w:pP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999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6E3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53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聘用工程师</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80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4E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1C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267F">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0B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35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BD01">
            <w:pPr>
              <w:jc w:val="center"/>
              <w:rPr>
                <w:rFonts w:hint="default" w:ascii="Times New Roman" w:hAnsi="Times New Roman" w:eastAsia="微软雅黑" w:cs="Times New Roman"/>
                <w:i/>
                <w:iCs/>
                <w:color w:val="000000"/>
                <w:sz w:val="16"/>
                <w:szCs w:val="16"/>
                <w:u w:val="none"/>
              </w:rPr>
            </w:pPr>
          </w:p>
        </w:tc>
      </w:tr>
      <w:tr w14:paraId="00C7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62E3">
            <w:pPr>
              <w:jc w:val="center"/>
              <w:rPr>
                <w:rFonts w:hint="default" w:ascii="Times New Roman" w:hAnsi="Times New Roman" w:eastAsia="宋体" w:cs="Times New Roman"/>
                <w:i w:val="0"/>
                <w:iCs w:val="0"/>
                <w:color w:val="000000"/>
                <w:sz w:val="18"/>
                <w:szCs w:val="18"/>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73C7A">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5383">
            <w:pPr>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14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政府投资项目审计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6B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BB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C5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229B">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34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AB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5FEB">
            <w:pPr>
              <w:jc w:val="center"/>
              <w:rPr>
                <w:rFonts w:hint="default" w:ascii="Times New Roman" w:hAnsi="Times New Roman" w:eastAsia="微软雅黑" w:cs="Times New Roman"/>
                <w:i/>
                <w:iCs/>
                <w:color w:val="000000"/>
                <w:sz w:val="16"/>
                <w:szCs w:val="16"/>
                <w:u w:val="none"/>
              </w:rPr>
            </w:pPr>
          </w:p>
        </w:tc>
      </w:tr>
      <w:tr w14:paraId="4501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9845">
            <w:pPr>
              <w:jc w:val="center"/>
              <w:rPr>
                <w:rFonts w:hint="default" w:ascii="Times New Roman" w:hAnsi="Times New Roman" w:eastAsia="宋体" w:cs="Times New Roman"/>
                <w:i w:val="0"/>
                <w:iCs w:val="0"/>
                <w:color w:val="000000"/>
                <w:sz w:val="18"/>
                <w:szCs w:val="18"/>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7D07">
            <w:pPr>
              <w:jc w:val="center"/>
              <w:rPr>
                <w:rFonts w:hint="default" w:ascii="Times New Roman" w:hAnsi="Times New Roman" w:eastAsia="宋体" w:cs="Times New Roman"/>
                <w:i w:val="0"/>
                <w:iCs w:val="0"/>
                <w:color w:val="000000"/>
                <w:sz w:val="18"/>
                <w:szCs w:val="18"/>
                <w:u w:val="none"/>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836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36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项目质量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1A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01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严格按照审计方案和要求实施，确保审计项目质量可控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2028">
            <w:pPr>
              <w:jc w:val="center"/>
              <w:rPr>
                <w:rFonts w:hint="default" w:ascii="Times New Roman" w:hAnsi="Times New Roman" w:eastAsia="宋体" w:cs="Times New Roman"/>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ACEB">
            <w:pPr>
              <w:jc w:val="center"/>
              <w:rPr>
                <w:rFonts w:hint="default" w:ascii="Times New Roman" w:hAnsi="Times New Roman" w:eastAsia="微软雅黑" w:cs="Times New Roman"/>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48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70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CC91">
            <w:pPr>
              <w:jc w:val="center"/>
              <w:rPr>
                <w:rFonts w:hint="default" w:ascii="Times New Roman" w:hAnsi="Times New Roman" w:eastAsia="微软雅黑" w:cs="Times New Roman"/>
                <w:i/>
                <w:iCs/>
                <w:color w:val="000000"/>
                <w:sz w:val="16"/>
                <w:szCs w:val="16"/>
                <w:u w:val="none"/>
              </w:rPr>
            </w:pPr>
          </w:p>
        </w:tc>
      </w:tr>
      <w:tr w14:paraId="584F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580B">
            <w:pPr>
              <w:jc w:val="center"/>
              <w:rPr>
                <w:rFonts w:hint="default" w:ascii="Times New Roman" w:hAnsi="Times New Roman" w:eastAsia="宋体" w:cs="Times New Roman"/>
                <w:i w:val="0"/>
                <w:iCs w:val="0"/>
                <w:color w:val="000000"/>
                <w:sz w:val="18"/>
                <w:szCs w:val="18"/>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93B4">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F655">
            <w:pPr>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12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审计项目完成情况</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16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5E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按照审计计划完成项目</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21DE">
            <w:pPr>
              <w:jc w:val="center"/>
              <w:rPr>
                <w:rFonts w:hint="default" w:ascii="Times New Roman" w:hAnsi="Times New Roman" w:eastAsia="宋体" w:cs="Times New Roman"/>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79A5">
            <w:pPr>
              <w:jc w:val="center"/>
              <w:rPr>
                <w:rFonts w:hint="default" w:ascii="Times New Roman" w:hAnsi="Times New Roman" w:eastAsia="微软雅黑" w:cs="Times New Roman"/>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67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62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36B1">
            <w:pPr>
              <w:jc w:val="center"/>
              <w:rPr>
                <w:rFonts w:hint="default" w:ascii="Times New Roman" w:hAnsi="Times New Roman" w:eastAsia="微软雅黑" w:cs="Times New Roman"/>
                <w:i/>
                <w:iCs/>
                <w:color w:val="000000"/>
                <w:sz w:val="16"/>
                <w:szCs w:val="16"/>
                <w:u w:val="none"/>
              </w:rPr>
            </w:pPr>
          </w:p>
        </w:tc>
      </w:tr>
      <w:tr w14:paraId="789E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853D7">
            <w:pPr>
              <w:jc w:val="center"/>
              <w:rPr>
                <w:rFonts w:hint="default" w:ascii="Times New Roman" w:hAnsi="Times New Roman" w:eastAsia="宋体" w:cs="Times New Roman"/>
                <w:i w:val="0"/>
                <w:iCs w:val="0"/>
                <w:color w:val="000000"/>
                <w:sz w:val="18"/>
                <w:szCs w:val="18"/>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CCE7">
            <w:pPr>
              <w:jc w:val="center"/>
              <w:rPr>
                <w:rFonts w:hint="default" w:ascii="Times New Roman" w:hAnsi="Times New Roman" w:eastAsia="宋体" w:cs="Times New Roman"/>
                <w:i w:val="0"/>
                <w:iCs w:val="0"/>
                <w:color w:val="000000"/>
                <w:sz w:val="18"/>
                <w:szCs w:val="18"/>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30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C9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完成时间：2024年1月至12月</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32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F0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C6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5126">
            <w:pPr>
              <w:keepNext w:val="0"/>
              <w:keepLines w:val="0"/>
              <w:widowControl/>
              <w:suppressLineNumbers w:val="0"/>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C5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72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CEEF">
            <w:pPr>
              <w:keepNext w:val="0"/>
              <w:keepLines w:val="0"/>
              <w:widowControl/>
              <w:suppressLineNumbers w:val="0"/>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因为征求意见的原因，3份审计报告出具时间在2025年1月上旬。</w:t>
            </w:r>
          </w:p>
        </w:tc>
      </w:tr>
      <w:tr w14:paraId="1422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0A294">
            <w:pPr>
              <w:jc w:val="center"/>
              <w:rPr>
                <w:rFonts w:hint="default" w:ascii="Times New Roman" w:hAnsi="Times New Roman" w:eastAsia="宋体" w:cs="Times New Roman"/>
                <w:i w:val="0"/>
                <w:iCs w:val="0"/>
                <w:color w:val="000000"/>
                <w:sz w:val="18"/>
                <w:szCs w:val="18"/>
                <w:u w:val="none"/>
              </w:rPr>
            </w:pP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D1C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1E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30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核实政府投资项目决算的真实性、准确性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98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37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节约财政资金</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B478">
            <w:pPr>
              <w:jc w:val="center"/>
              <w:rPr>
                <w:rFonts w:hint="default" w:ascii="Times New Roman" w:hAnsi="Times New Roman" w:eastAsia="宋体" w:cs="Times New Roman"/>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A735">
            <w:pPr>
              <w:jc w:val="center"/>
              <w:rPr>
                <w:rFonts w:hint="default" w:ascii="Times New Roman" w:hAnsi="Times New Roman" w:eastAsia="微软雅黑" w:cs="Times New Roman"/>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69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5D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1E69">
            <w:pPr>
              <w:jc w:val="center"/>
              <w:rPr>
                <w:rFonts w:hint="default" w:ascii="Times New Roman" w:hAnsi="Times New Roman" w:eastAsia="微软雅黑" w:cs="Times New Roman"/>
                <w:i/>
                <w:iCs/>
                <w:color w:val="000000"/>
                <w:sz w:val="16"/>
                <w:szCs w:val="16"/>
                <w:u w:val="none"/>
              </w:rPr>
            </w:pPr>
          </w:p>
        </w:tc>
      </w:tr>
      <w:tr w14:paraId="66A9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FCD2D">
            <w:pPr>
              <w:jc w:val="center"/>
              <w:rPr>
                <w:rFonts w:hint="default" w:ascii="Times New Roman" w:hAnsi="Times New Roman" w:eastAsia="宋体" w:cs="Times New Roman"/>
                <w:i w:val="0"/>
                <w:iCs w:val="0"/>
                <w:color w:val="000000"/>
                <w:sz w:val="18"/>
                <w:szCs w:val="18"/>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57CA">
            <w:pPr>
              <w:jc w:val="center"/>
              <w:rPr>
                <w:rFonts w:hint="default" w:ascii="Times New Roman" w:hAnsi="Times New Roman" w:eastAsia="宋体" w:cs="Times New Roman"/>
                <w:i w:val="0"/>
                <w:iCs w:val="0"/>
                <w:color w:val="000000"/>
                <w:sz w:val="18"/>
                <w:szCs w:val="18"/>
                <w:u w:val="none"/>
              </w:rPr>
            </w:pP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5BE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53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审计监督有效性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30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F6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948B">
            <w:pPr>
              <w:jc w:val="center"/>
              <w:rPr>
                <w:rFonts w:hint="default" w:ascii="Times New Roman" w:hAnsi="Times New Roman" w:eastAsia="宋体" w:cs="Times New Roman"/>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0DB5">
            <w:pPr>
              <w:jc w:val="center"/>
              <w:rPr>
                <w:rFonts w:hint="default" w:ascii="Times New Roman" w:hAnsi="Times New Roman" w:eastAsia="微软雅黑" w:cs="Times New Roman"/>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B2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13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39B2">
            <w:pPr>
              <w:jc w:val="center"/>
              <w:rPr>
                <w:rFonts w:hint="default" w:ascii="Times New Roman" w:hAnsi="Times New Roman" w:eastAsia="微软雅黑" w:cs="Times New Roman"/>
                <w:i/>
                <w:iCs/>
                <w:color w:val="000000"/>
                <w:sz w:val="16"/>
                <w:szCs w:val="16"/>
                <w:u w:val="none"/>
              </w:rPr>
            </w:pPr>
          </w:p>
        </w:tc>
      </w:tr>
      <w:tr w14:paraId="502F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176F">
            <w:pPr>
              <w:jc w:val="center"/>
              <w:rPr>
                <w:rFonts w:hint="default" w:ascii="Times New Roman" w:hAnsi="Times New Roman" w:eastAsia="宋体" w:cs="Times New Roman"/>
                <w:i w:val="0"/>
                <w:iCs w:val="0"/>
                <w:color w:val="000000"/>
                <w:sz w:val="18"/>
                <w:szCs w:val="18"/>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80788">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3DBF">
            <w:pPr>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56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审计借助外部力量保障机制健全性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F1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AA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审计借助外部力量保障机制健全性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1A07">
            <w:pPr>
              <w:jc w:val="center"/>
              <w:rPr>
                <w:rFonts w:hint="default" w:ascii="Times New Roman" w:hAnsi="Times New Roman" w:eastAsia="宋体" w:cs="Times New Roman"/>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200C">
            <w:pPr>
              <w:jc w:val="center"/>
              <w:rPr>
                <w:rFonts w:hint="default" w:ascii="Times New Roman" w:hAnsi="Times New Roman" w:eastAsia="微软雅黑" w:cs="Times New Roman"/>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22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7B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127D">
            <w:pPr>
              <w:jc w:val="center"/>
              <w:rPr>
                <w:rFonts w:hint="default" w:ascii="Times New Roman" w:hAnsi="Times New Roman" w:eastAsia="微软雅黑" w:cs="Times New Roman"/>
                <w:i/>
                <w:iCs/>
                <w:color w:val="000000"/>
                <w:sz w:val="16"/>
                <w:szCs w:val="16"/>
                <w:u w:val="none"/>
              </w:rPr>
            </w:pPr>
          </w:p>
        </w:tc>
      </w:tr>
      <w:tr w14:paraId="27DD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4D5C">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0E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CE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B3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区委、区政府、上级审计机关、被审计单位对审计结果的认可（%）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42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BD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3D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频率（频道）次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49DE">
            <w:pPr>
              <w:keepNext w:val="0"/>
              <w:keepLines w:val="0"/>
              <w:widowControl/>
              <w:suppressLineNumbers w:val="0"/>
              <w:jc w:val="center"/>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29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EC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80D1">
            <w:pPr>
              <w:jc w:val="center"/>
              <w:rPr>
                <w:rFonts w:hint="default" w:ascii="Times New Roman" w:hAnsi="Times New Roman" w:eastAsia="微软雅黑" w:cs="Times New Roman"/>
                <w:i/>
                <w:iCs/>
                <w:color w:val="000000"/>
                <w:sz w:val="16"/>
                <w:szCs w:val="16"/>
                <w:u w:val="none"/>
              </w:rPr>
            </w:pPr>
          </w:p>
        </w:tc>
      </w:tr>
      <w:tr w14:paraId="22E0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2F25B">
            <w:pPr>
              <w:jc w:val="center"/>
              <w:rPr>
                <w:rFonts w:hint="default" w:ascii="Times New Roman" w:hAnsi="Times New Roman" w:eastAsia="宋体" w:cs="Times New Roman"/>
                <w:i w:val="0"/>
                <w:iCs w:val="0"/>
                <w:color w:val="000000"/>
                <w:sz w:val="18"/>
                <w:szCs w:val="18"/>
                <w:u w:val="none"/>
              </w:rPr>
            </w:pP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983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5D1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0D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聘用工程师工资</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25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30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F0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A7F8">
            <w:pPr>
              <w:keepNext w:val="0"/>
              <w:keepLines w:val="0"/>
              <w:widowControl/>
              <w:suppressLineNumbers w:val="0"/>
              <w:jc w:val="center"/>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12.4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CE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BA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8743">
            <w:pPr>
              <w:jc w:val="center"/>
              <w:rPr>
                <w:rFonts w:hint="default" w:ascii="Times New Roman" w:hAnsi="Times New Roman" w:eastAsia="微软雅黑" w:cs="Times New Roman"/>
                <w:i/>
                <w:iCs/>
                <w:color w:val="000000"/>
                <w:sz w:val="16"/>
                <w:szCs w:val="16"/>
                <w:u w:val="none"/>
              </w:rPr>
            </w:pPr>
          </w:p>
        </w:tc>
      </w:tr>
      <w:tr w14:paraId="2430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BFD3D">
            <w:pPr>
              <w:jc w:val="center"/>
              <w:rPr>
                <w:rFonts w:hint="default" w:ascii="Times New Roman" w:hAnsi="Times New Roman" w:eastAsia="宋体" w:cs="Times New Roman"/>
                <w:i w:val="0"/>
                <w:iCs w:val="0"/>
                <w:color w:val="000000"/>
                <w:sz w:val="18"/>
                <w:szCs w:val="18"/>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441E">
            <w:pPr>
              <w:jc w:val="center"/>
              <w:rPr>
                <w:rFonts w:hint="default" w:ascii="Times New Roman" w:hAnsi="Times New Roman" w:eastAsia="宋体" w:cs="Times New Roman"/>
                <w:i w:val="0"/>
                <w:iCs w:val="0"/>
                <w:color w:val="000000"/>
                <w:sz w:val="18"/>
                <w:szCs w:val="18"/>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AB631">
            <w:pPr>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26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支付中介机构参与政府投资审计经费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91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0D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108.19</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8B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907A">
            <w:pPr>
              <w:keepNext w:val="0"/>
              <w:keepLines w:val="0"/>
              <w:widowControl/>
              <w:suppressLineNumbers w:val="0"/>
              <w:jc w:val="center"/>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微软雅黑" w:cs="Times New Roman"/>
                <w:i w:val="0"/>
                <w:iCs w:val="0"/>
                <w:color w:val="000000"/>
                <w:kern w:val="0"/>
                <w:sz w:val="16"/>
                <w:szCs w:val="16"/>
                <w:u w:val="none"/>
                <w:lang w:val="en-US" w:eastAsia="zh-CN" w:bidi="ar"/>
              </w:rPr>
              <w:t>89.98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60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89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16C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部分经费未支付</w:t>
            </w:r>
          </w:p>
        </w:tc>
      </w:tr>
      <w:tr w14:paraId="1246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14A7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FE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56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D1C0">
            <w:pPr>
              <w:rPr>
                <w:rFonts w:hint="default" w:ascii="Times New Roman" w:hAnsi="Times New Roman" w:eastAsia="宋体" w:cs="Times New Roman"/>
                <w:i w:val="0"/>
                <w:iCs w:val="0"/>
                <w:color w:val="000000"/>
                <w:sz w:val="18"/>
                <w:szCs w:val="18"/>
                <w:u w:val="none"/>
              </w:rPr>
            </w:pPr>
          </w:p>
        </w:tc>
      </w:tr>
      <w:tr w14:paraId="4519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3B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6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B643AF">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项目自评总分97分。实施成效显著，按照原定计划，完成审计项目15个（其中本级自定项目12个，省市等统一组织实施项目3个）。</w:t>
            </w:r>
          </w:p>
        </w:tc>
      </w:tr>
    </w:tbl>
    <w:p w14:paraId="2FA2E97E">
      <w:pPr>
        <w:rPr>
          <w:rFonts w:hint="default" w:ascii="Times New Roman" w:hAnsi="Times New Roman" w:cs="Times New Roman"/>
        </w:rPr>
      </w:pPr>
    </w:p>
    <w:p w14:paraId="562B09D9">
      <w:pPr>
        <w:pStyle w:val="2"/>
        <w:rPr>
          <w:rFonts w:hint="default" w:ascii="Times New Roman" w:hAnsi="Times New Roman" w:cs="Times New Roman"/>
        </w:rPr>
      </w:pPr>
    </w:p>
    <w:p w14:paraId="4B5BA299">
      <w:pPr>
        <w:pStyle w:val="3"/>
        <w:rPr>
          <w:rFonts w:hint="default" w:ascii="Times New Roman" w:hAnsi="Times New Roman" w:cs="Times New Roman"/>
        </w:rPr>
      </w:pPr>
    </w:p>
    <w:p w14:paraId="15B3205F">
      <w:pPr>
        <w:pStyle w:val="3"/>
        <w:rPr>
          <w:rFonts w:hint="default" w:ascii="Times New Roman" w:hAnsi="Times New Roman" w:cs="Times New Roman"/>
        </w:rPr>
      </w:pPr>
    </w:p>
    <w:p w14:paraId="49B14DAE">
      <w:pPr>
        <w:pStyle w:val="3"/>
        <w:rPr>
          <w:rFonts w:hint="default" w:ascii="Times New Roman" w:hAnsi="Times New Roman" w:cs="Times New Roman"/>
        </w:rPr>
      </w:pPr>
    </w:p>
    <w:p w14:paraId="43327B83">
      <w:pPr>
        <w:pStyle w:val="3"/>
        <w:rPr>
          <w:rFonts w:hint="default" w:ascii="Times New Roman" w:hAnsi="Times New Roman" w:cs="Times New Roman"/>
        </w:rPr>
      </w:pPr>
    </w:p>
    <w:p w14:paraId="1AFE937F">
      <w:pPr>
        <w:pStyle w:val="3"/>
        <w:rPr>
          <w:rFonts w:hint="default" w:ascii="Times New Roman" w:hAnsi="Times New Roman" w:cs="Times New Roman"/>
        </w:rPr>
      </w:pPr>
    </w:p>
    <w:p w14:paraId="656C42D6">
      <w:pPr>
        <w:pStyle w:val="3"/>
        <w:rPr>
          <w:rFonts w:hint="default" w:ascii="Times New Roman" w:hAnsi="Times New Roman" w:cs="Times New Roman"/>
        </w:rPr>
      </w:pPr>
    </w:p>
    <w:p w14:paraId="40B23C0B">
      <w:pPr>
        <w:pStyle w:val="3"/>
        <w:rPr>
          <w:rFonts w:hint="default" w:ascii="Times New Roman" w:hAnsi="Times New Roman" w:cs="Times New Roman"/>
        </w:rPr>
      </w:pPr>
    </w:p>
    <w:p w14:paraId="2426CF46">
      <w:pPr>
        <w:pStyle w:val="3"/>
        <w:rPr>
          <w:rFonts w:hint="default" w:ascii="Times New Roman" w:hAnsi="Times New Roman" w:cs="Times New Roman"/>
        </w:rPr>
      </w:pPr>
    </w:p>
    <w:p w14:paraId="0D23DE6D">
      <w:pPr>
        <w:pStyle w:val="3"/>
        <w:rPr>
          <w:rFonts w:hint="default" w:ascii="Times New Roman" w:hAnsi="Times New Roman" w:cs="Times New Roman"/>
        </w:rPr>
      </w:pPr>
    </w:p>
    <w:p w14:paraId="01771015">
      <w:pPr>
        <w:pStyle w:val="3"/>
        <w:rPr>
          <w:rFonts w:hint="default" w:ascii="Times New Roman" w:hAnsi="Times New Roman" w:cs="Times New Roman"/>
        </w:rPr>
      </w:pPr>
    </w:p>
    <w:p w14:paraId="2CE09E28">
      <w:pPr>
        <w:pStyle w:val="3"/>
        <w:rPr>
          <w:rFonts w:hint="default" w:ascii="Times New Roman" w:hAnsi="Times New Roman" w:cs="Times New Roman"/>
        </w:rPr>
      </w:pPr>
    </w:p>
    <w:p w14:paraId="35E41CC5">
      <w:pPr>
        <w:pStyle w:val="3"/>
        <w:rPr>
          <w:rFonts w:hint="default" w:ascii="Times New Roman" w:hAnsi="Times New Roman" w:cs="Times New Roman"/>
        </w:rPr>
      </w:pPr>
    </w:p>
    <w:tbl>
      <w:tblPr>
        <w:tblStyle w:val="1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1305"/>
        <w:gridCol w:w="1087"/>
        <w:gridCol w:w="1453"/>
        <w:gridCol w:w="496"/>
        <w:gridCol w:w="1015"/>
        <w:gridCol w:w="731"/>
        <w:gridCol w:w="1081"/>
        <w:gridCol w:w="609"/>
        <w:gridCol w:w="496"/>
        <w:gridCol w:w="1690"/>
      </w:tblGrid>
      <w:tr w14:paraId="2E40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E6E668">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30"/>
                <w:szCs w:val="30"/>
                <w:u w:val="none"/>
              </w:rPr>
            </w:pPr>
            <w:r>
              <w:rPr>
                <w:rFonts w:hint="default" w:ascii="Times New Roman" w:hAnsi="Times New Roman" w:eastAsia="黑体" w:cs="Times New Roman"/>
                <w:b/>
                <w:bCs/>
                <w:i w:val="0"/>
                <w:iCs w:val="0"/>
                <w:color w:val="000000"/>
                <w:kern w:val="0"/>
                <w:sz w:val="30"/>
                <w:szCs w:val="30"/>
                <w:u w:val="none"/>
                <w:lang w:val="en-US" w:eastAsia="zh-CN" w:bidi="ar"/>
              </w:rPr>
              <w:t>部门预算项目支出绩效自评表（2024年度）</w:t>
            </w:r>
          </w:p>
        </w:tc>
      </w:tr>
      <w:tr w14:paraId="2EB9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F34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B57A8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51041122T000007196658-攀枝花市2022年省级审计专项转移支付资金-审计机关困难补助经费</w:t>
            </w:r>
          </w:p>
        </w:tc>
      </w:tr>
      <w:tr w14:paraId="381A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B70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DCE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攀枝花市仁和区审计局部门</w:t>
            </w:r>
          </w:p>
        </w:tc>
        <w:tc>
          <w:tcPr>
            <w:tcW w:w="503" w:type="pct"/>
            <w:tcBorders>
              <w:top w:val="nil"/>
              <w:left w:val="nil"/>
              <w:bottom w:val="nil"/>
              <w:right w:val="nil"/>
            </w:tcBorders>
            <w:shd w:val="clear" w:color="auto" w:fill="auto"/>
            <w:vAlign w:val="center"/>
          </w:tcPr>
          <w:p w14:paraId="79088330">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 （盖章）</w:t>
            </w:r>
          </w:p>
        </w:tc>
        <w:tc>
          <w:tcPr>
            <w:tcW w:w="13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EA6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攀枝花市仁和区审计局</w:t>
            </w:r>
          </w:p>
        </w:tc>
      </w:tr>
      <w:tr w14:paraId="6EBA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D34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BE4C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2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248C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F1E7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7D60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113E">
            <w:pPr>
              <w:rPr>
                <w:rFonts w:hint="default" w:ascii="Times New Roman" w:hAnsi="Times New Roman" w:eastAsia="宋体" w:cs="Times New Roman"/>
                <w:i w:val="0"/>
                <w:iCs w:val="0"/>
                <w:color w:val="000000"/>
                <w:sz w:val="18"/>
                <w:szCs w:val="18"/>
                <w:u w:val="none"/>
              </w:rPr>
            </w:pP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173B">
            <w:pPr>
              <w:rPr>
                <w:rFonts w:hint="default" w:ascii="Times New Roman" w:hAnsi="Times New Roman" w:eastAsia="宋体" w:cs="Times New Roman"/>
                <w:i w:val="0"/>
                <w:iCs w:val="0"/>
                <w:color w:val="000000"/>
                <w:sz w:val="18"/>
                <w:szCs w:val="18"/>
                <w:u w:val="none"/>
              </w:rPr>
            </w:pPr>
          </w:p>
        </w:tc>
        <w:tc>
          <w:tcPr>
            <w:tcW w:w="22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2CF95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保障审计机关基础办公条件，缓解办公经费压力，支持审计业务顺利开展。</w:t>
            </w:r>
          </w:p>
        </w:tc>
        <w:tc>
          <w:tcPr>
            <w:tcW w:w="18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D457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使用存量资金 0.56 万元缴纳 2023 年水电费，缓解部分办公经费压力，但仅完成调整后预算的 23.86%，资金使用进度较慢。</w:t>
            </w:r>
          </w:p>
        </w:tc>
      </w:tr>
      <w:tr w14:paraId="7B9B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6A0A7">
            <w:pP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B77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5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40AEA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该项目资金为省级审计专项转移支付，年初无预算，年中调整预算 2.36 万元，实际执行 0.56 万元，用于缴纳水电费，剩余资金未使用，未开展其他支出项目。</w:t>
            </w:r>
          </w:p>
        </w:tc>
      </w:tr>
      <w:tr w14:paraId="100B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2D8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0F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EE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BE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310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3D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8E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B8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E2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72E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5A4A6">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70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EB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E5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2.36</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3A5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68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23.86%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4B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80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83454">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仅使用了0.56万元支付上一年度未缴纳的水电费费用，其余资金足够从当年科目中支出。</w:t>
            </w:r>
          </w:p>
        </w:tc>
      </w:tr>
      <w:tr w14:paraId="467E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30FB">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3B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C1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4B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2.36</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4E5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AF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23.86%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3F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87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1FAF">
            <w:pPr>
              <w:rPr>
                <w:rFonts w:hint="default" w:ascii="Times New Roman" w:hAnsi="Times New Roman" w:eastAsia="黑体" w:cs="Times New Roman"/>
                <w:i w:val="0"/>
                <w:iCs w:val="0"/>
                <w:color w:val="000000"/>
                <w:sz w:val="18"/>
                <w:szCs w:val="18"/>
                <w:u w:val="none"/>
              </w:rPr>
            </w:pPr>
          </w:p>
        </w:tc>
      </w:tr>
      <w:tr w14:paraId="7948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26C7A">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4E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57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02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085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72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44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75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1F6E">
            <w:pPr>
              <w:rPr>
                <w:rFonts w:hint="default" w:ascii="Times New Roman" w:hAnsi="Times New Roman" w:eastAsia="黑体" w:cs="Times New Roman"/>
                <w:i w:val="0"/>
                <w:iCs w:val="0"/>
                <w:color w:val="000000"/>
                <w:sz w:val="18"/>
                <w:szCs w:val="18"/>
                <w:u w:val="none"/>
              </w:rPr>
            </w:pPr>
          </w:p>
        </w:tc>
      </w:tr>
      <w:tr w14:paraId="6E4B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2E2C">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23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15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29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491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50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C6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84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DF03B">
            <w:pPr>
              <w:rPr>
                <w:rFonts w:hint="default" w:ascii="Times New Roman" w:hAnsi="Times New Roman" w:eastAsia="黑体" w:cs="Times New Roman"/>
                <w:i w:val="0"/>
                <w:iCs w:val="0"/>
                <w:color w:val="000000"/>
                <w:sz w:val="18"/>
                <w:szCs w:val="18"/>
                <w:u w:val="none"/>
              </w:rPr>
            </w:pPr>
          </w:p>
        </w:tc>
      </w:tr>
      <w:tr w14:paraId="222B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56CD7">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05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7E83">
            <w:pPr>
              <w:jc w:val="center"/>
              <w:rPr>
                <w:rFonts w:hint="default" w:ascii="Times New Roman" w:hAnsi="Times New Roman" w:eastAsia="微软雅黑" w:cs="Times New Roman"/>
                <w:i/>
                <w:iCs/>
                <w:color w:val="000000"/>
                <w:sz w:val="16"/>
                <w:szCs w:val="16"/>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F11A">
            <w:pPr>
              <w:jc w:val="center"/>
              <w:rPr>
                <w:rFonts w:hint="default" w:ascii="Times New Roman" w:hAnsi="Times New Roman" w:eastAsia="微软雅黑" w:cs="Times New Roman"/>
                <w:i/>
                <w:iCs/>
                <w:color w:val="000000"/>
                <w:sz w:val="16"/>
                <w:szCs w:val="16"/>
                <w:u w:val="none"/>
              </w:rPr>
            </w:pPr>
          </w:p>
        </w:tc>
        <w:tc>
          <w:tcPr>
            <w:tcW w:w="10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DA7D1">
            <w:pPr>
              <w:jc w:val="center"/>
              <w:rPr>
                <w:rFonts w:hint="default" w:ascii="Times New Roman" w:hAnsi="Times New Roman" w:eastAsia="微软雅黑" w:cs="Times New Roman"/>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58ACB">
            <w:pPr>
              <w:jc w:val="center"/>
              <w:rPr>
                <w:rFonts w:hint="default" w:ascii="Times New Roman" w:hAnsi="Times New Roman" w:eastAsia="微软雅黑" w:cs="Times New Roman"/>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47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B9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F3EC">
            <w:pPr>
              <w:rPr>
                <w:rFonts w:hint="default" w:ascii="Times New Roman" w:hAnsi="Times New Roman" w:eastAsia="黑体" w:cs="Times New Roman"/>
                <w:i w:val="0"/>
                <w:iCs w:val="0"/>
                <w:color w:val="000000"/>
                <w:sz w:val="18"/>
                <w:szCs w:val="18"/>
                <w:u w:val="none"/>
              </w:rPr>
            </w:pPr>
          </w:p>
        </w:tc>
      </w:tr>
      <w:tr w14:paraId="39BF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B88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E8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42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80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B1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5F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D2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39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1C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EE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BC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229D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2885">
            <w:pPr>
              <w:jc w:val="center"/>
              <w:rPr>
                <w:rFonts w:hint="default" w:ascii="Times New Roman" w:hAnsi="Times New Roman" w:eastAsia="宋体" w:cs="Times New Roman"/>
                <w:i w:val="0"/>
                <w:iCs w:val="0"/>
                <w:color w:val="000000"/>
                <w:sz w:val="18"/>
                <w:szCs w:val="18"/>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96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1E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C0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使用省级专项转移支付资金</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41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AC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完成资金交付</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86C1">
            <w:pPr>
              <w:jc w:val="center"/>
              <w:rPr>
                <w:rFonts w:hint="default" w:ascii="Times New Roman" w:hAnsi="Times New Roman" w:eastAsia="宋体" w:cs="Times New Roman"/>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A988">
            <w:pPr>
              <w:jc w:val="center"/>
              <w:rPr>
                <w:rFonts w:hint="default" w:ascii="Times New Roman" w:hAnsi="Times New Roman" w:eastAsia="微软雅黑" w:cs="Times New Roman"/>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2E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F5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9988">
            <w:pPr>
              <w:jc w:val="center"/>
              <w:rPr>
                <w:rFonts w:hint="default" w:ascii="Times New Roman" w:hAnsi="Times New Roman" w:eastAsia="微软雅黑" w:cs="Times New Roman"/>
                <w:i/>
                <w:iCs/>
                <w:color w:val="000000"/>
                <w:sz w:val="16"/>
                <w:szCs w:val="16"/>
                <w:u w:val="none"/>
              </w:rPr>
            </w:pPr>
          </w:p>
        </w:tc>
      </w:tr>
      <w:tr w14:paraId="4DD7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6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88DB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4B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66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2C00">
            <w:pPr>
              <w:rPr>
                <w:rFonts w:hint="default" w:ascii="Times New Roman" w:hAnsi="Times New Roman" w:eastAsia="宋体" w:cs="Times New Roman"/>
                <w:i w:val="0"/>
                <w:iCs w:val="0"/>
                <w:color w:val="000000"/>
                <w:sz w:val="18"/>
                <w:szCs w:val="18"/>
                <w:u w:val="none"/>
              </w:rPr>
            </w:pPr>
          </w:p>
        </w:tc>
      </w:tr>
      <w:tr w14:paraId="290F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D4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B7EE28">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项目自评总分95分。实施成效：解决部分历史欠费问题，保障机关基础运转；但资金执行率仅 23.86%，大量资金闲置，未充分发挥补助经费对审计业务的支持作用，需优化资金使用效率。</w:t>
            </w:r>
          </w:p>
        </w:tc>
      </w:tr>
    </w:tbl>
    <w:p w14:paraId="78355711">
      <w:pPr>
        <w:pStyle w:val="8"/>
        <w:rPr>
          <w:rFonts w:hint="default" w:ascii="Times New Roman" w:hAnsi="Times New Roman" w:cs="Times New Roman"/>
          <w:color w:val="FF0000"/>
          <w:kern w:val="0"/>
          <w:sz w:val="32"/>
          <w:szCs w:val="32"/>
          <w:highlight w:val="yellow"/>
          <w:shd w:val="clear" w:color="auto" w:fill="FFFFFF"/>
          <w:lang w:val="zh-CN"/>
        </w:rPr>
      </w:pPr>
    </w:p>
    <w:p w14:paraId="3899588B">
      <w:pPr>
        <w:widowControl/>
        <w:jc w:val="center"/>
        <w:rPr>
          <w:rFonts w:hint="default" w:ascii="Times New Roman" w:hAnsi="Times New Roman" w:eastAsia="黑体" w:cs="Times New Roman"/>
          <w:color w:val="auto"/>
          <w:sz w:val="44"/>
          <w:szCs w:val="44"/>
          <w:highlight w:val="none"/>
        </w:rPr>
        <w:sectPr>
          <w:pgSz w:w="11906" w:h="16838"/>
          <w:pgMar w:top="720" w:right="720" w:bottom="720" w:left="720" w:header="851" w:footer="992" w:gutter="0"/>
          <w:pgNumType w:fmt="decimal"/>
          <w:cols w:space="425" w:num="1"/>
          <w:titlePg/>
          <w:docGrid w:type="lines" w:linePitch="312" w:charSpace="0"/>
        </w:sectPr>
      </w:pPr>
      <w:bookmarkStart w:id="56" w:name="_Toc15396618"/>
    </w:p>
    <w:p w14:paraId="0A430E5E">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附件2</w:t>
      </w:r>
    </w:p>
    <w:p w14:paraId="2ABC671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r>
        <w:rPr>
          <w:rFonts w:hint="default" w:ascii="Times New Roman" w:hAnsi="Times New Roman" w:eastAsia="方正小标宋简体" w:cs="Times New Roman"/>
          <w:b w:val="0"/>
          <w:bCs/>
          <w:sz w:val="44"/>
          <w:szCs w:val="44"/>
          <w:highlight w:val="none"/>
          <w:shd w:val="clear" w:color="auto" w:fill="FFFFFF"/>
          <w:lang w:val="en-US" w:eastAsia="zh-CN"/>
        </w:rPr>
        <w:t>专项预算项目绩效评价报告</w:t>
      </w:r>
    </w:p>
    <w:p w14:paraId="10AEF654">
      <w:pPr>
        <w:pStyle w:val="15"/>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z w:val="44"/>
          <w:szCs w:val="44"/>
          <w:highlight w:val="none"/>
          <w:shd w:val="clear" w:color="auto" w:fill="FFFFFF"/>
          <w:lang w:val="en-US" w:eastAsia="zh-CN"/>
        </w:rPr>
      </w:pPr>
      <w:r>
        <w:rPr>
          <w:rFonts w:hint="default" w:ascii="Times New Roman" w:hAnsi="Times New Roman" w:eastAsia="仿宋_GB2312" w:cs="Times New Roman"/>
          <w:color w:val="auto"/>
          <w:sz w:val="32"/>
          <w:szCs w:val="32"/>
          <w:highlight w:val="none"/>
          <w:lang w:val="en-US" w:eastAsia="zh-CN"/>
        </w:rPr>
        <w:t>（本部门不涉及此类项目）</w:t>
      </w:r>
    </w:p>
    <w:p w14:paraId="44C318DE">
      <w:pPr>
        <w:widowControl/>
        <w:jc w:val="center"/>
        <w:rPr>
          <w:rFonts w:hint="default" w:ascii="Times New Roman" w:hAnsi="Times New Roman" w:eastAsia="黑体" w:cs="Times New Roman"/>
          <w:color w:val="auto"/>
          <w:sz w:val="44"/>
          <w:szCs w:val="44"/>
          <w:highlight w:val="none"/>
        </w:rPr>
      </w:pPr>
    </w:p>
    <w:p w14:paraId="5B413E26">
      <w:pPr>
        <w:pStyle w:val="2"/>
        <w:rPr>
          <w:rFonts w:hint="default" w:ascii="Times New Roman" w:hAnsi="Times New Roman" w:eastAsia="黑体" w:cs="Times New Roman"/>
          <w:color w:val="auto"/>
          <w:sz w:val="44"/>
          <w:szCs w:val="44"/>
          <w:highlight w:val="none"/>
        </w:rPr>
      </w:pPr>
    </w:p>
    <w:p w14:paraId="581B6BF8">
      <w:pPr>
        <w:pStyle w:val="3"/>
        <w:rPr>
          <w:rFonts w:hint="default" w:ascii="Times New Roman" w:hAnsi="Times New Roman" w:eastAsia="黑体" w:cs="Times New Roman"/>
          <w:color w:val="auto"/>
          <w:sz w:val="44"/>
          <w:szCs w:val="44"/>
          <w:highlight w:val="none"/>
        </w:rPr>
      </w:pPr>
    </w:p>
    <w:p w14:paraId="16968E2B">
      <w:pPr>
        <w:pStyle w:val="3"/>
        <w:rPr>
          <w:rFonts w:hint="default" w:ascii="Times New Roman" w:hAnsi="Times New Roman" w:eastAsia="黑体" w:cs="Times New Roman"/>
          <w:color w:val="auto"/>
          <w:sz w:val="44"/>
          <w:szCs w:val="44"/>
          <w:highlight w:val="none"/>
        </w:rPr>
      </w:pPr>
    </w:p>
    <w:p w14:paraId="4CE3C770">
      <w:pPr>
        <w:pStyle w:val="3"/>
        <w:rPr>
          <w:rFonts w:hint="default" w:ascii="Times New Roman" w:hAnsi="Times New Roman" w:eastAsia="黑体" w:cs="Times New Roman"/>
          <w:color w:val="auto"/>
          <w:sz w:val="44"/>
          <w:szCs w:val="44"/>
          <w:highlight w:val="none"/>
        </w:rPr>
      </w:pPr>
    </w:p>
    <w:p w14:paraId="76B9E25E">
      <w:pPr>
        <w:pStyle w:val="3"/>
        <w:rPr>
          <w:rFonts w:hint="default" w:ascii="Times New Roman" w:hAnsi="Times New Roman" w:eastAsia="黑体" w:cs="Times New Roman"/>
          <w:color w:val="auto"/>
          <w:sz w:val="44"/>
          <w:szCs w:val="44"/>
          <w:highlight w:val="none"/>
        </w:rPr>
      </w:pPr>
    </w:p>
    <w:p w14:paraId="242BEF81">
      <w:pPr>
        <w:pStyle w:val="3"/>
        <w:rPr>
          <w:rFonts w:hint="default" w:ascii="Times New Roman" w:hAnsi="Times New Roman" w:eastAsia="黑体" w:cs="Times New Roman"/>
          <w:color w:val="auto"/>
          <w:sz w:val="44"/>
          <w:szCs w:val="44"/>
          <w:highlight w:val="none"/>
        </w:rPr>
      </w:pPr>
    </w:p>
    <w:p w14:paraId="3505ED01">
      <w:pPr>
        <w:pStyle w:val="3"/>
        <w:rPr>
          <w:rFonts w:hint="default" w:ascii="Times New Roman" w:hAnsi="Times New Roman" w:eastAsia="黑体" w:cs="Times New Roman"/>
          <w:color w:val="auto"/>
          <w:sz w:val="44"/>
          <w:szCs w:val="44"/>
          <w:highlight w:val="none"/>
        </w:rPr>
      </w:pPr>
    </w:p>
    <w:p w14:paraId="787EF502">
      <w:pPr>
        <w:pStyle w:val="3"/>
        <w:rPr>
          <w:rFonts w:hint="default" w:ascii="Times New Roman" w:hAnsi="Times New Roman" w:eastAsia="黑体" w:cs="Times New Roman"/>
          <w:color w:val="auto"/>
          <w:sz w:val="44"/>
          <w:szCs w:val="44"/>
          <w:highlight w:val="none"/>
        </w:rPr>
      </w:pPr>
    </w:p>
    <w:p w14:paraId="060FB9BF">
      <w:pPr>
        <w:pStyle w:val="3"/>
        <w:rPr>
          <w:rFonts w:hint="default" w:ascii="Times New Roman" w:hAnsi="Times New Roman" w:eastAsia="黑体" w:cs="Times New Roman"/>
          <w:color w:val="auto"/>
          <w:sz w:val="44"/>
          <w:szCs w:val="44"/>
          <w:highlight w:val="none"/>
        </w:rPr>
      </w:pPr>
    </w:p>
    <w:p w14:paraId="7E218B71">
      <w:pPr>
        <w:pStyle w:val="3"/>
        <w:rPr>
          <w:rFonts w:hint="default" w:ascii="Times New Roman" w:hAnsi="Times New Roman" w:eastAsia="黑体" w:cs="Times New Roman"/>
          <w:color w:val="auto"/>
          <w:sz w:val="44"/>
          <w:szCs w:val="44"/>
          <w:highlight w:val="none"/>
        </w:rPr>
      </w:pPr>
    </w:p>
    <w:p w14:paraId="4C4B7703">
      <w:pPr>
        <w:pStyle w:val="3"/>
        <w:rPr>
          <w:rFonts w:hint="default" w:ascii="Times New Roman" w:hAnsi="Times New Roman" w:eastAsia="黑体" w:cs="Times New Roman"/>
          <w:color w:val="auto"/>
          <w:sz w:val="44"/>
          <w:szCs w:val="44"/>
          <w:highlight w:val="none"/>
        </w:rPr>
      </w:pPr>
    </w:p>
    <w:p w14:paraId="4880F9EC">
      <w:pPr>
        <w:pStyle w:val="3"/>
        <w:rPr>
          <w:rFonts w:hint="default" w:ascii="Times New Roman" w:hAnsi="Times New Roman" w:eastAsia="黑体" w:cs="Times New Roman"/>
          <w:color w:val="auto"/>
          <w:sz w:val="44"/>
          <w:szCs w:val="44"/>
          <w:highlight w:val="none"/>
        </w:rPr>
      </w:pPr>
    </w:p>
    <w:p w14:paraId="53F535F5">
      <w:pPr>
        <w:pStyle w:val="3"/>
        <w:rPr>
          <w:rFonts w:hint="default" w:ascii="Times New Roman" w:hAnsi="Times New Roman" w:eastAsia="黑体" w:cs="Times New Roman"/>
          <w:color w:val="auto"/>
          <w:sz w:val="44"/>
          <w:szCs w:val="44"/>
          <w:highlight w:val="none"/>
        </w:rPr>
      </w:pPr>
    </w:p>
    <w:p w14:paraId="59CF8F13">
      <w:pPr>
        <w:pStyle w:val="3"/>
        <w:rPr>
          <w:rFonts w:hint="default" w:ascii="Times New Roman" w:hAnsi="Times New Roman" w:eastAsia="黑体" w:cs="Times New Roman"/>
          <w:color w:val="auto"/>
          <w:sz w:val="44"/>
          <w:szCs w:val="44"/>
          <w:highlight w:val="none"/>
        </w:rPr>
      </w:pPr>
    </w:p>
    <w:p w14:paraId="3FEE3E06">
      <w:pPr>
        <w:widowControl/>
        <w:jc w:val="center"/>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30"/>
          <w:rFonts w:hint="default" w:ascii="Times New Roman" w:hAnsi="Times New Roman" w:eastAsia="黑体" w:cs="Times New Roman"/>
          <w:b w:val="0"/>
          <w:color w:val="auto"/>
          <w:highlight w:val="none"/>
        </w:rPr>
        <w:t>五部分 附表</w:t>
      </w:r>
      <w:bookmarkEnd w:id="53"/>
      <w:bookmarkEnd w:id="56"/>
      <w:bookmarkStart w:id="57" w:name="_Toc15396619"/>
    </w:p>
    <w:p w14:paraId="0A1F269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0AEEE94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57"/>
    </w:p>
    <w:p w14:paraId="50FE9CB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8" w:name="_Toc15396620"/>
      <w:r>
        <w:rPr>
          <w:rFonts w:hint="default" w:ascii="Times New Roman" w:hAnsi="Times New Roman" w:eastAsia="仿宋_GB2312" w:cs="Times New Roman"/>
          <w:color w:val="auto"/>
          <w:sz w:val="32"/>
          <w:szCs w:val="32"/>
          <w:highlight w:val="none"/>
        </w:rPr>
        <w:t>二、收入决算表</w:t>
      </w:r>
      <w:bookmarkEnd w:id="58"/>
    </w:p>
    <w:p w14:paraId="7E75663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59" w:name="_Toc15396621"/>
      <w:r>
        <w:rPr>
          <w:rFonts w:hint="default" w:ascii="Times New Roman" w:hAnsi="Times New Roman" w:eastAsia="仿宋_GB2312" w:cs="Times New Roman"/>
          <w:color w:val="auto"/>
          <w:sz w:val="32"/>
          <w:szCs w:val="32"/>
          <w:highlight w:val="none"/>
        </w:rPr>
        <w:t>三、支出决算表</w:t>
      </w:r>
      <w:bookmarkEnd w:id="59"/>
    </w:p>
    <w:p w14:paraId="53E4745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0" w:name="_Toc15396622"/>
      <w:r>
        <w:rPr>
          <w:rFonts w:hint="default" w:ascii="Times New Roman" w:hAnsi="Times New Roman" w:eastAsia="仿宋_GB2312" w:cs="Times New Roman"/>
          <w:color w:val="auto"/>
          <w:sz w:val="32"/>
          <w:szCs w:val="32"/>
          <w:highlight w:val="none"/>
        </w:rPr>
        <w:t>四、财政拨款收入支出决算总表</w:t>
      </w:r>
      <w:bookmarkEnd w:id="60"/>
    </w:p>
    <w:p w14:paraId="40BB04E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1" w:name="_Toc15396623"/>
      <w:r>
        <w:rPr>
          <w:rFonts w:hint="default" w:ascii="Times New Roman" w:hAnsi="Times New Roman" w:eastAsia="仿宋_GB2312" w:cs="Times New Roman"/>
          <w:color w:val="auto"/>
          <w:sz w:val="32"/>
          <w:szCs w:val="32"/>
          <w:highlight w:val="none"/>
        </w:rPr>
        <w:t>五、财政拨款支出决算明细表</w:t>
      </w:r>
      <w:bookmarkEnd w:id="61"/>
      <w:bookmarkStart w:id="62" w:name="_Toc15396624"/>
    </w:p>
    <w:p w14:paraId="0596F25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62"/>
    </w:p>
    <w:p w14:paraId="5A6F79B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3" w:name="_Toc15396625"/>
      <w:r>
        <w:rPr>
          <w:rFonts w:hint="default" w:ascii="Times New Roman" w:hAnsi="Times New Roman" w:eastAsia="仿宋_GB2312" w:cs="Times New Roman"/>
          <w:color w:val="auto"/>
          <w:sz w:val="32"/>
          <w:szCs w:val="32"/>
          <w:highlight w:val="none"/>
        </w:rPr>
        <w:t>七、一般公共预算财政拨款支出决算明细表</w:t>
      </w:r>
      <w:bookmarkEnd w:id="63"/>
    </w:p>
    <w:p w14:paraId="7FC1B2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4" w:name="_Toc15396626"/>
      <w:r>
        <w:rPr>
          <w:rFonts w:hint="default" w:ascii="Times New Roman" w:hAnsi="Times New Roman" w:eastAsia="仿宋_GB2312" w:cs="Times New Roman"/>
          <w:color w:val="auto"/>
          <w:sz w:val="32"/>
          <w:szCs w:val="32"/>
          <w:highlight w:val="none"/>
        </w:rPr>
        <w:t>八、一般公共预算财政拨款基本支出决算表</w:t>
      </w:r>
      <w:bookmarkEnd w:id="64"/>
    </w:p>
    <w:p w14:paraId="6B9576F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5" w:name="_Toc15396627"/>
      <w:r>
        <w:rPr>
          <w:rFonts w:hint="default" w:ascii="Times New Roman" w:hAnsi="Times New Roman" w:eastAsia="仿宋_GB2312" w:cs="Times New Roman"/>
          <w:color w:val="auto"/>
          <w:sz w:val="32"/>
          <w:szCs w:val="32"/>
          <w:highlight w:val="none"/>
        </w:rPr>
        <w:t>九、一般公共预算财政拨款项目支出决算表</w:t>
      </w:r>
      <w:bookmarkEnd w:id="65"/>
    </w:p>
    <w:p w14:paraId="65BE7DD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6" w:name="_Toc15396628"/>
      <w:r>
        <w:rPr>
          <w:rFonts w:hint="default" w:ascii="Times New Roman" w:hAnsi="Times New Roman" w:eastAsia="仿宋_GB2312" w:cs="Times New Roman"/>
          <w:color w:val="auto"/>
          <w:sz w:val="32"/>
          <w:szCs w:val="32"/>
          <w:highlight w:val="none"/>
        </w:rPr>
        <w:t>十、</w:t>
      </w:r>
      <w:bookmarkEnd w:id="66"/>
      <w:r>
        <w:rPr>
          <w:rFonts w:hint="default" w:ascii="Times New Roman" w:hAnsi="Times New Roman" w:eastAsia="仿宋_GB2312" w:cs="Times New Roman"/>
          <w:color w:val="auto"/>
          <w:sz w:val="32"/>
          <w:szCs w:val="32"/>
          <w:highlight w:val="none"/>
        </w:rPr>
        <w:t>政府性基金预算财政拨款收入支出决算表</w:t>
      </w:r>
    </w:p>
    <w:p w14:paraId="3BF88BF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7" w:name="_Toc15396629"/>
      <w:r>
        <w:rPr>
          <w:rFonts w:hint="default" w:ascii="Times New Roman" w:hAnsi="Times New Roman" w:eastAsia="仿宋_GB2312" w:cs="Times New Roman"/>
          <w:color w:val="auto"/>
          <w:sz w:val="32"/>
          <w:szCs w:val="32"/>
          <w:highlight w:val="none"/>
        </w:rPr>
        <w:t>十一、</w:t>
      </w:r>
      <w:bookmarkEnd w:id="67"/>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4B684C4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8" w:name="_Toc15396630"/>
      <w:r>
        <w:rPr>
          <w:rFonts w:hint="default" w:ascii="Times New Roman" w:hAnsi="Times New Roman" w:eastAsia="仿宋_GB2312" w:cs="Times New Roman"/>
          <w:color w:val="auto"/>
          <w:sz w:val="32"/>
          <w:szCs w:val="32"/>
          <w:highlight w:val="none"/>
        </w:rPr>
        <w:t>十二、</w:t>
      </w:r>
      <w:bookmarkEnd w:id="68"/>
      <w:r>
        <w:rPr>
          <w:rFonts w:hint="default" w:ascii="Times New Roman" w:hAnsi="Times New Roman" w:eastAsia="仿宋_GB2312" w:cs="Times New Roman"/>
          <w:color w:val="auto"/>
          <w:sz w:val="32"/>
          <w:szCs w:val="32"/>
          <w:highlight w:val="none"/>
          <w:lang w:eastAsia="zh-CN"/>
        </w:rPr>
        <w:t>国有资本经营预算财政拨款支出决算表</w:t>
      </w:r>
    </w:p>
    <w:p w14:paraId="23EB6DD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69" w:name="_Toc15396631"/>
      <w:r>
        <w:rPr>
          <w:rFonts w:hint="default" w:ascii="Times New Roman" w:hAnsi="Times New Roman" w:eastAsia="仿宋_GB2312" w:cs="Times New Roman"/>
          <w:color w:val="auto"/>
          <w:sz w:val="32"/>
          <w:szCs w:val="32"/>
          <w:highlight w:val="none"/>
        </w:rPr>
        <w:t>十三、</w:t>
      </w:r>
      <w:bookmarkEnd w:id="69"/>
      <w:r>
        <w:rPr>
          <w:rFonts w:hint="default" w:ascii="Times New Roman" w:hAnsi="Times New Roman" w:eastAsia="仿宋_GB2312" w:cs="Times New Roman"/>
          <w:color w:val="auto"/>
          <w:sz w:val="32"/>
          <w:szCs w:val="32"/>
          <w:highlight w:val="none"/>
          <w:lang w:eastAsia="zh-CN"/>
        </w:rPr>
        <w:t>财政拨款“三公”经费支出决算表</w:t>
      </w:r>
    </w:p>
    <w:p w14:paraId="20C61828">
      <w:pPr>
        <w:rPr>
          <w:rFonts w:hint="default" w:ascii="Times New Roman" w:hAnsi="Times New Roman" w:cs="Times New Roman"/>
          <w:lang w:eastAsia="zh-CN"/>
        </w:rPr>
      </w:pPr>
    </w:p>
    <w:sectPr>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B640">
    <w:pPr>
      <w:pStyle w:val="12"/>
      <w:jc w:val="center"/>
    </w:pPr>
  </w:p>
  <w:p w14:paraId="2A6AE0D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48A6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FB48D">
                          <w:pPr>
                            <w:pStyle w:val="1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5FB48D">
                    <w:pPr>
                      <w:pStyle w:val="1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BF24">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7877C">
                          <w:pPr>
                            <w:pStyle w:val="1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67877C">
                    <w:pPr>
                      <w:pStyle w:val="1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p w14:paraId="7803820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BD1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0F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0547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1B2E9F"/>
    <w:rsid w:val="033D1043"/>
    <w:rsid w:val="04916F1E"/>
    <w:rsid w:val="05410997"/>
    <w:rsid w:val="05882D65"/>
    <w:rsid w:val="05973F28"/>
    <w:rsid w:val="05B0324A"/>
    <w:rsid w:val="061E35DE"/>
    <w:rsid w:val="066E0107"/>
    <w:rsid w:val="07996F6E"/>
    <w:rsid w:val="07DFD8BA"/>
    <w:rsid w:val="0882700D"/>
    <w:rsid w:val="09867E8F"/>
    <w:rsid w:val="09D83DFE"/>
    <w:rsid w:val="0A2032A3"/>
    <w:rsid w:val="0C547201"/>
    <w:rsid w:val="0C550884"/>
    <w:rsid w:val="0C871385"/>
    <w:rsid w:val="0CA8290A"/>
    <w:rsid w:val="0D35B1ED"/>
    <w:rsid w:val="0D5E3553"/>
    <w:rsid w:val="0D631EEF"/>
    <w:rsid w:val="0D8D3915"/>
    <w:rsid w:val="0E1F7BDE"/>
    <w:rsid w:val="0E254B6B"/>
    <w:rsid w:val="0E3F480A"/>
    <w:rsid w:val="0F503CB0"/>
    <w:rsid w:val="0F98263C"/>
    <w:rsid w:val="0FE4678E"/>
    <w:rsid w:val="10086339"/>
    <w:rsid w:val="101860EC"/>
    <w:rsid w:val="101F47CC"/>
    <w:rsid w:val="10C055FF"/>
    <w:rsid w:val="11694EBD"/>
    <w:rsid w:val="11772AA4"/>
    <w:rsid w:val="118107EC"/>
    <w:rsid w:val="12A165D1"/>
    <w:rsid w:val="12E24EE2"/>
    <w:rsid w:val="12EF4F63"/>
    <w:rsid w:val="13D50BC4"/>
    <w:rsid w:val="14370E88"/>
    <w:rsid w:val="14B17F78"/>
    <w:rsid w:val="165E0673"/>
    <w:rsid w:val="16B831D5"/>
    <w:rsid w:val="16BB723D"/>
    <w:rsid w:val="16FC296F"/>
    <w:rsid w:val="17E50567"/>
    <w:rsid w:val="17F81389"/>
    <w:rsid w:val="186504BB"/>
    <w:rsid w:val="19A445FC"/>
    <w:rsid w:val="1BE8440E"/>
    <w:rsid w:val="1D155CEE"/>
    <w:rsid w:val="1D1638FE"/>
    <w:rsid w:val="1D4F19E5"/>
    <w:rsid w:val="1E312DEB"/>
    <w:rsid w:val="1E740ACF"/>
    <w:rsid w:val="1F420707"/>
    <w:rsid w:val="1FF35744"/>
    <w:rsid w:val="1FF6BC77"/>
    <w:rsid w:val="2186353C"/>
    <w:rsid w:val="22A96695"/>
    <w:rsid w:val="231150AD"/>
    <w:rsid w:val="23860B96"/>
    <w:rsid w:val="240371BF"/>
    <w:rsid w:val="244F3473"/>
    <w:rsid w:val="24C97D99"/>
    <w:rsid w:val="25637F0D"/>
    <w:rsid w:val="25A718F0"/>
    <w:rsid w:val="25BB59F6"/>
    <w:rsid w:val="25F17A14"/>
    <w:rsid w:val="260F557C"/>
    <w:rsid w:val="26970054"/>
    <w:rsid w:val="27EE42F0"/>
    <w:rsid w:val="281408E2"/>
    <w:rsid w:val="29C554FD"/>
    <w:rsid w:val="29FD04D3"/>
    <w:rsid w:val="2BFF7BC6"/>
    <w:rsid w:val="2C8A61B5"/>
    <w:rsid w:val="2D142369"/>
    <w:rsid w:val="2D420523"/>
    <w:rsid w:val="2DC65AC1"/>
    <w:rsid w:val="2DEC1E6D"/>
    <w:rsid w:val="2DF04E50"/>
    <w:rsid w:val="2E586DFA"/>
    <w:rsid w:val="2E71444C"/>
    <w:rsid w:val="2F040D46"/>
    <w:rsid w:val="2F6B035B"/>
    <w:rsid w:val="2FAE5751"/>
    <w:rsid w:val="2FB1A395"/>
    <w:rsid w:val="2FD9A7D8"/>
    <w:rsid w:val="2FDBF714"/>
    <w:rsid w:val="30AB6865"/>
    <w:rsid w:val="319F7F4E"/>
    <w:rsid w:val="32BD1EF1"/>
    <w:rsid w:val="3304709D"/>
    <w:rsid w:val="33A773CB"/>
    <w:rsid w:val="349D6851"/>
    <w:rsid w:val="35066A3B"/>
    <w:rsid w:val="350C1BD2"/>
    <w:rsid w:val="36AA5135"/>
    <w:rsid w:val="36BE0DA7"/>
    <w:rsid w:val="36E27E9F"/>
    <w:rsid w:val="376B6AA6"/>
    <w:rsid w:val="376D39B2"/>
    <w:rsid w:val="37E16F03"/>
    <w:rsid w:val="37F53A3B"/>
    <w:rsid w:val="389B6C89"/>
    <w:rsid w:val="38D469F0"/>
    <w:rsid w:val="39627CCD"/>
    <w:rsid w:val="397BAF1F"/>
    <w:rsid w:val="39A44A75"/>
    <w:rsid w:val="3AB79AF3"/>
    <w:rsid w:val="3AE834C0"/>
    <w:rsid w:val="3B7EF35A"/>
    <w:rsid w:val="3B9FDB6C"/>
    <w:rsid w:val="3BF5BC2F"/>
    <w:rsid w:val="3CEBA265"/>
    <w:rsid w:val="3CFA588B"/>
    <w:rsid w:val="3D98207C"/>
    <w:rsid w:val="3DEE7CF3"/>
    <w:rsid w:val="3E3A1504"/>
    <w:rsid w:val="3E740A63"/>
    <w:rsid w:val="3E78745D"/>
    <w:rsid w:val="3EE17838"/>
    <w:rsid w:val="3F55381A"/>
    <w:rsid w:val="3F7F7599"/>
    <w:rsid w:val="3FF4CAE0"/>
    <w:rsid w:val="3FF7B227"/>
    <w:rsid w:val="40232967"/>
    <w:rsid w:val="41206B0B"/>
    <w:rsid w:val="418D373F"/>
    <w:rsid w:val="439534B7"/>
    <w:rsid w:val="449A12D8"/>
    <w:rsid w:val="44E268DA"/>
    <w:rsid w:val="450D13D7"/>
    <w:rsid w:val="45506656"/>
    <w:rsid w:val="46164604"/>
    <w:rsid w:val="461D3BE5"/>
    <w:rsid w:val="46D149CF"/>
    <w:rsid w:val="46FA0791"/>
    <w:rsid w:val="4748771A"/>
    <w:rsid w:val="48253225"/>
    <w:rsid w:val="486A6C7A"/>
    <w:rsid w:val="4A4045F1"/>
    <w:rsid w:val="4A627F82"/>
    <w:rsid w:val="4B0E749A"/>
    <w:rsid w:val="4B2477C4"/>
    <w:rsid w:val="4B4F25DA"/>
    <w:rsid w:val="4B71624D"/>
    <w:rsid w:val="4BE068DB"/>
    <w:rsid w:val="4CF84A64"/>
    <w:rsid w:val="4D060974"/>
    <w:rsid w:val="4D577224"/>
    <w:rsid w:val="4DBF1CEB"/>
    <w:rsid w:val="4DF0007C"/>
    <w:rsid w:val="4E35277F"/>
    <w:rsid w:val="4EAB630A"/>
    <w:rsid w:val="4EC15F85"/>
    <w:rsid w:val="4ECE2238"/>
    <w:rsid w:val="4F075432"/>
    <w:rsid w:val="4F440434"/>
    <w:rsid w:val="4F833267"/>
    <w:rsid w:val="4FE9BD67"/>
    <w:rsid w:val="4FF26104"/>
    <w:rsid w:val="4FFB052F"/>
    <w:rsid w:val="50E46C80"/>
    <w:rsid w:val="512D64A3"/>
    <w:rsid w:val="51FB4DCB"/>
    <w:rsid w:val="52A1794C"/>
    <w:rsid w:val="537E6D0A"/>
    <w:rsid w:val="53F74C96"/>
    <w:rsid w:val="5449029B"/>
    <w:rsid w:val="54835A65"/>
    <w:rsid w:val="55170BA8"/>
    <w:rsid w:val="553218C9"/>
    <w:rsid w:val="55747088"/>
    <w:rsid w:val="567E1AA5"/>
    <w:rsid w:val="56E47B74"/>
    <w:rsid w:val="57175D52"/>
    <w:rsid w:val="576F626A"/>
    <w:rsid w:val="57BD3DD4"/>
    <w:rsid w:val="597B0EF6"/>
    <w:rsid w:val="5A457E3E"/>
    <w:rsid w:val="5AF92295"/>
    <w:rsid w:val="5B250254"/>
    <w:rsid w:val="5BDD79E6"/>
    <w:rsid w:val="5BF561CA"/>
    <w:rsid w:val="5BFF5DFC"/>
    <w:rsid w:val="5C0276AD"/>
    <w:rsid w:val="5C1B0081"/>
    <w:rsid w:val="5C7E1CB0"/>
    <w:rsid w:val="5CD71FC4"/>
    <w:rsid w:val="5CE802BB"/>
    <w:rsid w:val="5D1F11B5"/>
    <w:rsid w:val="5D695134"/>
    <w:rsid w:val="5DAE1B18"/>
    <w:rsid w:val="5DE7D9E5"/>
    <w:rsid w:val="5E0F1019"/>
    <w:rsid w:val="5EC6509D"/>
    <w:rsid w:val="5ECEC941"/>
    <w:rsid w:val="5F4E5ED3"/>
    <w:rsid w:val="5FBF9FF3"/>
    <w:rsid w:val="5FCD4E2C"/>
    <w:rsid w:val="5FEF394A"/>
    <w:rsid w:val="5FF67715"/>
    <w:rsid w:val="6096034E"/>
    <w:rsid w:val="61194F1E"/>
    <w:rsid w:val="618C0FAF"/>
    <w:rsid w:val="62BF3928"/>
    <w:rsid w:val="635E105A"/>
    <w:rsid w:val="63B3701E"/>
    <w:rsid w:val="64631436"/>
    <w:rsid w:val="647F5392"/>
    <w:rsid w:val="65E66580"/>
    <w:rsid w:val="664B1D71"/>
    <w:rsid w:val="664B4E8E"/>
    <w:rsid w:val="67277B67"/>
    <w:rsid w:val="67372ABC"/>
    <w:rsid w:val="67874F0A"/>
    <w:rsid w:val="67AA3209"/>
    <w:rsid w:val="698D0931"/>
    <w:rsid w:val="6A753740"/>
    <w:rsid w:val="6A7FE5F3"/>
    <w:rsid w:val="6ABB6978"/>
    <w:rsid w:val="6B053271"/>
    <w:rsid w:val="6BCE135A"/>
    <w:rsid w:val="6BDD78B3"/>
    <w:rsid w:val="6C3D028D"/>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349C4"/>
    <w:rsid w:val="712A28F1"/>
    <w:rsid w:val="715C0E4B"/>
    <w:rsid w:val="71992E7C"/>
    <w:rsid w:val="72233669"/>
    <w:rsid w:val="72734D90"/>
    <w:rsid w:val="72AB5F51"/>
    <w:rsid w:val="73160E6D"/>
    <w:rsid w:val="7332FE48"/>
    <w:rsid w:val="73832BA7"/>
    <w:rsid w:val="73AB61DA"/>
    <w:rsid w:val="73AD73D5"/>
    <w:rsid w:val="73B6EB34"/>
    <w:rsid w:val="73FA497D"/>
    <w:rsid w:val="744731E5"/>
    <w:rsid w:val="74BBD01D"/>
    <w:rsid w:val="74DF05F2"/>
    <w:rsid w:val="74ED5379"/>
    <w:rsid w:val="75DEEEC2"/>
    <w:rsid w:val="75E32345"/>
    <w:rsid w:val="75E33C54"/>
    <w:rsid w:val="76E3355F"/>
    <w:rsid w:val="76FF5125"/>
    <w:rsid w:val="776F6FFA"/>
    <w:rsid w:val="778769C8"/>
    <w:rsid w:val="77A75DCA"/>
    <w:rsid w:val="77DC22F5"/>
    <w:rsid w:val="781A7FD5"/>
    <w:rsid w:val="783E271A"/>
    <w:rsid w:val="78616DE9"/>
    <w:rsid w:val="78E875D7"/>
    <w:rsid w:val="79086DAD"/>
    <w:rsid w:val="79611476"/>
    <w:rsid w:val="7978655F"/>
    <w:rsid w:val="798968C0"/>
    <w:rsid w:val="79D7FD79"/>
    <w:rsid w:val="79EE5BA4"/>
    <w:rsid w:val="7A894339"/>
    <w:rsid w:val="7AD284E8"/>
    <w:rsid w:val="7AFF7572"/>
    <w:rsid w:val="7B6C7DFB"/>
    <w:rsid w:val="7BBFBED0"/>
    <w:rsid w:val="7BC3E394"/>
    <w:rsid w:val="7C1F3737"/>
    <w:rsid w:val="7C58535D"/>
    <w:rsid w:val="7CBFC87B"/>
    <w:rsid w:val="7CFE0F48"/>
    <w:rsid w:val="7D272ABC"/>
    <w:rsid w:val="7D7EC23E"/>
    <w:rsid w:val="7D901B99"/>
    <w:rsid w:val="7DAC7021"/>
    <w:rsid w:val="7E8ADEBF"/>
    <w:rsid w:val="7EEF11D3"/>
    <w:rsid w:val="7EFE4840"/>
    <w:rsid w:val="7F0971A6"/>
    <w:rsid w:val="7F1D62E7"/>
    <w:rsid w:val="7F3F679B"/>
    <w:rsid w:val="7F4FC4EF"/>
    <w:rsid w:val="7F5E4D54"/>
    <w:rsid w:val="7F6E0135"/>
    <w:rsid w:val="7F79F205"/>
    <w:rsid w:val="7F7D2A23"/>
    <w:rsid w:val="7FA30C79"/>
    <w:rsid w:val="7FA79C44"/>
    <w:rsid w:val="7FAF8ABF"/>
    <w:rsid w:val="7FB7269E"/>
    <w:rsid w:val="7FC96657"/>
    <w:rsid w:val="7FDA9588"/>
    <w:rsid w:val="7FDF220F"/>
    <w:rsid w:val="7FEDC5F7"/>
    <w:rsid w:val="7FEDD9DE"/>
    <w:rsid w:val="7FF5890D"/>
    <w:rsid w:val="7FF93490"/>
    <w:rsid w:val="99FF2014"/>
    <w:rsid w:val="9A7E8B9C"/>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7F06F2"/>
    <w:rsid w:val="DF7F0A4C"/>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eastAsia="宋体"/>
      <w:sz w:val="21"/>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15654\Desktop\&#26032;&#24314;%20XLSX%20&#24037;&#20316;&#34920;%20(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15654\Desktop\&#26032;&#24314;%20XLSX%20&#24037;&#20316;&#34920;%20(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15654\Desktop\&#26032;&#24314;%20XLSX%20&#24037;&#20316;&#34920;%20(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15654\Desktop\&#26032;&#24314;%20XLSX%20&#24037;&#20316;&#34920;%20(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15654\Desktop\&#26032;&#24314;%20XLSX%20&#24037;&#20316;&#34920;%20(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15654\Desktop\&#26032;&#24314;%20XLSX%20&#24037;&#20316;&#34920;%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图1：收入、支出决算总计变动情况图</a:t>
            </a:r>
          </a:p>
          <a:p>
            <a:pPr defTabSz="914400">
              <a:defRPr lang="zh-CN" sz="1400" b="1" i="0" u="none" strike="noStrike" kern="1200" baseline="0">
                <a:solidFill>
                  <a:schemeClr val="tx1">
                    <a:lumMod val="75000"/>
                    <a:lumOff val="25000"/>
                  </a:schemeClr>
                </a:solidFill>
                <a:latin typeface="+mn-lt"/>
                <a:ea typeface="+mn-ea"/>
                <a:cs typeface="+mn-cs"/>
              </a:defRPr>
            </a:pPr>
            <a:r>
              <a:t>（单位：万元）</a:t>
            </a:r>
          </a:p>
        </c:rich>
      </c:tx>
      <c:layout/>
      <c:overlay val="0"/>
      <c:spPr>
        <a:noFill/>
        <a:ln>
          <a:noFill/>
        </a:ln>
        <a:effectLst/>
      </c:spPr>
    </c:title>
    <c:autoTitleDeleted val="0"/>
    <c:plotArea>
      <c:layout>
        <c:manualLayout>
          <c:layoutTarget val="inner"/>
          <c:xMode val="edge"/>
          <c:yMode val="edge"/>
          <c:x val="0.0688947368421053"/>
          <c:y val="0.254861111111111"/>
          <c:w val="0.900184210526316"/>
          <c:h val="0.5278703703703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(5).xlsx]Sheet1'!$B$2:$C$2</c:f>
              <c:strCache>
                <c:ptCount val="2"/>
                <c:pt idx="0">
                  <c:v>2023年</c:v>
                </c:pt>
                <c:pt idx="1">
                  <c:v>2024年</c:v>
                </c:pt>
              </c:strCache>
            </c:strRef>
          </c:cat>
          <c:val>
            <c:numRef>
              <c:f>'[新建 XLSX 工作表 (5).xlsx]Sheet1'!$B$3:$C$3</c:f>
              <c:numCache>
                <c:formatCode>General</c:formatCode>
                <c:ptCount val="2"/>
                <c:pt idx="0">
                  <c:v>330.69</c:v>
                </c:pt>
                <c:pt idx="1">
                  <c:v>396.96</c:v>
                </c:pt>
              </c:numCache>
            </c:numRef>
          </c:val>
        </c:ser>
        <c:dLbls>
          <c:showLegendKey val="0"/>
          <c:showVal val="1"/>
          <c:showCatName val="0"/>
          <c:showSerName val="0"/>
          <c:showPercent val="0"/>
          <c:showBubbleSize val="0"/>
        </c:dLbls>
        <c:gapWidth val="246"/>
        <c:overlap val="-28"/>
        <c:axId val="445211236"/>
        <c:axId val="161100836"/>
      </c:barChart>
      <c:catAx>
        <c:axId val="4452112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1100836"/>
        <c:crosses val="autoZero"/>
        <c:auto val="1"/>
        <c:lblAlgn val="ctr"/>
        <c:lblOffset val="100"/>
        <c:noMultiLvlLbl val="0"/>
      </c:catAx>
      <c:valAx>
        <c:axId val="161100836"/>
        <c:scaling>
          <c:orientation val="minMax"/>
          <c:max val="400"/>
          <c:min val="3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5211236"/>
        <c:crosses val="autoZero"/>
        <c:crossBetween val="between"/>
        <c:majorUnit val="10"/>
      </c:valAx>
      <c:spPr>
        <a:noFill/>
        <a:ln>
          <a:noFill/>
        </a:ln>
        <a:effectLst/>
      </c:spPr>
    </c:plotArea>
    <c:plotVisOnly val="1"/>
    <c:dispBlanksAs val="gap"/>
    <c:showDLblsOverMax val="0"/>
    <c:extLst>
      <c:ext uri="{0b15fc19-7d7d-44ad-8c2d-2c3a37ce22c3}">
        <chartProps xmlns="https://web.wps.cn/et/2018/main" chartId="{68081838-0638-4f55-bd96-d43f732a3d4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2</a:t>
            </a:r>
            <a:r>
              <a:rPr altLang="en-US"/>
              <a:t>：</a:t>
            </a:r>
            <a:r>
              <a:t>收入决算结构图</a:t>
            </a:r>
          </a:p>
        </c:rich>
      </c:tx>
      <c:layout/>
      <c:overlay val="0"/>
      <c:spPr>
        <a:noFill/>
        <a:ln>
          <a:noFill/>
        </a:ln>
        <a:effectLst/>
      </c:spPr>
    </c:title>
    <c:autoTitleDeleted val="0"/>
    <c:plotArea>
      <c:layout/>
      <c:pieChart>
        <c:varyColors val="1"/>
        <c:ser>
          <c:idx val="0"/>
          <c:order val="0"/>
          <c:tx>
            <c:strRef>
              <c:f>'[新建 XLSX 工作表 (5).xlsx]Sheet1'!$B$2</c:f>
              <c:strCache>
                <c:ptCount val="1"/>
                <c:pt idx="0">
                  <c:v>2024年</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(5).xlsx]Sheet1'!$A$3</c:f>
              <c:strCache>
                <c:ptCount val="1"/>
                <c:pt idx="0">
                  <c:v>一般公共预算财政拨款收入</c:v>
                </c:pt>
              </c:strCache>
            </c:strRef>
          </c:cat>
          <c:val>
            <c:numRef>
              <c:f>'[新建 XLSX 工作表 (5).xlsx]Sheet1'!$B$3</c:f>
              <c:numCache>
                <c:formatCode>General</c:formatCode>
                <c:ptCount val="1"/>
                <c:pt idx="0">
                  <c:v>396.96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7da5cbf-768f-463c-81ba-4aa4017b95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tx>
            <c:strRef>
              <c:f>'[新建 XLSX 工作表 (5).xlsx]Sheet1'!$B$2</c:f>
              <c:strCache>
                <c:ptCount val="1"/>
                <c:pt idx="0">
                  <c:v>2024年</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77%</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23%</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(5).xlsx]Sheet1'!$A$3:$A$4</c:f>
              <c:strCache>
                <c:ptCount val="2"/>
                <c:pt idx="0">
                  <c:v>基本支出</c:v>
                </c:pt>
                <c:pt idx="1">
                  <c:v>项目支出</c:v>
                </c:pt>
              </c:strCache>
            </c:strRef>
          </c:cat>
          <c:val>
            <c:numRef>
              <c:f>'[新建 XLSX 工作表 (5).xlsx]Sheet1'!$B$3:$B$4</c:f>
              <c:numCache>
                <c:formatCode>General</c:formatCode>
                <c:ptCount val="2"/>
                <c:pt idx="0">
                  <c:v>306.41</c:v>
                </c:pt>
                <c:pt idx="1">
                  <c:v>90.55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3adb836-3450-4923-bfcb-b6adf7be278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图4：财政拨款收、支决算总计变动情况</a:t>
            </a:r>
          </a:p>
          <a:p>
            <a:pPr defTabSz="914400">
              <a:defRPr lang="zh-CN" sz="1400" b="1" i="0" u="none" strike="noStrike" kern="1200" baseline="0">
                <a:solidFill>
                  <a:schemeClr val="tx1">
                    <a:lumMod val="75000"/>
                    <a:lumOff val="2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(5).xlsx]Sheet1'!$B$2:$C$2</c:f>
              <c:strCache>
                <c:ptCount val="2"/>
                <c:pt idx="0">
                  <c:v>2023年</c:v>
                </c:pt>
                <c:pt idx="1">
                  <c:v>2024年</c:v>
                </c:pt>
              </c:strCache>
            </c:strRef>
          </c:cat>
          <c:val>
            <c:numRef>
              <c:f>'[新建 XLSX 工作表 (5).xlsx]Sheet1'!$B$3:$C$3</c:f>
              <c:numCache>
                <c:formatCode>General</c:formatCode>
                <c:ptCount val="2"/>
                <c:pt idx="0">
                  <c:v>330.69</c:v>
                </c:pt>
                <c:pt idx="1">
                  <c:v>396.96</c:v>
                </c:pt>
              </c:numCache>
            </c:numRef>
          </c:val>
        </c:ser>
        <c:dLbls>
          <c:showLegendKey val="0"/>
          <c:showVal val="0"/>
          <c:showCatName val="0"/>
          <c:showSerName val="0"/>
          <c:showPercent val="0"/>
          <c:showBubbleSize val="0"/>
        </c:dLbls>
        <c:gapWidth val="246"/>
        <c:overlap val="-28"/>
        <c:axId val="166951207"/>
        <c:axId val="488745377"/>
      </c:barChart>
      <c:catAx>
        <c:axId val="1669512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8745377"/>
        <c:crosses val="autoZero"/>
        <c:auto val="1"/>
        <c:lblAlgn val="ctr"/>
        <c:lblOffset val="100"/>
        <c:noMultiLvlLbl val="0"/>
      </c:catAx>
      <c:valAx>
        <c:axId val="488745377"/>
        <c:scaling>
          <c:orientation val="minMax"/>
          <c:max val="400"/>
          <c:min val="3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6951207"/>
        <c:crosses val="autoZero"/>
        <c:crossBetween val="between"/>
      </c:valAx>
      <c:spPr>
        <a:noFill/>
        <a:ln>
          <a:noFill/>
        </a:ln>
        <a:effectLst/>
      </c:spPr>
    </c:plotArea>
    <c:plotVisOnly val="1"/>
    <c:dispBlanksAs val="gap"/>
    <c:showDLblsOverMax val="0"/>
    <c:extLst>
      <c:ext uri="{0b15fc19-7d7d-44ad-8c2d-2c3a37ce22c3}">
        <chartProps xmlns="https://web.wps.cn/et/2018/main" chartId="{946c2a2e-0a13-4db9-a9db-92b91622fd8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5</a:t>
            </a:r>
            <a:r>
              <a:t>：一般公共预算财政拨款支出决算变动情况（单位：万元）</a:t>
            </a:r>
          </a:p>
        </c:rich>
      </c:tx>
      <c:layout/>
      <c:overlay val="0"/>
      <c:spPr>
        <a:noFill/>
        <a:ln>
          <a:noFill/>
        </a:ln>
        <a:effectLst/>
      </c:spPr>
    </c:title>
    <c:autoTitleDeleted val="0"/>
    <c:plotArea>
      <c:layout>
        <c:manualLayout>
          <c:layoutTarget val="inner"/>
          <c:xMode val="edge"/>
          <c:yMode val="edge"/>
          <c:x val="0.0688947368421053"/>
          <c:y val="0.258333333333333"/>
          <c:w val="0.900184210526316"/>
          <c:h val="0.633194444444445"/>
        </c:manualLayout>
      </c:layout>
      <c:barChart>
        <c:barDir val="col"/>
        <c:grouping val="clustered"/>
        <c:varyColors val="0"/>
        <c:ser>
          <c:idx val="0"/>
          <c:order val="0"/>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(5).xlsx]Sheet1'!$B$2:$C$2</c:f>
              <c:strCache>
                <c:ptCount val="2"/>
                <c:pt idx="0">
                  <c:v>2023年</c:v>
                </c:pt>
                <c:pt idx="1">
                  <c:v>2024年</c:v>
                </c:pt>
              </c:strCache>
            </c:strRef>
          </c:cat>
          <c:val>
            <c:numRef>
              <c:f>'[新建 XLSX 工作表 (5).xlsx]Sheet1'!$B$3:$C$3</c:f>
              <c:numCache>
                <c:formatCode>General</c:formatCode>
                <c:ptCount val="2"/>
                <c:pt idx="0">
                  <c:v>330.69</c:v>
                </c:pt>
                <c:pt idx="1">
                  <c:v>396.96</c:v>
                </c:pt>
              </c:numCache>
            </c:numRef>
          </c:val>
        </c:ser>
        <c:dLbls>
          <c:showLegendKey val="0"/>
          <c:showVal val="0"/>
          <c:showCatName val="0"/>
          <c:showSerName val="0"/>
          <c:showPercent val="0"/>
          <c:showBubbleSize val="0"/>
        </c:dLbls>
        <c:gapWidth val="246"/>
        <c:overlap val="-28"/>
        <c:axId val="166951207"/>
        <c:axId val="488745377"/>
      </c:barChart>
      <c:catAx>
        <c:axId val="1669512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8745377"/>
        <c:crosses val="autoZero"/>
        <c:auto val="1"/>
        <c:lblAlgn val="ctr"/>
        <c:lblOffset val="100"/>
        <c:noMultiLvlLbl val="0"/>
      </c:catAx>
      <c:valAx>
        <c:axId val="488745377"/>
        <c:scaling>
          <c:orientation val="minMax"/>
          <c:max val="400"/>
          <c:min val="3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6951207"/>
        <c:crosses val="autoZero"/>
        <c:crossBetween val="between"/>
      </c:valAx>
      <c:spPr>
        <a:noFill/>
        <a:ln>
          <a:noFill/>
        </a:ln>
        <a:effectLst/>
      </c:spPr>
    </c:plotArea>
    <c:plotVisOnly val="1"/>
    <c:dispBlanksAs val="gap"/>
    <c:showDLblsOverMax val="0"/>
    <c:extLst>
      <c:ext uri="{0b15fc19-7d7d-44ad-8c2d-2c3a37ce22c3}">
        <chartProps xmlns="https://web.wps.cn/et/2018/main" chartId="{7884dd9c-a83f-4c77-905c-3872a8c4b74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(5).xlsx]Sheet1'!$A$3:$A$6</c:f>
              <c:strCache>
                <c:ptCount val="4"/>
                <c:pt idx="0">
                  <c:v>一般公共服务支出</c:v>
                </c:pt>
                <c:pt idx="1">
                  <c:v>社会保障和就业支出</c:v>
                </c:pt>
                <c:pt idx="2">
                  <c:v>卫生健康支出</c:v>
                </c:pt>
                <c:pt idx="3">
                  <c:v>住房保障支出</c:v>
                </c:pt>
              </c:strCache>
            </c:strRef>
          </c:cat>
          <c:val>
            <c:numRef>
              <c:f>'[新建 XLSX 工作表 (5).xlsx]Sheet1'!$B$3:$B$6</c:f>
              <c:numCache>
                <c:formatCode>General</c:formatCode>
                <c:ptCount val="4"/>
                <c:pt idx="0">
                  <c:v>302.01</c:v>
                </c:pt>
                <c:pt idx="1">
                  <c:v>56.08</c:v>
                </c:pt>
                <c:pt idx="2">
                  <c:v>16.91</c:v>
                </c:pt>
                <c:pt idx="3">
                  <c:v>21.96</c:v>
                </c:pt>
              </c:numCache>
            </c:numRef>
          </c:val>
        </c:ser>
        <c:ser>
          <c:idx val="1"/>
          <c:order val="1"/>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 (5).xlsx]Sheet1'!$A$3:$A$6</c:f>
              <c:strCache>
                <c:ptCount val="4"/>
                <c:pt idx="0">
                  <c:v>一般公共服务支出</c:v>
                </c:pt>
                <c:pt idx="1">
                  <c:v>社会保障和就业支出</c:v>
                </c:pt>
                <c:pt idx="2">
                  <c:v>卫生健康支出</c:v>
                </c:pt>
                <c:pt idx="3">
                  <c:v>住房保障支出</c:v>
                </c:pt>
              </c:strCache>
            </c:strRef>
          </c:cat>
          <c:val>
            <c:numRef>
              <c:f>'[新建 XLSX 工作表 (5).xlsx]Sheet1'!$C$3:$C$6</c:f>
              <c:numCache>
                <c:formatCode>General</c:formatCode>
                <c:ptCount val="4"/>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ae07b2-06c8-47c4-a103-5d48c12b5e6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10367</Words>
  <Characters>12100</Characters>
  <Lines>61</Lines>
  <Paragraphs>17</Paragraphs>
  <TotalTime>8</TotalTime>
  <ScaleCrop>false</ScaleCrop>
  <LinksUpToDate>false</LinksUpToDate>
  <CharactersWithSpaces>12119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毛应干</cp:lastModifiedBy>
  <cp:lastPrinted>2025-08-07T01:34:00Z</cp:lastPrinted>
  <dcterms:modified xsi:type="dcterms:W3CDTF">2025-09-18T10:10:52Z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eyJoZGlkIjoiMGZiZTE5Y2YxZDQ3MWY3MzE4NGI5MDA0ODM2MGU3YjYiLCJ1c2VySWQiOiIxNjQ4NTc2MDA3In0=</vt:lpwstr>
  </property>
</Properties>
</file>