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D9A88">
      <w:pPr>
        <w:ind w:firstLine="685"/>
        <w:jc w:val="center"/>
        <w:rPr>
          <w:rFonts w:ascii="Times New Roman" w:hAnsi="Times New Roman" w:eastAsia="方正小标宋_GBK" w:cs="Times New Roman"/>
          <w:color w:val="FF0000"/>
          <w:w w:val="75"/>
          <w:sz w:val="32"/>
          <w:szCs w:val="32"/>
        </w:rPr>
      </w:pPr>
    </w:p>
    <w:p w14:paraId="05FFF105">
      <w:pPr>
        <w:spacing w:line="7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攀枝花市仁和区民政局</w:t>
      </w:r>
    </w:p>
    <w:p w14:paraId="583912E6">
      <w:pPr>
        <w:spacing w:line="7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w:t>
      </w:r>
      <w:r>
        <w:rPr>
          <w:rFonts w:hint="eastAsia" w:ascii="方正小标宋_GBK" w:hAnsi="方正小标宋_GBK" w:eastAsia="方正小标宋_GBK" w:cs="方正小标宋_GBK"/>
          <w:bCs/>
          <w:sz w:val="44"/>
          <w:szCs w:val="44"/>
          <w:lang w:eastAsia="zh-CN"/>
        </w:rPr>
        <w:t>攀枝花市仁和区阳春肉兔养殖专业协会</w:t>
      </w:r>
      <w:r>
        <w:rPr>
          <w:rFonts w:hint="eastAsia" w:ascii="方正小标宋_GBK" w:hAnsi="方正小标宋_GBK" w:eastAsia="方正小标宋_GBK" w:cs="方正小标宋_GBK"/>
          <w:bCs/>
          <w:sz w:val="44"/>
          <w:szCs w:val="44"/>
          <w:lang w:val="en-US" w:eastAsia="zh-CN"/>
        </w:rPr>
        <w:t>撤销登记的</w:t>
      </w:r>
      <w:r>
        <w:rPr>
          <w:rFonts w:hint="eastAsia" w:ascii="方正小标宋_GBK" w:hAnsi="方正小标宋_GBK" w:eastAsia="方正小标宋_GBK" w:cs="方正小标宋_GBK"/>
          <w:bCs/>
          <w:sz w:val="44"/>
          <w:szCs w:val="44"/>
        </w:rPr>
        <w:t>行政许可决定书</w:t>
      </w:r>
    </w:p>
    <w:p w14:paraId="4935C125">
      <w:pPr>
        <w:jc w:val="center"/>
        <w:rPr>
          <w:rFonts w:ascii="Times New Roman" w:hAnsi="Times New Roman" w:eastAsia="仿宋_GB2312" w:cs="Times New Roman"/>
          <w:bCs/>
          <w:sz w:val="32"/>
          <w:szCs w:val="32"/>
        </w:rPr>
      </w:pPr>
    </w:p>
    <w:p w14:paraId="0432027F">
      <w:pPr>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攀枝花市仁和区阳春肉兔养殖专业协会:</w:t>
      </w:r>
    </w:p>
    <w:p w14:paraId="2A29F997">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本机关于2025年5月6日对你单位未按照规定参加2023年年度检查立案调查。经调查，截至2025年5月6日，你单位未按照规定参加2021年、2022年2023年年度检查。以上事实有《攀枝花市仁和区民政局关于开展2021年度全区性社会组织年度报告年度检查工作的通知》《攀枝花市仁和区民政局关于全区性社会组织2021年度年检结果的公告》《攀枝花市仁和区民政局关于开展2022年度全区性社会组织年度报告年度检查工作的通知》《攀枝花市仁和区民政局关于全区性社会组织2022年度年检结果的公告》转发《四川省民政厅办公室关于开展2023年度社会组织年报年检工作的通知》的通知《攀枝花市仁和区民政局关于全区性社会组织2023年度年检结果的公告》等证据证实。上述行为违反了《社会团体登记管理条例》第二十八条第一款“社会团体应当于每年3月31日前向业务主管单位报送上一年度的工作报告，经业务主管单位初审同意后，于5月31日前报送登记管理机关，接受年度检查”的规定。</w:t>
      </w:r>
    </w:p>
    <w:p w14:paraId="00F4652B">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根据《社会团体登记管理条例》第三十条第一款“社会团体有下列情形之一的，由登记管理机关给予警告，责令改正，可以限期停止活动，并可以责令撤换直接负责的主管人员;情节严重的，予以撤销登记;构成犯罪的，依法追究刑事责任”第三项“拒不接受或者不按照规定接受监督检查的”和《四川省民政系统行政处罚裁量标准》中社会团体拒不接受或者不按照规定接受监督检查的处罚裁量标准“拒不接受监督检查的，予以撤销登记”规定，本机关决定对你单位作出撤销登记的行政处罚。</w:t>
      </w:r>
    </w:p>
    <w:p w14:paraId="7980B735">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按照《社会组织登记管理机关行政处罚程序规定》第三十九条“登记管理机关对社会组织作出撤销登记或者吊销登记证书的处罚决定的，应当收缴登记证书(含正本、副本)和印章”的规定,请你单位自收到本决定书之日起5日内将登记证书(含正本副本)和印章送交本机关。</w:t>
      </w:r>
    </w:p>
    <w:p w14:paraId="41B661D7">
      <w:pPr>
        <w:ind w:firstLine="684" w:firstLineChars="200"/>
        <w:jc w:val="both"/>
        <w:rPr>
          <w:rFonts w:hint="eastAsia" w:ascii="仿宋_GB2312" w:hAnsi="仿宋_GB2312" w:eastAsia="仿宋_GB2312" w:cs="仿宋_GB2312"/>
          <w:snapToGrid/>
          <w:spacing w:val="0"/>
          <w:w w:val="100"/>
          <w:position w:val="0"/>
          <w:sz w:val="32"/>
          <w:szCs w:val="32"/>
          <w:lang w:val="en-US" w:eastAsia="zh-CN"/>
        </w:rPr>
      </w:pPr>
      <w:r>
        <w:rPr>
          <w:rFonts w:hint="eastAsia" w:ascii="仿宋_GB2312" w:hAnsi="仿宋_GB2312" w:eastAsia="仿宋_GB2312" w:cs="仿宋_GB2312"/>
          <w:snapToGrid/>
          <w:spacing w:val="0"/>
          <w:w w:val="100"/>
          <w:position w:val="0"/>
          <w:sz w:val="32"/>
          <w:szCs w:val="32"/>
          <w:lang w:val="en-US" w:eastAsia="zh-CN"/>
        </w:rPr>
        <w:t>你单位如不服本处罚决定，可以自收到本决定书之日起60日内向攀枝花市人民政府或者四川省民政厅申请行政复议，也可以自收到本决定书之日起6个月内依法向攀枝花市中级人民法院提起行政诉讼。</w:t>
      </w:r>
    </w:p>
    <w:p w14:paraId="7FE549D0">
      <w:pPr>
        <w:jc w:val="both"/>
        <w:rPr>
          <w:rFonts w:hint="eastAsia" w:ascii="仿宋_GB2312" w:hAnsi="仿宋_GB2312" w:eastAsia="仿宋_GB2312" w:cs="仿宋_GB2312"/>
          <w:snapToGrid/>
          <w:spacing w:val="0"/>
          <w:w w:val="100"/>
          <w:position w:val="0"/>
          <w:sz w:val="32"/>
          <w:szCs w:val="32"/>
          <w:lang w:val="en-US" w:eastAsia="zh-CN"/>
        </w:rPr>
      </w:pPr>
    </w:p>
    <w:p w14:paraId="0A521CA7">
      <w:pPr>
        <w:jc w:val="both"/>
        <w:rPr>
          <w:rFonts w:hint="eastAsia" w:ascii="Times New Roman" w:hAnsi="Times New Roman" w:eastAsia="仿宋_GB2312" w:cs="Times New Roman"/>
          <w:sz w:val="32"/>
          <w:szCs w:val="32"/>
        </w:rPr>
      </w:pPr>
      <w:r>
        <w:rPr>
          <w:rFonts w:hint="eastAsia" w:ascii="仿宋_GB2312" w:hAnsi="仿宋_GB2312" w:eastAsia="仿宋_GB2312" w:cs="仿宋_GB2312"/>
          <w:snapToGrid/>
          <w:spacing w:val="0"/>
          <w:w w:val="100"/>
          <w:position w:val="0"/>
          <w:sz w:val="32"/>
          <w:szCs w:val="32"/>
          <w:lang w:val="en-US" w:eastAsia="zh-CN"/>
        </w:rPr>
        <w:t>附件:送达回执</w:t>
      </w:r>
    </w:p>
    <w:p w14:paraId="3C8FE5EE">
      <w:pPr>
        <w:ind w:firstLine="684" w:firstLineChars="200"/>
        <w:jc w:val="center"/>
        <w:rPr>
          <w:rFonts w:hint="eastAsia" w:ascii="Times New Roman" w:hAnsi="Times New Roman" w:eastAsia="仿宋_GB2312" w:cs="Times New Roman"/>
          <w:sz w:val="32"/>
          <w:szCs w:val="32"/>
        </w:rPr>
      </w:pPr>
    </w:p>
    <w:p w14:paraId="302963E4">
      <w:pPr>
        <w:ind w:firstLine="684" w:firstLineChars="200"/>
        <w:jc w:val="center"/>
        <w:rPr>
          <w:rFonts w:hint="eastAsia" w:ascii="Times New Roman" w:hAnsi="Times New Roman" w:eastAsia="仿宋_GB2312" w:cs="Times New Roman"/>
          <w:sz w:val="32"/>
          <w:szCs w:val="32"/>
        </w:rPr>
      </w:pPr>
    </w:p>
    <w:p w14:paraId="2B6F33B9">
      <w:pPr>
        <w:ind w:firstLine="684" w:firstLineChars="200"/>
        <w:jc w:val="center"/>
        <w:rPr>
          <w:rFonts w:hint="eastAsia" w:ascii="Times New Roman" w:hAnsi="Times New Roman" w:eastAsia="仿宋_GB2312" w:cs="Times New Roman"/>
          <w:sz w:val="32"/>
          <w:szCs w:val="32"/>
        </w:rPr>
      </w:pPr>
    </w:p>
    <w:p w14:paraId="1DACB008">
      <w:pPr>
        <w:ind w:firstLine="684"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攀枝花市仁和区民政局</w:t>
      </w:r>
    </w:p>
    <w:p w14:paraId="6CBB1B3B">
      <w:pPr>
        <w:ind w:firstLine="684" w:firstLineChars="200"/>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2025年</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w:t>
      </w:r>
    </w:p>
    <w:p w14:paraId="0EF386AA">
      <w:pPr>
        <w:ind w:firstLine="684" w:firstLineChars="200"/>
        <w:jc w:val="center"/>
        <w:rPr>
          <w:rFonts w:hint="eastAsia" w:ascii="Times New Roman" w:hAnsi="Times New Roman" w:eastAsia="仿宋_GB2312" w:cs="Times New Roman"/>
          <w:sz w:val="32"/>
          <w:szCs w:val="32"/>
        </w:rPr>
      </w:pPr>
    </w:p>
    <w:p w14:paraId="345B5D42">
      <w:pPr>
        <w:ind w:firstLine="684" w:firstLineChars="200"/>
        <w:jc w:val="center"/>
        <w:rPr>
          <w:rFonts w:hint="eastAsia" w:ascii="Times New Roman" w:hAnsi="Times New Roman" w:eastAsia="仿宋_GB2312" w:cs="Times New Roman"/>
          <w:sz w:val="32"/>
          <w:szCs w:val="32"/>
        </w:rPr>
      </w:pPr>
    </w:p>
    <w:p w14:paraId="5D795639">
      <w:pPr>
        <w:jc w:val="both"/>
        <w:rPr>
          <w:rFonts w:hint="eastAsia" w:ascii="Times New Roman" w:hAnsi="Times New Roman" w:eastAsia="仿宋_GB2312" w:cs="Times New Roman"/>
          <w:sz w:val="32"/>
          <w:szCs w:val="32"/>
        </w:rPr>
      </w:pPr>
    </w:p>
    <w:p w14:paraId="0BEEA4B9">
      <w:pPr>
        <w:jc w:val="both"/>
        <w:rPr>
          <w:rFonts w:hint="eastAsia" w:ascii="Times New Roman" w:hAnsi="Times New Roman" w:eastAsia="仿宋_GB2312" w:cs="Times New Roman"/>
          <w:sz w:val="32"/>
          <w:szCs w:val="32"/>
        </w:rPr>
      </w:pPr>
    </w:p>
    <w:p w14:paraId="55626D8E">
      <w:pPr>
        <w:ind w:firstLine="684" w:firstLineChars="200"/>
        <w:jc w:val="center"/>
        <w:rPr>
          <w:rFonts w:hint="eastAsia" w:ascii="Times New Roman" w:hAnsi="Times New Roman" w:eastAsia="仿宋_GB2312" w:cs="Times New Roman"/>
          <w:sz w:val="32"/>
          <w:szCs w:val="32"/>
        </w:rPr>
      </w:pPr>
    </w:p>
    <w:p w14:paraId="594D7A63">
      <w:pPr>
        <w:ind w:firstLine="684" w:firstLineChars="200"/>
        <w:jc w:val="center"/>
        <w:rPr>
          <w:rFonts w:hint="eastAsia" w:ascii="Times New Roman" w:hAnsi="Times New Roman" w:eastAsia="仿宋_GB2312" w:cs="Times New Roman"/>
          <w:sz w:val="32"/>
          <w:szCs w:val="32"/>
        </w:rPr>
      </w:pPr>
    </w:p>
    <w:p w14:paraId="168A7C22">
      <w:pPr>
        <w:ind w:firstLine="684" w:firstLineChars="200"/>
        <w:jc w:val="center"/>
        <w:rPr>
          <w:rFonts w:hint="eastAsia" w:ascii="Times New Roman" w:hAnsi="Times New Roman" w:eastAsia="仿宋_GB2312" w:cs="Times New Roman"/>
          <w:sz w:val="32"/>
          <w:szCs w:val="32"/>
        </w:rPr>
      </w:pPr>
      <w:bookmarkStart w:id="0" w:name="_GoBack"/>
      <w:bookmarkEnd w:id="0"/>
    </w:p>
    <w:p w14:paraId="1D1E14A3">
      <w:pPr>
        <w:ind w:firstLine="684" w:firstLineChars="200"/>
        <w:jc w:val="center"/>
        <w:rPr>
          <w:rFonts w:hint="eastAsia" w:ascii="Times New Roman" w:hAnsi="Times New Roman" w:eastAsia="仿宋_GB2312" w:cs="Times New Roman"/>
          <w:sz w:val="32"/>
          <w:szCs w:val="32"/>
        </w:rPr>
      </w:pPr>
    </w:p>
    <w:p w14:paraId="291BAA16">
      <w:pPr>
        <w:ind w:firstLine="684" w:firstLineChars="200"/>
        <w:jc w:val="center"/>
        <w:rPr>
          <w:rFonts w:hint="eastAsia" w:ascii="Times New Roman" w:hAnsi="Times New Roman" w:eastAsia="仿宋_GB2312" w:cs="Times New Roman"/>
          <w:sz w:val="32"/>
          <w:szCs w:val="32"/>
        </w:rPr>
      </w:pPr>
    </w:p>
    <w:p w14:paraId="27479ADE">
      <w:pPr>
        <w:ind w:firstLine="684" w:firstLineChars="200"/>
        <w:jc w:val="center"/>
        <w:rPr>
          <w:rFonts w:hint="eastAsia" w:ascii="Times New Roman" w:hAnsi="Times New Roman" w:eastAsia="仿宋_GB2312" w:cs="Times New Roman"/>
          <w:sz w:val="32"/>
          <w:szCs w:val="32"/>
        </w:rPr>
      </w:pPr>
    </w:p>
    <w:p w14:paraId="7DE91246">
      <w:pPr>
        <w:ind w:firstLine="684" w:firstLineChars="200"/>
        <w:jc w:val="center"/>
        <w:rPr>
          <w:rFonts w:hint="eastAsia" w:ascii="Times New Roman" w:hAnsi="Times New Roman" w:eastAsia="仿宋_GB2312" w:cs="Times New Roman"/>
          <w:sz w:val="32"/>
          <w:szCs w:val="32"/>
        </w:rPr>
      </w:pPr>
    </w:p>
    <w:p w14:paraId="7525435D">
      <w:pPr>
        <w:ind w:firstLine="684" w:firstLineChars="200"/>
        <w:jc w:val="center"/>
        <w:rPr>
          <w:rFonts w:hint="eastAsia" w:ascii="Times New Roman" w:hAnsi="Times New Roman" w:eastAsia="仿宋_GB2312" w:cs="Times New Roman"/>
          <w:sz w:val="32"/>
          <w:szCs w:val="32"/>
        </w:rPr>
      </w:pPr>
    </w:p>
    <w:p w14:paraId="3368F6A5">
      <w:pPr>
        <w:ind w:firstLine="684" w:firstLineChars="200"/>
        <w:jc w:val="center"/>
        <w:rPr>
          <w:rFonts w:hint="eastAsia" w:ascii="Times New Roman" w:hAnsi="Times New Roman" w:eastAsia="仿宋_GB2312" w:cs="Times New Roman"/>
          <w:sz w:val="32"/>
          <w:szCs w:val="32"/>
        </w:rPr>
      </w:pPr>
    </w:p>
    <w:p w14:paraId="12CF9D99">
      <w:pPr>
        <w:ind w:firstLine="684" w:firstLineChars="200"/>
        <w:jc w:val="center"/>
        <w:rPr>
          <w:rFonts w:hint="eastAsia" w:ascii="Times New Roman" w:hAnsi="Times New Roman" w:eastAsia="仿宋_GB2312" w:cs="Times New Roman"/>
          <w:sz w:val="32"/>
          <w:szCs w:val="32"/>
        </w:rPr>
      </w:pPr>
    </w:p>
    <w:p w14:paraId="69335E03">
      <w:pPr>
        <w:ind w:firstLine="684" w:firstLineChars="200"/>
        <w:jc w:val="center"/>
        <w:rPr>
          <w:rFonts w:hint="eastAsia" w:ascii="Times New Roman" w:hAnsi="Times New Roman" w:eastAsia="仿宋_GB2312" w:cs="Times New Roman"/>
          <w:sz w:val="32"/>
          <w:szCs w:val="32"/>
        </w:rPr>
      </w:pPr>
    </w:p>
    <w:p w14:paraId="59F00144">
      <w:pPr>
        <w:ind w:firstLine="684" w:firstLineChars="200"/>
        <w:jc w:val="center"/>
        <w:rPr>
          <w:rFonts w:hint="eastAsia" w:ascii="Times New Roman" w:hAnsi="Times New Roman" w:eastAsia="仿宋_GB2312" w:cs="Times New Roman"/>
          <w:sz w:val="32"/>
          <w:szCs w:val="32"/>
        </w:rPr>
      </w:pPr>
    </w:p>
    <w:p w14:paraId="3E8BD7B2">
      <w:pPr>
        <w:ind w:firstLine="684" w:firstLineChars="200"/>
        <w:jc w:val="center"/>
        <w:rPr>
          <w:rFonts w:hint="eastAsia" w:ascii="Times New Roman" w:hAnsi="Times New Roman" w:eastAsia="仿宋_GB2312" w:cs="Times New Roman"/>
          <w:sz w:val="32"/>
          <w:szCs w:val="32"/>
        </w:rPr>
      </w:pPr>
    </w:p>
    <w:p w14:paraId="22376FD8">
      <w:pPr>
        <w:ind w:firstLine="684" w:firstLineChars="200"/>
        <w:jc w:val="center"/>
        <w:rPr>
          <w:rFonts w:hint="eastAsia" w:ascii="Times New Roman" w:hAnsi="Times New Roman" w:eastAsia="仿宋_GB2312" w:cs="Times New Roman"/>
          <w:sz w:val="32"/>
          <w:szCs w:val="32"/>
        </w:rPr>
      </w:pPr>
    </w:p>
    <w:p w14:paraId="638FC01A">
      <w:pPr>
        <w:pStyle w:val="3"/>
        <w:rPr>
          <w:rFonts w:ascii="Times New Roman" w:hAnsi="Times New Roman" w:eastAsia="仿宋_GB2312" w:cs="Times New Roman"/>
          <w:sz w:val="30"/>
          <w:szCs w:val="30"/>
        </w:rPr>
        <w:sectPr>
          <w:footerReference r:id="rId3" w:type="default"/>
          <w:pgSz w:w="11906" w:h="16838"/>
          <w:pgMar w:top="2098" w:right="1474" w:bottom="1984" w:left="1587" w:header="851" w:footer="1701" w:gutter="0"/>
          <w:pgNumType w:fmt="numberInDash"/>
          <w:cols w:space="0" w:num="1"/>
          <w:rtlGutter w:val="0"/>
          <w:docGrid w:type="linesAndChars" w:linePitch="579" w:charSpace="4661"/>
        </w:sectPr>
      </w:pPr>
    </w:p>
    <w:p w14:paraId="2129851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67970644">
      <w:pPr>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4119880</wp:posOffset>
                </wp:positionH>
                <wp:positionV relativeFrom="paragraph">
                  <wp:posOffset>212725</wp:posOffset>
                </wp:positionV>
                <wp:extent cx="10795" cy="4448810"/>
                <wp:effectExtent l="6350" t="0" r="20955" b="0"/>
                <wp:wrapNone/>
                <wp:docPr id="3" name="直接连接符 3"/>
                <wp:cNvGraphicFramePr/>
                <a:graphic xmlns:a="http://schemas.openxmlformats.org/drawingml/2006/main">
                  <a:graphicData uri="http://schemas.microsoft.com/office/word/2010/wordprocessingShape">
                    <wps:wsp>
                      <wps:cNvCnPr/>
                      <wps:spPr>
                        <a:xfrm>
                          <a:off x="5379720" y="1588135"/>
                          <a:ext cx="10795" cy="4448810"/>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24.4pt;margin-top:16.75pt;height:350.3pt;width:0.85pt;z-index:251660288;mso-width-relative:page;mso-height-relative:page;" filled="f" stroked="t" coordsize="21600,21600" o:gfxdata="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f65wNoAAAAKAQAADwAAAAAAAAABACAAAAAiAAAAZHJzL2Rvd25yZXYueG1s&#10;UEsBAhQAFAAAAAgAh07iQKINIKj2AQAAwQMAAA4AAAAAAAAAAQAgAAAAKQEAAGRycy9lMm9Eb2Mu&#10;eG1sUEsFBgAAAAAGAAYAWQEAAJEFAAAAAA==&#10;">
                <v:fill on="f" focussize="0,0"/>
                <v:stroke weight="1pt" color="#000000 [3213]" miterlimit="8" joinstyle="miter" dashstyle="dash"/>
                <v:imagedata o:title=""/>
                <o:lock v:ext="edit" aspectratio="f"/>
              </v:line>
            </w:pict>
          </mc:Fallback>
        </mc:AlternateContent>
      </w:r>
      <w:r>
        <w:rPr>
          <w:rFonts w:hint="eastAsia" w:ascii="仿宋_GB2312" w:hAnsi="仿宋_GB2312" w:eastAsia="仿宋_GB2312" w:cs="仿宋_GB2312"/>
          <w:sz w:val="32"/>
          <w:szCs w:val="32"/>
          <w:lang w:val="en-US" w:eastAsia="zh-CN"/>
        </w:rPr>
        <w:t xml:space="preserve">                                      </w:t>
      </w:r>
    </w:p>
    <w:p w14:paraId="4065073A">
      <w:pPr>
        <w:ind w:firstLine="1386" w:firstLineChars="300"/>
        <w:rPr>
          <w:rFonts w:hint="default"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val="en-US" w:eastAsia="zh-CN"/>
        </w:rPr>
        <w:t>送达回执（存根）              送达回执（正本）</w:t>
      </w:r>
    </w:p>
    <w:p w14:paraId="135FC810">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送达文件清单：                        送达文件清单：</w:t>
      </w:r>
    </w:p>
    <w:p w14:paraId="7CE04D57">
      <w:pPr>
        <w:ind w:firstLine="684"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攀枝花市仁和区阳春肉兔养殖专业协会 攀枝花市仁和区阳春肉兔养殖专业协会</w:t>
      </w:r>
    </w:p>
    <w:p w14:paraId="0537A0C9">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《行政处罚决定书》                     《行政处罚决定书》</w:t>
      </w:r>
    </w:p>
    <w:p w14:paraId="24AC31BC">
      <w:pPr>
        <w:rPr>
          <w:rFonts w:hint="eastAsia" w:ascii="仿宋_GB2312" w:hAnsi="仿宋_GB2312" w:eastAsia="仿宋_GB2312" w:cs="仿宋_GB2312"/>
          <w:sz w:val="32"/>
          <w:szCs w:val="32"/>
          <w:lang w:val="en-US" w:eastAsia="zh-CN"/>
        </w:rPr>
      </w:pPr>
    </w:p>
    <w:p w14:paraId="269EBD97">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送文机关：攀枝花市仁和区民政局          送文机关：攀枝花市仁和区民政局</w:t>
      </w:r>
    </w:p>
    <w:p w14:paraId="1F65ABCC">
      <w:pPr>
        <w:rPr>
          <w:rFonts w:hint="eastAsia" w:ascii="仿宋_GB2312" w:hAnsi="仿宋_GB2312" w:eastAsia="仿宋_GB2312" w:cs="仿宋_GB2312"/>
          <w:sz w:val="32"/>
          <w:szCs w:val="32"/>
          <w:lang w:val="en-US" w:eastAsia="zh-CN"/>
        </w:rPr>
      </w:pPr>
    </w:p>
    <w:p w14:paraId="02F8672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收件人：                                收件人：</w:t>
      </w:r>
    </w:p>
    <w:p w14:paraId="6704FADF">
      <w:pPr>
        <w:ind w:firstLine="2736" w:firstLineChars="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                           年   月   日</w:t>
      </w:r>
    </w:p>
    <w:p w14:paraId="38351679">
      <w:pPr>
        <w:keepNext w:val="0"/>
        <w:keepLines w:val="0"/>
        <w:pageBreakBefore w:val="0"/>
        <w:widowControl w:val="0"/>
        <w:kinsoku/>
        <w:wordWrap/>
        <w:overflowPunct/>
        <w:topLinePunct w:val="0"/>
        <w:autoSpaceDE/>
        <w:autoSpaceDN/>
        <w:bidi w:val="0"/>
        <w:adjustRightInd/>
        <w:snapToGrid/>
        <w:ind w:left="-232" w:leftChars="-100" w:right="-232" w:rightChars="-100"/>
        <w:textAlignment w:val="auto"/>
        <w:rPr>
          <w:rFonts w:hint="default" w:ascii="Times New Roman" w:hAnsi="Times New Roman" w:eastAsia="仿宋_GB2312" w:cs="Times New Roman"/>
          <w:sz w:val="30"/>
          <w:szCs w:val="30"/>
          <w:lang w:val="en-US" w:eastAsia="zh-CN"/>
        </w:rPr>
      </w:pPr>
      <w:r>
        <w:rPr>
          <w:rFonts w:hint="default" w:ascii="仿宋_GB2312" w:hAnsi="仿宋_GB2312" w:eastAsia="仿宋_GB2312" w:cs="仿宋_GB2312"/>
          <w:sz w:val="28"/>
          <w:szCs w:val="28"/>
          <w:lang w:val="en-US" w:eastAsia="zh-CN"/>
        </w:rPr>
        <w:t>(本存根一式二份，一份收件人保存，一份存档)</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8"/>
          <w:szCs w:val="28"/>
          <w:lang w:val="en-US" w:eastAsia="zh-CN"/>
        </w:rPr>
        <w:t>(本存根一式二份，一份收件人保存，一份存档)</w:t>
      </w:r>
    </w:p>
    <w:sectPr>
      <w:pgSz w:w="16838" w:h="11906" w:orient="landscape"/>
      <w:pgMar w:top="1587" w:right="2098" w:bottom="1474" w:left="1984" w:header="851" w:footer="1701" w:gutter="0"/>
      <w:pgNumType w:fmt="numberInDash"/>
      <w:cols w:space="0" w:num="1"/>
      <w:rtlGutter w:val="0"/>
      <w:docGrid w:type="linesAndChars" w:linePitch="579"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9408">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DA36EE">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0DA36EE">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dit="readOnly" w:enforcement="0"/>
  <w:defaultTabStop w:val="420"/>
  <w:drawingGridHorizontalSpacing w:val="116"/>
  <w:drawingGridVerticalSpacing w:val="2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ZDYwMTYwOTE1NmE5ZGJiNTMxMjZiNTY5YTQ2NTYifQ=="/>
    <w:docVar w:name="KGWebUrl" w:val="http://10.3.1.25:80/seeyon/officeservlet"/>
  </w:docVars>
  <w:rsids>
    <w:rsidRoot w:val="06D67566"/>
    <w:rsid w:val="00033A8C"/>
    <w:rsid w:val="002B6977"/>
    <w:rsid w:val="00344687"/>
    <w:rsid w:val="00393719"/>
    <w:rsid w:val="006741AD"/>
    <w:rsid w:val="006E2793"/>
    <w:rsid w:val="00941013"/>
    <w:rsid w:val="00A30223"/>
    <w:rsid w:val="00AF191E"/>
    <w:rsid w:val="00B434DE"/>
    <w:rsid w:val="00DA5350"/>
    <w:rsid w:val="00E903C2"/>
    <w:rsid w:val="0156352C"/>
    <w:rsid w:val="05071CDB"/>
    <w:rsid w:val="05997E8B"/>
    <w:rsid w:val="06D67566"/>
    <w:rsid w:val="073D07B2"/>
    <w:rsid w:val="07476BD7"/>
    <w:rsid w:val="0BFB5631"/>
    <w:rsid w:val="112D475D"/>
    <w:rsid w:val="126068E9"/>
    <w:rsid w:val="128F00C6"/>
    <w:rsid w:val="13BF1404"/>
    <w:rsid w:val="142B4CEC"/>
    <w:rsid w:val="14B73B0A"/>
    <w:rsid w:val="15750868"/>
    <w:rsid w:val="18D609DF"/>
    <w:rsid w:val="194778B3"/>
    <w:rsid w:val="1B426E72"/>
    <w:rsid w:val="1DA03128"/>
    <w:rsid w:val="1F837179"/>
    <w:rsid w:val="209B47F2"/>
    <w:rsid w:val="21AB746C"/>
    <w:rsid w:val="22D078A5"/>
    <w:rsid w:val="233401E8"/>
    <w:rsid w:val="23DF164F"/>
    <w:rsid w:val="241C0D91"/>
    <w:rsid w:val="246E1E7E"/>
    <w:rsid w:val="24AD74DF"/>
    <w:rsid w:val="24D85AD1"/>
    <w:rsid w:val="25AB620C"/>
    <w:rsid w:val="26B74AE5"/>
    <w:rsid w:val="283D6944"/>
    <w:rsid w:val="28B84EBF"/>
    <w:rsid w:val="28BE5C95"/>
    <w:rsid w:val="296C5733"/>
    <w:rsid w:val="2C0C433B"/>
    <w:rsid w:val="2EB45BB2"/>
    <w:rsid w:val="2F480E11"/>
    <w:rsid w:val="304821C7"/>
    <w:rsid w:val="31184D96"/>
    <w:rsid w:val="31E43F0A"/>
    <w:rsid w:val="321A3C0D"/>
    <w:rsid w:val="348A46FB"/>
    <w:rsid w:val="39574263"/>
    <w:rsid w:val="3A6B25EE"/>
    <w:rsid w:val="3AAF722D"/>
    <w:rsid w:val="3BF25DB5"/>
    <w:rsid w:val="40F62E71"/>
    <w:rsid w:val="41F34A1B"/>
    <w:rsid w:val="42024213"/>
    <w:rsid w:val="43E02859"/>
    <w:rsid w:val="46776E49"/>
    <w:rsid w:val="49F201ED"/>
    <w:rsid w:val="4F3F1C8A"/>
    <w:rsid w:val="4F9D6CFD"/>
    <w:rsid w:val="51416525"/>
    <w:rsid w:val="523E2827"/>
    <w:rsid w:val="5249090B"/>
    <w:rsid w:val="53582749"/>
    <w:rsid w:val="56B04601"/>
    <w:rsid w:val="57641A8E"/>
    <w:rsid w:val="5B9B13DC"/>
    <w:rsid w:val="5C3B496D"/>
    <w:rsid w:val="5C444D3E"/>
    <w:rsid w:val="5C4C2388"/>
    <w:rsid w:val="5D820C77"/>
    <w:rsid w:val="5E144D1D"/>
    <w:rsid w:val="5F0F400D"/>
    <w:rsid w:val="602404C9"/>
    <w:rsid w:val="61497B2C"/>
    <w:rsid w:val="62FA6378"/>
    <w:rsid w:val="68FD194E"/>
    <w:rsid w:val="693B433B"/>
    <w:rsid w:val="6A87274A"/>
    <w:rsid w:val="6B5A238A"/>
    <w:rsid w:val="6B822719"/>
    <w:rsid w:val="6BAB6EB5"/>
    <w:rsid w:val="6CB47072"/>
    <w:rsid w:val="6DC17F52"/>
    <w:rsid w:val="6DFC40F9"/>
    <w:rsid w:val="70D63413"/>
    <w:rsid w:val="72033A0C"/>
    <w:rsid w:val="72A55D04"/>
    <w:rsid w:val="761E64FF"/>
    <w:rsid w:val="78D23F5A"/>
    <w:rsid w:val="7C7E46D6"/>
    <w:rsid w:val="7D5A7102"/>
    <w:rsid w:val="7DD57FE1"/>
    <w:rsid w:val="7F223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line="560" w:lineRule="exact"/>
      <w:jc w:val="center"/>
    </w:pPr>
    <w:rPr>
      <w:rFonts w:eastAsia="方正小标宋简体"/>
      <w:sz w:val="44"/>
    </w:rPr>
  </w:style>
  <w:style w:type="paragraph" w:styleId="3">
    <w:name w:val="Plain Text"/>
    <w:basedOn w:val="1"/>
    <w:autoRedefine/>
    <w:qFormat/>
    <w:uiPriority w:val="99"/>
    <w:rPr>
      <w:rFonts w:ascii="宋体" w:hAnsi="Courier New"/>
    </w:rPr>
  </w:style>
  <w:style w:type="paragraph" w:styleId="4">
    <w:name w:val="footer"/>
    <w:basedOn w:val="1"/>
    <w:autoRedefine/>
    <w:qFormat/>
    <w:uiPriority w:val="99"/>
    <w:pPr>
      <w:tabs>
        <w:tab w:val="center" w:pos="4153"/>
        <w:tab w:val="right" w:pos="8306"/>
      </w:tabs>
      <w:snapToGrid w:val="0"/>
      <w:jc w:val="left"/>
    </w:pPr>
    <w:rPr>
      <w:rFonts w:eastAsia="宋体"/>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6">
    <w:name w:val="Normal (Web)"/>
    <w:basedOn w:val="1"/>
    <w:semiHidden/>
    <w:unhideWhenUsed/>
    <w:qFormat/>
    <w:uiPriority w:val="99"/>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paragraph" w:customStyle="1" w:styleId="9">
    <w:name w:val="发问编号"/>
    <w:basedOn w:val="1"/>
    <w:autoRedefine/>
    <w:qFormat/>
    <w:uiPriority w:val="0"/>
    <w:pPr>
      <w:spacing w:line="600" w:lineRule="exact"/>
      <w:jc w:val="center"/>
    </w:pPr>
    <w:rPr>
      <w:rFonts w:ascii="Times New Roman" w:hAnsi="Times New Roman" w:eastAsia="仿宋_GB2312" w:cs="宋体"/>
      <w:sz w:val="32"/>
      <w:szCs w:val="20"/>
    </w:rPr>
  </w:style>
  <w:style w:type="character" w:customStyle="1" w:styleId="10">
    <w:name w:val="font21"/>
    <w:basedOn w:val="8"/>
    <w:qFormat/>
    <w:uiPriority w:val="0"/>
    <w:rPr>
      <w:rFonts w:hint="eastAsia" w:ascii="宋体" w:hAnsi="宋体" w:eastAsia="宋体" w:cs="宋体"/>
      <w:color w:val="000000"/>
      <w:sz w:val="20"/>
      <w:szCs w:val="20"/>
      <w:u w:val="none"/>
    </w:rPr>
  </w:style>
  <w:style w:type="character" w:customStyle="1" w:styleId="11">
    <w:name w:val="font41"/>
    <w:basedOn w:val="8"/>
    <w:qFormat/>
    <w:uiPriority w:val="0"/>
    <w:rPr>
      <w:rFonts w:hint="eastAsia" w:ascii="宋体" w:hAnsi="宋体" w:eastAsia="宋体" w:cs="宋体"/>
      <w:b/>
      <w:bCs/>
      <w:color w:val="000000"/>
      <w:sz w:val="20"/>
      <w:szCs w:val="20"/>
      <w:u w:val="none"/>
    </w:rPr>
  </w:style>
  <w:style w:type="character" w:customStyle="1" w:styleId="12">
    <w:name w:val="font61"/>
    <w:basedOn w:val="8"/>
    <w:qFormat/>
    <w:uiPriority w:val="0"/>
    <w:rPr>
      <w:rFonts w:hint="default" w:ascii="瀹嬩綋" w:hAnsi="瀹嬩綋" w:eastAsia="瀹嬩綋" w:cs="瀹嬩綋"/>
      <w:color w:val="000000"/>
      <w:sz w:val="20"/>
      <w:szCs w:val="20"/>
      <w:u w:val="none"/>
    </w:rPr>
  </w:style>
  <w:style w:type="character" w:customStyle="1" w:styleId="13">
    <w:name w:val="font71"/>
    <w:basedOn w:val="8"/>
    <w:qFormat/>
    <w:uiPriority w:val="0"/>
    <w:rPr>
      <w:rFonts w:hint="default" w:ascii="瀹嬩綋" w:hAnsi="瀹嬩綋" w:eastAsia="瀹嬩綋" w:cs="瀹嬩綋"/>
      <w:b/>
      <w:bCs/>
      <w:color w:val="000000"/>
      <w:sz w:val="20"/>
      <w:szCs w:val="20"/>
      <w:u w:val="none"/>
    </w:rPr>
  </w:style>
  <w:style w:type="character" w:customStyle="1" w:styleId="14">
    <w:name w:val="font101"/>
    <w:basedOn w:val="8"/>
    <w:qFormat/>
    <w:uiPriority w:val="0"/>
    <w:rPr>
      <w:rFonts w:hint="eastAsia" w:ascii="宋体" w:hAnsi="宋体" w:eastAsia="宋体" w:cs="宋体"/>
      <w:color w:val="000000"/>
      <w:sz w:val="20"/>
      <w:szCs w:val="20"/>
      <w:u w:val="single"/>
    </w:rPr>
  </w:style>
  <w:style w:type="character" w:customStyle="1" w:styleId="15">
    <w:name w:val="font31"/>
    <w:basedOn w:val="8"/>
    <w:qFormat/>
    <w:uiPriority w:val="0"/>
    <w:rPr>
      <w:rFonts w:hint="eastAsia" w:ascii="宋体" w:hAnsi="宋体" w:eastAsia="宋体" w:cs="宋体"/>
      <w:b/>
      <w:bCs/>
      <w:color w:val="000000"/>
      <w:sz w:val="22"/>
      <w:szCs w:val="22"/>
      <w:u w:val="none"/>
    </w:rPr>
  </w:style>
  <w:style w:type="character" w:customStyle="1" w:styleId="16">
    <w:name w:val="font81"/>
    <w:basedOn w:val="8"/>
    <w:qFormat/>
    <w:uiPriority w:val="0"/>
    <w:rPr>
      <w:rFonts w:hint="eastAsia" w:ascii="宋体" w:hAnsi="宋体" w:eastAsia="宋体" w:cs="宋体"/>
      <w:color w:val="000000"/>
      <w:sz w:val="22"/>
      <w:szCs w:val="22"/>
      <w:u w:val="single"/>
    </w:rPr>
  </w:style>
  <w:style w:type="character" w:customStyle="1" w:styleId="17">
    <w:name w:val="font51"/>
    <w:basedOn w:val="8"/>
    <w:qFormat/>
    <w:uiPriority w:val="0"/>
    <w:rPr>
      <w:rFonts w:hint="default" w:ascii="瀹嬩綋" w:hAnsi="瀹嬩綋" w:eastAsia="瀹嬩綋" w:cs="瀹嬩綋"/>
      <w:color w:val="000000"/>
      <w:sz w:val="20"/>
      <w:szCs w:val="20"/>
      <w:u w:val="none"/>
    </w:rPr>
  </w:style>
  <w:style w:type="character" w:customStyle="1" w:styleId="18">
    <w:name w:val="font91"/>
    <w:basedOn w:val="8"/>
    <w:qFormat/>
    <w:uiPriority w:val="0"/>
    <w:rPr>
      <w:rFonts w:hint="eastAsia" w:ascii="宋体" w:hAnsi="宋体" w:eastAsia="宋体" w:cs="宋体"/>
      <w:color w:val="000000"/>
      <w:sz w:val="20"/>
      <w:szCs w:val="20"/>
      <w:u w:val="single"/>
    </w:rPr>
  </w:style>
  <w:style w:type="character" w:customStyle="1" w:styleId="19">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1096</Words>
  <Characters>1144</Characters>
  <Lines>1</Lines>
  <Paragraphs>1</Paragraphs>
  <TotalTime>1</TotalTime>
  <ScaleCrop>false</ScaleCrop>
  <LinksUpToDate>false</LinksUpToDate>
  <CharactersWithSpaces>1362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2023-12-25T07:21:00Z</dcterms:created>
  <dc:creator>杨娟</dc:creator>
  <cp:lastModifiedBy>杨欣</cp:lastModifiedBy>
  <dcterms:modified xsi:type="dcterms:W3CDTF">2025-09-05T03:49:28Z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0A1BC74B287C4B5AA0DDF140FBE27670_13</vt:lpwstr>
  </property>
  <property fmtid="{D5CDD505-2E9C-101B-9397-08002B2CF9AE}" pid="4" name="KSOTemplateDocerSaveRecord">
    <vt:lpwstr>eyJoZGlkIjoiZDczZDYwMTYwOTE1NmE5ZGJiNTMxMjZiNTY5YTQ2NTYiLCJ1c2VySWQiOiIyODU3NzI1NDQifQ==</vt:lpwstr>
  </property>
</Properties>
</file>