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20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21892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攀枝花市仁和区福田镇人民政府</w:t>
      </w:r>
    </w:p>
    <w:p w14:paraId="3E887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年项目支出绩效自评报告</w:t>
      </w:r>
    </w:p>
    <w:p w14:paraId="6F2D1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（福田镇人民代表、党代表活动经费）</w:t>
      </w:r>
    </w:p>
    <w:p w14:paraId="01B151A4"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6C6C1B33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一、</w:t>
      </w:r>
      <w:r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  <w:t>项目概况</w:t>
      </w:r>
    </w:p>
    <w:p w14:paraId="0C233ACB">
      <w:pPr>
        <w:pStyle w:val="4"/>
        <w:adjustRightInd w:val="0"/>
        <w:snapToGrid w:val="0"/>
        <w:spacing w:before="93" w:line="579" w:lineRule="exact"/>
        <w:ind w:firstLine="693" w:firstLineChars="210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（一）项目资金申报及批复情况</w:t>
      </w:r>
    </w:p>
    <w:p w14:paraId="3E8FB14B">
      <w:pPr>
        <w:pStyle w:val="4"/>
        <w:adjustRightInd w:val="0"/>
        <w:snapToGrid w:val="0"/>
        <w:spacing w:before="93" w:line="579" w:lineRule="exact"/>
        <w:ind w:firstLine="693" w:firstLineChars="210"/>
        <w:rPr>
          <w:rFonts w:hint="default" w:ascii="Times New Roman" w:hAnsi="Times New Roman" w:eastAsia="方正仿宋_GBK" w:cs="Times New Roman"/>
          <w:color w:val="auto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根据相关预算文件，福田镇人民代表、党代表活动经费下达预算5.4万元，资金性质为财政拨款，用于支持代表开展调研、视察、联系群众等履职活动。项目申报符合财政资金管理规定，申报流程规范。</w:t>
      </w:r>
    </w:p>
    <w:p w14:paraId="06EB5C83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（二）项目绩效目标</w:t>
      </w:r>
    </w:p>
    <w:p w14:paraId="49B20A77">
      <w:pPr>
        <w:pStyle w:val="4"/>
        <w:adjustRightInd w:val="0"/>
        <w:snapToGrid w:val="0"/>
        <w:spacing w:before="93" w:line="579" w:lineRule="exact"/>
        <w:ind w:firstLine="693" w:firstLineChars="21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1. 核心内容：保障人民代表、党代表依法履职，组织开展专题调研、学习培训、选民接待等活动，促进基层民主决策与治理。</w:t>
      </w:r>
    </w:p>
    <w:p w14:paraId="1AAF7A2F">
      <w:pPr>
        <w:pStyle w:val="4"/>
        <w:adjustRightInd w:val="0"/>
        <w:snapToGrid w:val="0"/>
        <w:spacing w:before="93" w:line="579" w:lineRule="exact"/>
        <w:ind w:firstLine="693" w:firstLineChars="21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2. 具体目标：年度内组织代表活动≥4次，代表参与率≥80%；收集并推动解决民生问题≥5项，代表及群众满意度≥90%。</w:t>
      </w:r>
    </w:p>
    <w:p w14:paraId="6110FF63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（三）项目资金申报相符性</w:t>
      </w:r>
    </w:p>
    <w:p w14:paraId="7C65829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该项目申报内容与具体实施内容相符、申报目标合理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</w:t>
      </w:r>
    </w:p>
    <w:p w14:paraId="15176B1E">
      <w:pPr>
        <w:adjustRightInd w:val="0"/>
        <w:snapToGrid w:val="0"/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可行，资金使用符合财政相关规定。</w:t>
      </w:r>
    </w:p>
    <w:p w14:paraId="453360F9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二、项目实施及管理情况</w:t>
      </w:r>
    </w:p>
    <w:p w14:paraId="17E5C670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（一）资金计划、到位及使用情况</w:t>
      </w:r>
    </w:p>
    <w:p w14:paraId="44F812BD"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b/>
          <w:bCs/>
          <w:kern w:val="0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  <w:t>1．资金计划及到位</w:t>
      </w:r>
      <w:r>
        <w:rPr>
          <w:rFonts w:hint="eastAsia" w:eastAsia="方正仿宋_GBK" w:cs="Times New Roman"/>
          <w:b/>
          <w:bCs/>
          <w:kern w:val="0"/>
          <w:sz w:val="33"/>
          <w:szCs w:val="33"/>
          <w:lang w:val="zh-CN" w:eastAsia="zh-CN"/>
        </w:rPr>
        <w:t>及使用情况</w:t>
      </w:r>
    </w:p>
    <w:p w14:paraId="5C89268E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1. 资金计划及到位：计划资金5.4万元，资金到位率100%。</w:t>
      </w:r>
    </w:p>
    <w:p w14:paraId="5C2D3F87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2. 资金使用：截至评价时点，资金使用0万元，预算执行率0%。</w:t>
      </w:r>
    </w:p>
    <w:p w14:paraId="282CB0E4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（二）项目财务管理情况</w:t>
      </w:r>
    </w:p>
    <w:p w14:paraId="4E0B389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项目财务管理制度建设、机构设置、会计核算及账务处理等相关情况符合要求。</w:t>
      </w:r>
    </w:p>
    <w:p w14:paraId="7C8B6EA5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（三）项目组织实施情况</w:t>
      </w:r>
    </w:p>
    <w:p w14:paraId="0DA6C4DD"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项目计划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202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</w:t>
      </w:r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度内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开展组织实施</w:t>
      </w:r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，并在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2024年度内完成报账，但由于财政资金紧张，报账资金均未支付，年底财政资金被财政收回</w:t>
      </w:r>
      <w:bookmarkStart w:id="0" w:name="_GoBack"/>
      <w:bookmarkEnd w:id="0"/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。</w:t>
      </w:r>
    </w:p>
    <w:p w14:paraId="0E63B523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三、项目绩效情况</w:t>
      </w:r>
      <w:r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  <w:tab/>
      </w:r>
    </w:p>
    <w:p w14:paraId="6935FE53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（一）项目完成情况</w:t>
      </w:r>
    </w:p>
    <w:p w14:paraId="2357C146"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eastAsia="方正仿宋_GBK" w:cs="Times New Roman"/>
          <w:kern w:val="0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202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年</w:t>
      </w:r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该项目完成，并提供保报账资金，但由于财政资金紧张，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2024年未完成支付，该项目资金于2024年底被财政收回</w:t>
      </w:r>
      <w:r>
        <w:rPr>
          <w:rFonts w:hint="eastAsia" w:ascii="Times New Roman" w:hAnsi="Times New Roman" w:eastAsia="方正仿宋_GBK" w:cs="Times New Roman"/>
          <w:kern w:val="0"/>
          <w:sz w:val="33"/>
          <w:szCs w:val="33"/>
          <w:lang w:eastAsia="zh-CN"/>
        </w:rPr>
        <w:t>。</w:t>
      </w:r>
    </w:p>
    <w:p w14:paraId="7BAAE66D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（二）项目效益情况</w:t>
      </w:r>
    </w:p>
    <w:p w14:paraId="79B741C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保障代表在大会闭会期间行使代表职责，推动党代表、人大代表联系党员及群众的活动开展，为辖区各项事业发展提供指导意见和建议，并进行监督执行情况，提升了党代表、人大代表的履职能力</w:t>
      </w:r>
      <w:r>
        <w:rPr>
          <w:rFonts w:hint="eastAsia" w:eastAsia="方正仿宋_GBK" w:cs="Times New Roman"/>
          <w:kern w:val="0"/>
          <w:sz w:val="33"/>
          <w:szCs w:val="33"/>
          <w:lang w:val="zh-CN"/>
        </w:rPr>
        <w:t>。</w:t>
      </w:r>
    </w:p>
    <w:p w14:paraId="657F857F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四、问题及建议</w:t>
      </w:r>
    </w:p>
    <w:p w14:paraId="1FF829CF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（一）存在的问题</w:t>
      </w:r>
    </w:p>
    <w:p w14:paraId="5B10F69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eastAsia" w:eastAsia="方正仿宋_GBK" w:cs="Times New Roman"/>
          <w:kern w:val="0"/>
          <w:sz w:val="33"/>
          <w:szCs w:val="33"/>
          <w:lang w:val="zh-CN"/>
        </w:rPr>
        <w:t>资金当年度支付不及时。</w:t>
      </w:r>
    </w:p>
    <w:p w14:paraId="03AE885E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（二）相关建议</w:t>
      </w:r>
    </w:p>
    <w:p w14:paraId="20288BA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sz w:val="33"/>
          <w:szCs w:val="33"/>
          <w:lang w:val="zh-CN"/>
        </w:rPr>
        <w:t>建议当年度资金加快拨付，争取在本年内完成报账的，本年内支付。</w:t>
      </w:r>
    </w:p>
    <w:p w14:paraId="7989328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2D909D5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4505F94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1554F3E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2BA8760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E12CC6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6ED6B0C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3D0AF7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3193A3C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23B088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4453F2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B4C03E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AF18B2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A9EE3E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191FA3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7A85AC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5M2IzOWE0MmU3Y2M4NWFiYjJlYzI3MmVlYjQyOTYifQ=="/>
  </w:docVars>
  <w:rsids>
    <w:rsidRoot w:val="291C455A"/>
    <w:rsid w:val="00211BDD"/>
    <w:rsid w:val="003414A3"/>
    <w:rsid w:val="00515A0C"/>
    <w:rsid w:val="00866E99"/>
    <w:rsid w:val="00A568D0"/>
    <w:rsid w:val="03BB5C97"/>
    <w:rsid w:val="08273270"/>
    <w:rsid w:val="0BB20C8B"/>
    <w:rsid w:val="0CF33F77"/>
    <w:rsid w:val="0D7F1747"/>
    <w:rsid w:val="0EDB478C"/>
    <w:rsid w:val="15016082"/>
    <w:rsid w:val="16033F74"/>
    <w:rsid w:val="17252504"/>
    <w:rsid w:val="1FCE373D"/>
    <w:rsid w:val="291C455A"/>
    <w:rsid w:val="2B7B4862"/>
    <w:rsid w:val="359F1476"/>
    <w:rsid w:val="35A67314"/>
    <w:rsid w:val="36926D0C"/>
    <w:rsid w:val="38D717CE"/>
    <w:rsid w:val="3B794364"/>
    <w:rsid w:val="42FE1995"/>
    <w:rsid w:val="478E1476"/>
    <w:rsid w:val="4A4970F0"/>
    <w:rsid w:val="4DAF2BCF"/>
    <w:rsid w:val="4DDB6F66"/>
    <w:rsid w:val="526428B8"/>
    <w:rsid w:val="55FF30A4"/>
    <w:rsid w:val="598B115B"/>
    <w:rsid w:val="5B260E18"/>
    <w:rsid w:val="5B264E92"/>
    <w:rsid w:val="62AC31F3"/>
    <w:rsid w:val="6F4F2188"/>
    <w:rsid w:val="70AC7373"/>
    <w:rsid w:val="72691DDC"/>
    <w:rsid w:val="73AF4CE8"/>
    <w:rsid w:val="73C2417B"/>
    <w:rsid w:val="78BB4A14"/>
    <w:rsid w:val="78D86031"/>
    <w:rsid w:val="792F2AEE"/>
    <w:rsid w:val="7B340AAD"/>
    <w:rsid w:val="7DDB7450"/>
    <w:rsid w:val="7E1F76D1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</Pages>
  <Words>1016</Words>
  <Characters>1063</Characters>
  <Lines>5</Lines>
  <Paragraphs>1</Paragraphs>
  <TotalTime>9</TotalTime>
  <ScaleCrop>false</ScaleCrop>
  <LinksUpToDate>false</LinksUpToDate>
  <CharactersWithSpaces>1069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2024-05-22T07:44:00Z</dcterms:created>
  <dc:creator>Administrator</dc:creator>
  <cp:lastModifiedBy>WPS_1539437691</cp:lastModifiedBy>
  <dcterms:modified xsi:type="dcterms:W3CDTF">2025-05-21T14:00:21Z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