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6D1DD0">
      <w:pPr>
        <w:pStyle w:val="9"/>
        <w:spacing w:line="600" w:lineRule="exact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攀枝花市仁和区福田镇人民政府</w:t>
      </w:r>
    </w:p>
    <w:p w14:paraId="68BF8D25">
      <w:pPr>
        <w:pStyle w:val="9"/>
        <w:spacing w:line="600" w:lineRule="exact"/>
        <w:ind w:firstLine="883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2024年项目支出绩效自评报告</w:t>
      </w:r>
    </w:p>
    <w:p w14:paraId="4D94A291">
      <w:pPr>
        <w:pStyle w:val="9"/>
        <w:spacing w:line="600" w:lineRule="exact"/>
        <w:ind w:firstLine="883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以往年度非税项目资金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5AAC063F">
      <w:pPr>
        <w:pStyle w:val="9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52A3E7F8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5F541C4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36665F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非税收入自主安排项目申报依据是根据乡镇体制体制文件，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2023年预算安排的。该项目保障我镇临聘人员工资、乡镇补贴、森林防灭火、消防经费、综治维稳等及弥补公用经费，保障我镇正常运转，保障2023年武装工作顺利开展，用于武装部建设、物资储备、征兵工作、民兵点验工作等；保障我镇2023年群团工作顺利开展，促进群团工作的法制化、规范化、科学化。</w:t>
      </w:r>
    </w:p>
    <w:p w14:paraId="326283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攀枝花市仁和区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福田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镇人民政府在该项目管理中主要负责统筹安排非税收入，并对项目资金的安全性和使用的合理性负责。</w:t>
      </w:r>
    </w:p>
    <w:p w14:paraId="11697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该项目资金金额是根据区财政局下发的任务及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我镇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上缴的非税收入来核定。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我镇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该项资金主要用于支付聘用人员工资报酬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办公经费补充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、武装工作经费，群团工作经费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等。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该项目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资金分配的原则由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我镇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根据相关政策及实际需求分配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72C8865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08D69B3B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总体目标：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保障我镇临聘人员工资、乡镇补贴、森林防灭火、消防经费、综治维稳等及弥补公用经费，保障我镇正常运转，保障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以往年度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年武装工作顺利开展，用于武装部建设、物资储备、征兵工作、民兵点验工作等；保障我镇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以往年度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年群团工作顺利开展，促进群团工作的法制化、规范化、科学化。</w:t>
      </w:r>
    </w:p>
    <w:p w14:paraId="3D40E07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该项目会严格按照财务制度管理资金，提高资金安全性提高资金的使用效率，在</w:t>
      </w:r>
      <w:r>
        <w:rPr>
          <w:rFonts w:hint="eastAsia" w:ascii="Times New Roman" w:hAnsi="Times New Roman" w:eastAsia="方正仿宋_GBK" w:cs="Times New Roman"/>
          <w:sz w:val="33"/>
          <w:szCs w:val="33"/>
          <w:lang w:eastAsia="zh-CN"/>
        </w:rPr>
        <w:t>以往年度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年底</w:t>
      </w:r>
      <w:r>
        <w:rPr>
          <w:rFonts w:hint="eastAsia" w:ascii="Times New Roman" w:hAnsi="Times New Roman" w:eastAsia="方正仿宋_GBK" w:cs="Times New Roman"/>
          <w:sz w:val="33"/>
          <w:szCs w:val="33"/>
          <w:lang w:val="en-US" w:eastAsia="zh-CN"/>
        </w:rPr>
        <w:t>就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完成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工作计划。</w:t>
      </w:r>
    </w:p>
    <w:p w14:paraId="64CD9A84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绩效目标和绩效指标量化可考核，相匹配，全面完整，契合政策或项目实质，与部门的长期规划目标、年度工作目标相一致</w:t>
      </w:r>
      <w:r>
        <w:rPr>
          <w:rFonts w:hint="default" w:ascii="Times New Roman" w:hAnsi="Times New Roman" w:eastAsia="方正仿宋_GBK" w:cs="Times New Roman"/>
          <w:sz w:val="33"/>
          <w:szCs w:val="33"/>
          <w:lang w:val="en-US" w:eastAsia="zh-CN"/>
        </w:rPr>
        <w:t>。群众满意度达95%以上。</w:t>
      </w:r>
    </w:p>
    <w:p w14:paraId="100E914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04EC3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60" w:firstLineChars="200"/>
        <w:textAlignment w:val="auto"/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3"/>
          <w:szCs w:val="33"/>
        </w:rPr>
        <w:t>该项目资金金额是根据区财政局下发的任务及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我镇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上缴的非税收入来核定。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我镇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该项资金主要用于支付聘用人员工资报酬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、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办公经费补充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、武装工作经费，群团工作经费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等。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该项目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资金分配的原则由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我镇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根据相关政策及实际需求分配</w:t>
      </w:r>
      <w:r>
        <w:rPr>
          <w:rFonts w:hint="default" w:ascii="Times New Roman" w:hAnsi="Times New Roman" w:eastAsia="方正仿宋_GBK" w:cs="Times New Roman"/>
          <w:sz w:val="33"/>
          <w:szCs w:val="33"/>
          <w:lang w:eastAsia="zh-CN"/>
        </w:rPr>
        <w:t>。</w:t>
      </w:r>
    </w:p>
    <w:p w14:paraId="28E1519C">
      <w:pPr>
        <w:adjustRightInd w:val="0"/>
        <w:snapToGrid w:val="0"/>
        <w:spacing w:line="600" w:lineRule="exact"/>
        <w:ind w:firstLine="720"/>
        <w:rPr>
          <w:rFonts w:eastAsia="黑体"/>
        </w:rPr>
      </w:pPr>
      <w:bookmarkStart w:id="0" w:name="_GoBack"/>
      <w:bookmarkEnd w:id="0"/>
      <w:r>
        <w:rPr>
          <w:rFonts w:eastAsia="黑体"/>
        </w:rPr>
        <w:t>二、项目资金申报及使用情况</w:t>
      </w:r>
    </w:p>
    <w:p w14:paraId="31EB39B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6E6D6C2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>以往年度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非税项目资金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万元，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福田镇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镇实际使用资金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万元，预算完成率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>100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%</w:t>
      </w:r>
      <w:r>
        <w:rPr>
          <w:lang w:val="zh-CN"/>
        </w:rPr>
        <w:t>。</w:t>
      </w:r>
    </w:p>
    <w:p w14:paraId="3752AC80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（二）资金计划、到位及使用情况（可用表格形式反映）。</w:t>
      </w:r>
    </w:p>
    <w:p w14:paraId="6E10D80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1．资金计划。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本项目为区级财政安排项目资金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万元</w:t>
      </w:r>
      <w:r>
        <w:rPr>
          <w:lang w:val="zh-CN"/>
        </w:rPr>
        <w:t>。</w:t>
      </w:r>
    </w:p>
    <w:p w14:paraId="7932D19F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2．资金到位。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仁和区财政局实际下拨到位资金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万元，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资金到位率100%，资金到位及时</w:t>
      </w:r>
      <w:r>
        <w:rPr>
          <w:lang w:val="zh-CN"/>
        </w:rPr>
        <w:t>。</w:t>
      </w:r>
    </w:p>
    <w:p w14:paraId="1FA65E66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lang w:val="zh-CN"/>
        </w:rPr>
        <w:t>3．资金使用。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福田镇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镇实际使用资金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万元，预算完成率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%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/>
        </w:rPr>
        <w:t>，严格按照预算支出</w:t>
      </w:r>
      <w:r>
        <w:rPr>
          <w:lang w:val="zh-CN"/>
        </w:rPr>
        <w:t>。</w:t>
      </w:r>
    </w:p>
    <w:p w14:paraId="42FB730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BB42A01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福田镇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镇本项目严格按照资金管理办法执行，财务处理较及时，会计核算较规范</w:t>
      </w:r>
      <w:r>
        <w:rPr>
          <w:lang w:val="zh-CN"/>
        </w:rPr>
        <w:t>。</w:t>
      </w:r>
    </w:p>
    <w:p w14:paraId="5D7E0A76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3921973F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（一）项目组织架构及实施流程。</w:t>
      </w:r>
    </w:p>
    <w:p w14:paraId="719289F8">
      <w:pPr>
        <w:pStyle w:val="2"/>
        <w:ind w:firstLine="640" w:firstLineChars="200"/>
        <w:rPr>
          <w:lang w:val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该项目由仁和区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 w:bidi="ar-SA"/>
        </w:rPr>
        <w:t>福田镇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 w:bidi="ar-SA"/>
        </w:rPr>
        <w:t>镇人民政府主管、负总责，镇各站所负责各自分管（承办）的实施具体事务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 w:bidi="ar-SA"/>
        </w:rPr>
        <w:t>。</w:t>
      </w:r>
    </w:p>
    <w:p w14:paraId="159BB9FD">
      <w:pPr>
        <w:adjustRightInd w:val="0"/>
        <w:snapToGrid w:val="0"/>
        <w:spacing w:line="600" w:lineRule="exact"/>
        <w:ind w:firstLine="720"/>
        <w:rPr>
          <w:highlight w:val="none"/>
          <w:lang w:val="zh-CN"/>
        </w:rPr>
      </w:pPr>
      <w:r>
        <w:rPr>
          <w:rFonts w:eastAsia="楷体_GB2312"/>
          <w:b/>
          <w:highlight w:val="none"/>
          <w:lang w:val="zh-CN"/>
        </w:rPr>
        <w:t>（二）项目管理情况。</w:t>
      </w:r>
      <w:r>
        <w:rPr>
          <w:rFonts w:hint="eastAsia"/>
          <w:highlight w:val="none"/>
          <w:lang w:val="zh-CN"/>
        </w:rPr>
        <w:t>严格按照相关规定执行</w:t>
      </w:r>
      <w:r>
        <w:rPr>
          <w:highlight w:val="none"/>
          <w:lang w:val="zh-CN"/>
        </w:rPr>
        <w:t>。</w:t>
      </w:r>
    </w:p>
    <w:p w14:paraId="4B478563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（三）项目监管情况。</w:t>
      </w:r>
      <w:r>
        <w:rPr>
          <w:rFonts w:hint="eastAsia" w:cs="Times New Roman"/>
          <w:color w:val="000000"/>
          <w:kern w:val="0"/>
          <w:sz w:val="32"/>
          <w:szCs w:val="32"/>
          <w:lang w:eastAsia="zh-CN"/>
        </w:rPr>
        <w:t>福田镇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镇对本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</w:rPr>
        <w:t>项目加强项目管理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，同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时同步让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人大、纪委参与本项目考评监督</w:t>
      </w:r>
      <w:r>
        <w:rPr>
          <w:lang w:val="zh-CN"/>
        </w:rPr>
        <w:t>。</w:t>
      </w:r>
    </w:p>
    <w:p w14:paraId="4AA575E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57F5628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1B2B076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1.完成数量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指标：聘用人数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人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zh-CN" w:eastAsia="zh-CN"/>
        </w:rPr>
        <w:t>。</w:t>
      </w:r>
    </w:p>
    <w:p w14:paraId="75A29F0E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2.完成质量指标：完成垃圾清运工作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优化村镇环境卫生，保障聘用人员工资、社保及公积金，提高资金使用合理性，完成率100%。</w:t>
      </w:r>
    </w:p>
    <w:p w14:paraId="588ACC57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3.完成时效指标：工作计划20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/>
        </w:rPr>
        <w:t>24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年1月至202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年12月，实际使用资金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万元，完成率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%。</w:t>
      </w:r>
    </w:p>
    <w:p w14:paraId="34CDC58D">
      <w:pPr>
        <w:adjustRightInd w:val="0"/>
        <w:snapToGrid w:val="0"/>
        <w:spacing w:line="600" w:lineRule="exact"/>
        <w:ind w:firstLine="720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zh-CN" w:eastAsia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4.资金（成本）完成指标：年度指标值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万元，实际完成数</w:t>
      </w:r>
      <w:r>
        <w:rPr>
          <w:rFonts w:hint="eastAsia" w:cs="Times New Roman"/>
          <w:color w:val="000000"/>
          <w:kern w:val="0"/>
          <w:sz w:val="32"/>
          <w:szCs w:val="32"/>
          <w:lang w:val="en-US" w:eastAsia="zh-CN"/>
        </w:rPr>
        <w:t>30.8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万元，完成率</w:t>
      </w:r>
      <w:r>
        <w:rPr>
          <w:rFonts w:hint="eastAsia" w:ascii="Times New Roman" w:hAnsi="Times New Roman" w:cs="Times New Roman"/>
          <w:color w:val="000000"/>
          <w:kern w:val="0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%</w:t>
      </w:r>
    </w:p>
    <w:p w14:paraId="1FD36F00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614A65DC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zh-CN" w:eastAsia="zh-CN"/>
        </w:rPr>
        <w:t>质量指标：提升为群众服务水平，完成良好；满意度指标：服务对象满意度≥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zh-CN" w:eastAsia="zh-CN"/>
        </w:rPr>
        <w:t>%，完成率100%</w:t>
      </w:r>
      <w:r>
        <w:rPr>
          <w:lang w:val="zh-CN"/>
        </w:rPr>
        <w:t>。</w:t>
      </w:r>
    </w:p>
    <w:p w14:paraId="1CBD02F0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79638DD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6A73E54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项目决策、项目管理、项目绩效三个方面分析来看，该项目进行总体评价良好，得到了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党委、政府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的一致好评。该项目评估总得分为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92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分，评估等级为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总体来说，该项目有利于更好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推进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福田镇日常运转及相关工作开展。</w:t>
      </w:r>
    </w:p>
    <w:p w14:paraId="373793A1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46877091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7D9451A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3FCBAD4A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6884DEB5">
      <w:pPr>
        <w:pStyle w:val="2"/>
        <w:rPr>
          <w:lang w:val="zh-CN"/>
        </w:rPr>
      </w:pPr>
    </w:p>
    <w:p w14:paraId="1E38269C">
      <w:pPr>
        <w:pStyle w:val="2"/>
        <w:rPr>
          <w:lang w:val="zh-CN"/>
        </w:rPr>
      </w:pPr>
    </w:p>
    <w:p w14:paraId="32F67AEB">
      <w:pPr>
        <w:pStyle w:val="2"/>
        <w:rPr>
          <w:lang w:val="zh-CN"/>
        </w:rPr>
      </w:pPr>
    </w:p>
    <w:p w14:paraId="500EC34A">
      <w:pPr>
        <w:pStyle w:val="2"/>
        <w:rPr>
          <w:lang w:val="zh-CN"/>
        </w:rPr>
      </w:pPr>
    </w:p>
    <w:p w14:paraId="48E06814"/>
    <w:p w14:paraId="4462827A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5FD666C"/>
    <w:rsid w:val="075C73C2"/>
    <w:rsid w:val="091F73DA"/>
    <w:rsid w:val="1182211B"/>
    <w:rsid w:val="13B37ED8"/>
    <w:rsid w:val="14636234"/>
    <w:rsid w:val="1763654B"/>
    <w:rsid w:val="1AAB4227"/>
    <w:rsid w:val="1AB175CD"/>
    <w:rsid w:val="1C25106F"/>
    <w:rsid w:val="1D7F23FB"/>
    <w:rsid w:val="20000DDB"/>
    <w:rsid w:val="2295506C"/>
    <w:rsid w:val="22AD555F"/>
    <w:rsid w:val="2AF86ED7"/>
    <w:rsid w:val="2B385C88"/>
    <w:rsid w:val="2C263D52"/>
    <w:rsid w:val="31322DBE"/>
    <w:rsid w:val="32780CA4"/>
    <w:rsid w:val="34362BC5"/>
    <w:rsid w:val="35874596"/>
    <w:rsid w:val="382F0057"/>
    <w:rsid w:val="385E093C"/>
    <w:rsid w:val="3B145660"/>
    <w:rsid w:val="3FF55DC1"/>
    <w:rsid w:val="423229B8"/>
    <w:rsid w:val="49244D8F"/>
    <w:rsid w:val="4BB44F0C"/>
    <w:rsid w:val="4C871DB8"/>
    <w:rsid w:val="4CDF6F04"/>
    <w:rsid w:val="4D5621A7"/>
    <w:rsid w:val="566273F2"/>
    <w:rsid w:val="5AF727FF"/>
    <w:rsid w:val="5CA0560F"/>
    <w:rsid w:val="5F0C558A"/>
    <w:rsid w:val="5FAD6ED7"/>
    <w:rsid w:val="660D737A"/>
    <w:rsid w:val="66D103A8"/>
    <w:rsid w:val="66F75934"/>
    <w:rsid w:val="68504D3B"/>
    <w:rsid w:val="6B251855"/>
    <w:rsid w:val="6B7B2FD8"/>
    <w:rsid w:val="6C0E1756"/>
    <w:rsid w:val="6DC27FB0"/>
    <w:rsid w:val="6E072901"/>
    <w:rsid w:val="6E492734"/>
    <w:rsid w:val="6E58315D"/>
    <w:rsid w:val="6E843F52"/>
    <w:rsid w:val="6F92269E"/>
    <w:rsid w:val="705067E1"/>
    <w:rsid w:val="705D0EFE"/>
    <w:rsid w:val="70F83B24"/>
    <w:rsid w:val="7137280D"/>
    <w:rsid w:val="74A708C5"/>
    <w:rsid w:val="74DF66EF"/>
    <w:rsid w:val="750C4747"/>
    <w:rsid w:val="753B4DC8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1430</Words>
  <Characters>1509</Characters>
  <Lines>9</Lines>
  <Paragraphs>2</Paragraphs>
  <TotalTime>0</TotalTime>
  <ScaleCrop>false</ScaleCrop>
  <LinksUpToDate>false</LinksUpToDate>
  <CharactersWithSpaces>1511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WPS_1539437691</cp:lastModifiedBy>
  <dcterms:modified xsi:type="dcterms:W3CDTF">2025-05-21T08:30:56Z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eyJoZGlkIjoiMjk5M2IzOWE0MmU3Y2M4NWFiYjJlYzI3MmVlYjQyOTYiLCJ1c2VySWQiOiI0MTYzNzM2NjkifQ==</vt:lpwstr>
  </property>
  <property fmtid="{D5CDD505-2E9C-101B-9397-08002B2CF9AE}" pid="4" name="ICV">
    <vt:lpwstr>BD12092CECF5446B95389409923FA220_12</vt:lpwstr>
  </property>
</Properties>
</file>