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C9B6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right"/>
        <w:textAlignment w:val="auto"/>
        <w:rPr>
          <w:rFonts w:ascii="宋体" w:hAnsi="宋体" w:eastAsia="宋体"/>
          <w:sz w:val="30"/>
          <w:szCs w:val="30"/>
        </w:rPr>
      </w:pPr>
    </w:p>
    <w:p w14:paraId="418AD9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攀枝花市仁和区福田镇人民政府</w:t>
      </w:r>
    </w:p>
    <w:p w14:paraId="1F6C40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2024年项目支出绩效自评报告</w:t>
      </w:r>
    </w:p>
    <w:p w14:paraId="256A35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（疫情防控缺口经费）</w:t>
      </w:r>
    </w:p>
    <w:p w14:paraId="42AB6714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3D6A1433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一、项目概况</w:t>
      </w:r>
    </w:p>
    <w:p w14:paraId="343EC621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</w:rPr>
        <w:t>（一）项目基本情况。</w:t>
      </w:r>
    </w:p>
    <w:p w14:paraId="6E267A93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福田镇地处川滇交界，东与西区格里坪镇接壤，南临金沙江，西部和华坪县石龙坝镇交界，北与华坪县兴泉镇相连，是攀枝花市的西大门。因处于交界处，疫情防控压力大，但我镇无疫情防控经费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，为做好疫情防控工作，根据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2024年预算大本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，下达202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年疫情防控缺口经费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1.22万元。</w:t>
      </w:r>
    </w:p>
    <w:p w14:paraId="62826264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一、项目概况</w:t>
      </w:r>
    </w:p>
    <w:p w14:paraId="4DC20DDF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</w:rPr>
        <w:t>（一）项目基本情况。</w:t>
      </w:r>
    </w:p>
    <w:p w14:paraId="0E108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6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福田镇地处川滇交界，东与西区格里坪镇接壤，南临金沙江，西部和华坪县石龙坝镇交界，北与华坪县兴泉镇相连，是攀枝花市的西大门。因处于交界处，疫情防控压力大，但我镇无疫情防控经费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，为做好疫情防控工作，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以往年度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下达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了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新冠肺炎疫情防控区级专项资金到我镇，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但由于工作开展完成后，存在部分缺口资金，2024年下达该项目资金用于支付以前年度开展工作后未完成支付的资金。</w:t>
      </w:r>
    </w:p>
    <w:p w14:paraId="0BEB4833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</w:rPr>
        <w:t>（二）项目绩效目标。</w:t>
      </w:r>
    </w:p>
    <w:p w14:paraId="589AA11F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根据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2024年预算大本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，下达202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年疫情防控缺口经费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1.2</w:t>
      </w:r>
      <w:r>
        <w:rPr>
          <w:rFonts w:hint="eastAsia" w:eastAsia="方正仿宋_GBK" w:cs="Times New Roman"/>
          <w:color w:val="000000"/>
          <w:kern w:val="0"/>
          <w:sz w:val="33"/>
          <w:szCs w:val="33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用于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以往年度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疫情防疫宣传、防疫物资采购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储备的费用支付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等</w:t>
      </w:r>
      <w:r>
        <w:rPr>
          <w:rFonts w:hint="default" w:ascii="Times New Roman" w:hAnsi="Times New Roman" w:eastAsia="方正仿宋_GBK" w:cs="Times New Roman"/>
          <w:color w:val="000000"/>
          <w:sz w:val="33"/>
          <w:szCs w:val="33"/>
        </w:rPr>
        <w:t>。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经费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申报内容与实际相符，申报严格按规定开展，目标合理、可行。</w:t>
      </w:r>
    </w:p>
    <w:p w14:paraId="13338181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default" w:ascii="方正黑体_GBK" w:hAnsi="方正黑体_GBK" w:eastAsia="方正黑体_GBK" w:cs="方正黑体_GBK"/>
          <w:kern w:val="0"/>
          <w:sz w:val="33"/>
          <w:szCs w:val="33"/>
        </w:rPr>
        <w:t>二、项目资金申报及使用情况</w:t>
      </w:r>
      <w:r>
        <w:rPr>
          <w:rFonts w:hint="default" w:ascii="方正黑体_GBK" w:hAnsi="方正黑体_GBK" w:eastAsia="方正黑体_GBK" w:cs="方正黑体_GBK"/>
          <w:kern w:val="0"/>
          <w:sz w:val="33"/>
          <w:szCs w:val="33"/>
          <w:lang w:val="en-US" w:eastAsia="zh-CN"/>
        </w:rPr>
        <w:t xml:space="preserve"> </w:t>
      </w:r>
    </w:p>
    <w:p w14:paraId="6A3111B1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（一）</w:t>
      </w: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</w:rPr>
        <w:t>资金到位。</w:t>
      </w:r>
    </w:p>
    <w:p w14:paraId="081E6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6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202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年下达经费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资金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1.22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万元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，用于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以往年度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疫情防控工作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开展后的缺口资金支付。</w:t>
      </w:r>
    </w:p>
    <w:p w14:paraId="67996107">
      <w:pPr>
        <w:autoSpaceDE w:val="0"/>
        <w:autoSpaceDN w:val="0"/>
        <w:adjustRightInd w:val="0"/>
        <w:spacing w:line="600" w:lineRule="exact"/>
        <w:ind w:firstLine="663" w:firstLineChars="200"/>
        <w:jc w:val="both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（二）资金使用。</w:t>
      </w:r>
    </w:p>
    <w:p w14:paraId="7FC63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right="0" w:rightChars="0" w:firstLine="66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202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年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福田镇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共支付疫情防控经费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1.21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，用以往年度未支付的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防疫物资采购费</w:t>
      </w:r>
      <w:r>
        <w:rPr>
          <w:rFonts w:hint="eastAsia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等，使用率98.52%</w:t>
      </w:r>
    </w:p>
    <w:p w14:paraId="24927FFB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（三）项目财务管理情况。</w:t>
      </w:r>
    </w:p>
    <w:p w14:paraId="45B66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6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健全财务管理制度，在工作推进中严格依照《中华人民共和国会计法》及相关财务管理规定执行财务管理。费用支出依法依规、专款专用，有效保障了经费的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申报和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支付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。严格费用支付和管理，对项目资金做好使用和监管，未出现资金违规使用情况。</w:t>
      </w:r>
    </w:p>
    <w:p w14:paraId="15ED268E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default" w:ascii="方正黑体_GBK" w:hAnsi="方正黑体_GBK" w:eastAsia="方正黑体_GBK" w:cs="方正黑体_GBK"/>
          <w:kern w:val="0"/>
          <w:sz w:val="33"/>
          <w:szCs w:val="33"/>
        </w:rPr>
        <w:t>三、项目实施及管理情况</w:t>
      </w:r>
    </w:p>
    <w:p w14:paraId="2DDA2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6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项目资金已下拨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后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持“统筹安排、专款专用、加强管理、保证效益”的原则，按资金用途做到专款专用，确保了各项工作的顺利开展。</w:t>
      </w:r>
    </w:p>
    <w:p w14:paraId="03FF9C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6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项目资金申报使用过程中，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分管领导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财政所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加强对项目费用支付预算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责任落实和工作监管，在资金使用上严格按要求报财政局审批支付。</w:t>
      </w:r>
    </w:p>
    <w:p w14:paraId="6D299EEB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default" w:ascii="方正黑体_GBK" w:hAnsi="方正黑体_GBK" w:eastAsia="方正黑体_GBK" w:cs="方正黑体_GBK"/>
          <w:kern w:val="0"/>
          <w:sz w:val="33"/>
          <w:szCs w:val="33"/>
        </w:rPr>
        <w:t>四、项目绩效情况</w:t>
      </w:r>
    </w:p>
    <w:p w14:paraId="172A6D4C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（一）项目完成情况。</w:t>
      </w:r>
    </w:p>
    <w:p w14:paraId="18B73E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6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 xml:space="preserve">自疫情发生以来，福田镇开展联防联控，做到网格化-地毯式摸排，确保不漏一组、不漏一户、不漏一人，实行全覆盖网格化管理，疫情防控常态化开展，“外防输入，内防反弹，做到全镇全覆盖入户、通过发放宣传资料、横幅、短信等形式向广大民群众宣传疫情防控的重要性与必要性，让广大人民群众积极参与到疫情防控工作中来。   </w:t>
      </w:r>
    </w:p>
    <w:p w14:paraId="65511984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（二）项目效益情况。</w:t>
      </w:r>
    </w:p>
    <w:p w14:paraId="49518E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exact"/>
        <w:ind w:left="0" w:leftChars="0" w:right="0" w:rightChars="0" w:firstLine="660" w:firstLineChars="200"/>
        <w:jc w:val="left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通过</w:t>
      </w: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  <w:lang w:val="en-US" w:eastAsia="zh-CN"/>
        </w:rPr>
        <w:t>项目经费的下拨，有力支持了基层更好开展疫情防控宣传工作，保障了人民群众的生命健康安全，维护了社会稳定。</w:t>
      </w:r>
    </w:p>
    <w:p w14:paraId="60BB5FFC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default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default" w:ascii="方正黑体_GBK" w:hAnsi="方正黑体_GBK" w:eastAsia="方正黑体_GBK" w:cs="方正黑体_GBK"/>
          <w:kern w:val="0"/>
          <w:sz w:val="33"/>
          <w:szCs w:val="33"/>
        </w:rPr>
        <w:t>五、评价结论及建议</w:t>
      </w:r>
    </w:p>
    <w:p w14:paraId="598BBF37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（一）评价结论。</w:t>
      </w:r>
    </w:p>
    <w:p w14:paraId="6C63AE5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left="0" w:leftChars="0" w:right="0" w:rightChars="0" w:firstLine="660" w:firstLineChars="200"/>
        <w:textAlignment w:val="auto"/>
        <w:outlineLvl w:val="9"/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color w:val="000000"/>
          <w:kern w:val="0"/>
          <w:sz w:val="33"/>
          <w:szCs w:val="33"/>
        </w:rPr>
        <w:t>该项目决策依据充分，总体目标清晰，资金的申请、审批、 拨付、使用合法合规。</w:t>
      </w:r>
    </w:p>
    <w:p w14:paraId="2FCAE9E7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（二）存在的问题。</w:t>
      </w:r>
    </w:p>
    <w:p w14:paraId="0D4F4445">
      <w:pPr>
        <w:autoSpaceDE w:val="0"/>
        <w:autoSpaceDN w:val="0"/>
        <w:adjustRightInd w:val="0"/>
        <w:spacing w:line="600" w:lineRule="exact"/>
        <w:ind w:firstLine="660" w:firstLineChars="200"/>
        <w:jc w:val="left"/>
        <w:rPr>
          <w:rFonts w:hint="eastAsia" w:ascii="Times New Roman" w:hAnsi="Times New Roman" w:eastAsia="方正仿宋_GBK" w:cs="Times New Roman"/>
          <w:color w:val="000000"/>
          <w:sz w:val="33"/>
          <w:szCs w:val="33"/>
          <w:lang w:eastAsia="zh-CN"/>
        </w:rPr>
      </w:pPr>
      <w:r>
        <w:rPr>
          <w:rFonts w:hint="eastAsia" w:ascii="Times New Roman" w:hAnsi="Times New Roman" w:eastAsia="方正仿宋_GBK" w:cs="Times New Roman"/>
          <w:color w:val="000000"/>
          <w:sz w:val="33"/>
          <w:szCs w:val="33"/>
          <w:lang w:eastAsia="zh-CN"/>
        </w:rPr>
        <w:t>无。</w:t>
      </w:r>
    </w:p>
    <w:p w14:paraId="095E8A1E">
      <w:pPr>
        <w:autoSpaceDE w:val="0"/>
        <w:autoSpaceDN w:val="0"/>
        <w:adjustRightInd w:val="0"/>
        <w:spacing w:line="600" w:lineRule="exact"/>
        <w:ind w:firstLine="663" w:firstLineChars="200"/>
        <w:jc w:val="left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eastAsia="zh-CN"/>
        </w:rPr>
        <w:t>（三）相关建议。</w:t>
      </w:r>
    </w:p>
    <w:p w14:paraId="2462552F">
      <w:pPr>
        <w:pStyle w:val="5"/>
        <w:ind w:left="0" w:leftChars="0" w:firstLine="6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35B751F"/>
    <w:rsid w:val="04FA5E1A"/>
    <w:rsid w:val="08144141"/>
    <w:rsid w:val="090D3335"/>
    <w:rsid w:val="0C267CC3"/>
    <w:rsid w:val="0C6D2071"/>
    <w:rsid w:val="0EDB478C"/>
    <w:rsid w:val="15655021"/>
    <w:rsid w:val="17252504"/>
    <w:rsid w:val="1A804AC9"/>
    <w:rsid w:val="291C455A"/>
    <w:rsid w:val="2A1E3F15"/>
    <w:rsid w:val="2B7B4862"/>
    <w:rsid w:val="357864AF"/>
    <w:rsid w:val="35A7200A"/>
    <w:rsid w:val="35D32A54"/>
    <w:rsid w:val="36926D0C"/>
    <w:rsid w:val="3A9C72D3"/>
    <w:rsid w:val="3BC83BA3"/>
    <w:rsid w:val="3CBE0C38"/>
    <w:rsid w:val="42D918F6"/>
    <w:rsid w:val="44837148"/>
    <w:rsid w:val="44B454C5"/>
    <w:rsid w:val="45AD2FE3"/>
    <w:rsid w:val="468B67CD"/>
    <w:rsid w:val="48BD0863"/>
    <w:rsid w:val="4A3610F5"/>
    <w:rsid w:val="4A4970F0"/>
    <w:rsid w:val="4BD765E4"/>
    <w:rsid w:val="4DAF2BCF"/>
    <w:rsid w:val="4DDB6F66"/>
    <w:rsid w:val="500C436A"/>
    <w:rsid w:val="52D26A50"/>
    <w:rsid w:val="537006D4"/>
    <w:rsid w:val="5717576D"/>
    <w:rsid w:val="5B264E92"/>
    <w:rsid w:val="5F17116C"/>
    <w:rsid w:val="62854B94"/>
    <w:rsid w:val="66494D21"/>
    <w:rsid w:val="6DB9016F"/>
    <w:rsid w:val="701D038E"/>
    <w:rsid w:val="70375E28"/>
    <w:rsid w:val="730F7A5D"/>
    <w:rsid w:val="73C2417B"/>
    <w:rsid w:val="752403E7"/>
    <w:rsid w:val="76D9007C"/>
    <w:rsid w:val="76FA4208"/>
    <w:rsid w:val="78434E7D"/>
    <w:rsid w:val="79223324"/>
    <w:rsid w:val="792F2AEE"/>
    <w:rsid w:val="7AEF353D"/>
    <w:rsid w:val="7E5E68F9"/>
    <w:rsid w:val="7E8B6C36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9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</w:rPr>
  </w:style>
  <w:style w:type="paragraph" w:styleId="5">
    <w:name w:val="Body Text First Indent 2"/>
    <w:basedOn w:val="3"/>
    <w:qFormat/>
    <w:uiPriority w:val="0"/>
    <w:pPr>
      <w:ind w:firstLine="420" w:firstLineChars="200"/>
    </w:p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806</Words>
  <Characters>847</Characters>
  <Lines>6</Lines>
  <Paragraphs>1</Paragraphs>
  <TotalTime>8</TotalTime>
  <ScaleCrop>false</ScaleCrop>
  <LinksUpToDate>false</LinksUpToDate>
  <CharactersWithSpaces>848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cp:lastPrinted>2024-05-23T09:34:00Z</cp:lastPrinted>
  <dcterms:modified xsi:type="dcterms:W3CDTF">2025-05-21T03:17:43Z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