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180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60" w:line="185" w:lineRule="auto"/>
        <w:ind w:firstLine="2637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color w:val="00000A"/>
          <w:spacing w:val="-2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color w:val="00000A"/>
          <w:spacing w:val="-2"/>
          <w:sz w:val="44"/>
          <w:szCs w:val="44"/>
        </w:rPr>
        <w:t>处罚</w:t>
      </w:r>
      <w:r>
        <w:rPr>
          <w:rFonts w:ascii="Malgun Gothic" w:hAnsi="Malgun Gothic" w:eastAsia="Malgun Gothic" w:cs="Malgun Gothic"/>
          <w:color w:val="00000A"/>
          <w:spacing w:val="-2"/>
          <w:sz w:val="44"/>
          <w:szCs w:val="44"/>
        </w:rPr>
        <w:t>告知</w:t>
      </w:r>
      <w:r>
        <w:rPr>
          <w:rFonts w:ascii="Microsoft JhengHei" w:hAnsi="Microsoft JhengHei" w:eastAsia="Microsoft JhengHei" w:cs="Microsoft JhengHei"/>
          <w:color w:val="00000A"/>
          <w:spacing w:val="-2"/>
          <w:sz w:val="44"/>
          <w:szCs w:val="44"/>
        </w:rPr>
        <w:t>书</w:t>
      </w:r>
      <w:bookmarkEnd w:id="0"/>
    </w:p>
    <w:p>
      <w:pPr>
        <w:tabs>
          <w:tab w:val="left" w:pos="2752"/>
        </w:tabs>
        <w:spacing w:before="90" w:line="183" w:lineRule="auto"/>
        <w:ind w:firstLine="2406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市监罚告〔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tabs>
          <w:tab w:val="left" w:pos="3728"/>
        </w:tabs>
        <w:spacing w:before="369" w:line="183" w:lineRule="auto"/>
        <w:ind w:firstLine="16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tabs>
          <w:tab w:val="left" w:pos="3730"/>
        </w:tabs>
        <w:spacing w:before="189" w:line="288" w:lineRule="auto"/>
        <w:ind w:left="16" w:right="16" w:firstLine="69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4"/>
          <w:sz w:val="32"/>
          <w:szCs w:val="32"/>
        </w:rPr>
        <w:t>由本局立案调查的你（单位）</w:t>
      </w:r>
      <w:r>
        <w:rPr>
          <w:rFonts w:ascii="仿宋" w:hAnsi="仿宋" w:eastAsia="仿宋" w:cs="仿宋"/>
          <w:spacing w:val="-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涉嫌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1"/>
          <w:sz w:val="32"/>
          <w:szCs w:val="32"/>
        </w:rPr>
        <w:t>一案，</w:t>
      </w:r>
      <w:r>
        <w:rPr>
          <w:rFonts w:ascii="仿宋" w:hAnsi="仿宋" w:eastAsia="仿宋" w:cs="仿宋"/>
          <w:spacing w:val="-6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已调查终结。依据《中华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人民共和国行政处罚法》</w:t>
      </w:r>
      <w:r>
        <w:rPr>
          <w:rFonts w:ascii="仿宋" w:hAnsi="仿宋" w:eastAsia="仿宋" w:cs="仿宋"/>
          <w:spacing w:val="2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第四十四条的规定，现将本局拟作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出行政处罚的内容及事实、理由、依据告知如下：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</w:t>
      </w:r>
    </w:p>
    <w:p>
      <w:pPr>
        <w:spacing w:line="273" w:lineRule="auto"/>
        <w:rPr>
          <w:rFonts w:ascii="Malgun Gothic"/>
          <w:sz w:val="21"/>
        </w:rPr>
      </w:pPr>
    </w:p>
    <w:p>
      <w:pPr>
        <w:spacing w:line="273" w:lineRule="auto"/>
        <w:rPr>
          <w:rFonts w:ascii="Malgun Gothic"/>
          <w:sz w:val="21"/>
        </w:rPr>
      </w:pPr>
    </w:p>
    <w:p>
      <w:pPr>
        <w:spacing w:line="273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before="105" w:line="288" w:lineRule="auto"/>
        <w:ind w:left="32" w:right="16" w:firstLine="67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□依据《中华人民共和国行政处罚法》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第四十四条、第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四十五条，以及《市场监督管理行政处罚程序规定》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第五十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七条的规定，你（单位）</w:t>
      </w:r>
      <w:r>
        <w:rPr>
          <w:rFonts w:ascii="仿宋" w:hAnsi="仿宋" w:eastAsia="仿宋" w:cs="仿宋"/>
          <w:spacing w:val="-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有权进行陈述、</w:t>
      </w:r>
      <w:r>
        <w:rPr>
          <w:rFonts w:ascii="仿宋" w:hAnsi="仿宋" w:eastAsia="仿宋" w:cs="仿宋"/>
          <w:spacing w:val="-9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申辩。</w:t>
      </w:r>
      <w:r>
        <w:rPr>
          <w:rFonts w:ascii="仿宋" w:hAnsi="仿宋" w:eastAsia="仿宋" w:cs="仿宋"/>
          <w:spacing w:val="-7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自收到本告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知书之日起五个工作日内未行使陈述、申辩权的，视为放弃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此权利。</w:t>
      </w:r>
    </w:p>
    <w:p>
      <w:pPr>
        <w:spacing w:before="5" w:line="286" w:lineRule="auto"/>
        <w:ind w:left="28" w:right="16" w:firstLine="67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□依据《中华人民共和国行政处罚法》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第四十四条、第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四十五条、第六十三条、第六十四条第一项，以及《市场监</w:t>
      </w:r>
      <w:r>
        <w:rPr>
          <w:rFonts w:ascii="仿宋" w:hAnsi="仿宋" w:eastAsia="仿宋" w:cs="仿宋"/>
          <w:spacing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9"/>
          <w:sz w:val="32"/>
          <w:szCs w:val="32"/>
        </w:rPr>
        <w:t>督管理行政处罚听证办法》第五条</w:t>
      </w:r>
      <w:r>
        <w:rPr>
          <w:rFonts w:ascii="Times New Roman" w:hAnsi="Times New Roman" w:eastAsia="Times New Roman" w:cs="Times New Roman"/>
          <w:spacing w:val="-8"/>
          <w:w w:val="99"/>
          <w:sz w:val="32"/>
          <w:szCs w:val="32"/>
        </w:rPr>
        <w:t>/</w:t>
      </w:r>
      <w:r>
        <w:rPr>
          <w:rFonts w:ascii="Times New Roman" w:hAnsi="Times New Roman" w:eastAsia="Times New Roman" w:cs="Times New Roman"/>
          <w:spacing w:val="1"/>
          <w:sz w:val="32"/>
          <w:szCs w:val="32"/>
          <w:u w:val="single" w:color="auto"/>
        </w:rPr>
        <w:t xml:space="preserve">                                        </w:t>
      </w:r>
      <w:r>
        <w:rPr>
          <w:rFonts w:ascii="仿宋" w:hAnsi="仿宋" w:eastAsia="仿宋" w:cs="仿宋"/>
          <w:spacing w:val="-8"/>
          <w:w w:val="99"/>
          <w:sz w:val="32"/>
          <w:szCs w:val="32"/>
        </w:rPr>
        <w:t>的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规定，你（单位）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有权进行陈述、</w:t>
      </w:r>
      <w:r>
        <w:rPr>
          <w:rFonts w:ascii="仿宋" w:hAnsi="仿宋" w:eastAsia="仿宋" w:cs="仿宋"/>
          <w:spacing w:val="-9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申辩，并可以要求听证。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自收到本告知书之日起五个工作日内未行使陈述、</w:t>
      </w:r>
      <w:r>
        <w:rPr>
          <w:rFonts w:ascii="仿宋" w:hAnsi="仿宋" w:eastAsia="仿宋" w:cs="仿宋"/>
          <w:spacing w:val="-8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申辩权，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未要求听证的，视为放弃此权利。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>
      <w:pPr>
        <w:spacing w:line="357" w:lineRule="auto"/>
        <w:rPr>
          <w:rFonts w:ascii="Malgun Gothic"/>
          <w:sz w:val="21"/>
        </w:rPr>
      </w:pPr>
    </w:p>
    <w:p>
      <w:pPr>
        <w:spacing w:line="357" w:lineRule="auto"/>
        <w:rPr>
          <w:rFonts w:ascii="Malgun Gothic"/>
          <w:sz w:val="21"/>
        </w:rPr>
      </w:pPr>
    </w:p>
    <w:p>
      <w:pPr>
        <w:spacing w:before="104" w:line="300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99" w:lineRule="auto"/>
        <w:ind w:left="5867" w:right="861" w:hanging="1828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" w:line="202" w:lineRule="auto"/>
        <w:ind w:firstLine="54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48" w:lineRule="auto"/>
        <w:rPr>
          <w:rFonts w:ascii="Malgun Gothic"/>
          <w:sz w:val="21"/>
        </w:rPr>
      </w:pPr>
    </w:p>
    <w:p>
      <w:pPr>
        <w:spacing w:line="248" w:lineRule="auto"/>
        <w:rPr>
          <w:rFonts w:ascii="Malgun Gothic"/>
          <w:sz w:val="21"/>
        </w:r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  <w:r>
      <w:rPr>
        <w:rFonts w:ascii="宋体" w:hAnsi="宋体" w:eastAsia="宋体" w:cs="宋体"/>
        <w:spacing w:val="1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48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7187AC2"/>
    <w:rsid w:val="0C350AD1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53F63AFE"/>
    <w:rsid w:val="549D6B60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BA1B8C7B61A141309D5552E291EE0A8E</vt:lpwstr>
  </property>
</Properties>
</file>