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07853">
      <w:pPr>
        <w:tabs>
          <w:tab w:val="left" w:pos="1440"/>
        </w:tabs>
        <w:spacing w:line="560" w:lineRule="exact"/>
        <w:rPr>
          <w:rFonts w:hint="eastAsia" w:ascii="宋体" w:hAnsi="宋体" w:eastAsia="宋体"/>
          <w:sz w:val="30"/>
          <w:szCs w:val="30"/>
          <w:lang w:val="en-US" w:eastAsia="zh-CN"/>
        </w:rPr>
      </w:pPr>
    </w:p>
    <w:p w14:paraId="0A37F1B5">
      <w:pPr>
        <w:pStyle w:val="2"/>
        <w:spacing w:line="600" w:lineRule="exact"/>
        <w:ind w:firstLine="800" w:firstLineChars="200"/>
        <w:jc w:val="center"/>
        <w:rPr>
          <w:rFonts w:hint="eastAsia" w:ascii="Times New Roman" w:hAnsi="Times New Roman" w:eastAsia="方正小标宋简体" w:cs="Times New Roman"/>
          <w:color w:val="auto"/>
          <w:kern w:val="2"/>
          <w:sz w:val="40"/>
          <w:szCs w:val="40"/>
          <w:lang w:val="en-US" w:eastAsia="zh-CN" w:bidi="ar-SA"/>
        </w:rPr>
      </w:pPr>
      <w:r>
        <w:rPr>
          <w:rFonts w:hint="eastAsia" w:ascii="Times New Roman" w:hAnsi="Times New Roman" w:eastAsia="方正小标宋简体" w:cs="Times New Roman"/>
          <w:color w:val="auto"/>
          <w:kern w:val="2"/>
          <w:sz w:val="40"/>
          <w:szCs w:val="40"/>
          <w:lang w:val="en-US" w:eastAsia="zh-CN" w:bidi="ar-SA"/>
        </w:rPr>
        <w:t>攀枝花市仁和区中坝乡人民政府</w:t>
      </w:r>
    </w:p>
    <w:p w14:paraId="091B67D7">
      <w:pPr>
        <w:pStyle w:val="2"/>
        <w:spacing w:line="600" w:lineRule="exact"/>
        <w:ind w:firstLine="800" w:firstLineChars="200"/>
        <w:jc w:val="center"/>
        <w:rPr>
          <w:rFonts w:hint="eastAsia" w:ascii="Times New Roman" w:hAnsi="Times New Roman" w:eastAsia="方正小标宋简体" w:cs="Times New Roman"/>
          <w:color w:val="auto"/>
          <w:kern w:val="2"/>
          <w:sz w:val="40"/>
          <w:szCs w:val="40"/>
          <w:lang w:val="en-US" w:eastAsia="zh-CN" w:bidi="ar-SA"/>
        </w:rPr>
      </w:pPr>
      <w:r>
        <w:rPr>
          <w:rFonts w:hint="eastAsia" w:ascii="Times New Roman" w:hAnsi="Times New Roman" w:eastAsia="方正小标宋简体" w:cs="Times New Roman"/>
          <w:color w:val="auto"/>
          <w:kern w:val="2"/>
          <w:sz w:val="40"/>
          <w:szCs w:val="40"/>
          <w:lang w:val="en-US" w:eastAsia="zh-CN" w:bidi="ar-SA"/>
        </w:rPr>
        <w:t>2024年度专项预算项目支出绩效自评报告</w:t>
      </w:r>
    </w:p>
    <w:p w14:paraId="4ED8266D">
      <w:pPr>
        <w:pStyle w:val="2"/>
        <w:spacing w:line="600" w:lineRule="exact"/>
        <w:ind w:firstLine="640" w:firstLineChars="200"/>
        <w:jc w:val="center"/>
        <w:rPr>
          <w:rFonts w:hint="eastAsia" w:ascii="方正黑体_GBK" w:hAnsi="方正黑体_GBK" w:eastAsia="方正黑体_GBK" w:cs="方正黑体_GBK"/>
          <w:color w:val="auto"/>
          <w:kern w:val="2"/>
          <w:sz w:val="32"/>
          <w:szCs w:val="32"/>
        </w:rPr>
      </w:pPr>
      <w:r>
        <w:rPr>
          <w:rFonts w:hint="eastAsia" w:ascii="Times New Roman" w:hAnsi="Times New Roman" w:eastAsia="方正小标宋简体" w:cs="Times New Roman"/>
          <w:color w:val="auto"/>
          <w:kern w:val="2"/>
          <w:sz w:val="32"/>
          <w:szCs w:val="32"/>
          <w:lang w:val="en-US" w:eastAsia="zh-CN" w:bidi="ar-SA"/>
        </w:rPr>
        <w:t>（以往年度基层治理资金）</w:t>
      </w:r>
    </w:p>
    <w:p w14:paraId="166F3072">
      <w:pPr>
        <w:adjustRightInd w:val="0"/>
        <w:snapToGrid w:val="0"/>
        <w:spacing w:line="560" w:lineRule="exact"/>
        <w:ind w:firstLine="720"/>
        <w:rPr>
          <w:rFonts w:hint="eastAsia" w:ascii="方正黑体_GBK" w:hAnsi="方正黑体_GBK" w:eastAsia="方正黑体_GBK" w:cs="方正黑体_GBK"/>
          <w:lang w:val="zh-CN"/>
        </w:rPr>
      </w:pPr>
      <w:r>
        <w:rPr>
          <w:rFonts w:hint="eastAsia" w:ascii="方正黑体_GBK" w:hAnsi="方正黑体_GBK" w:eastAsia="方正黑体_GBK" w:cs="方正黑体_GBK"/>
        </w:rPr>
        <w:t>一、</w:t>
      </w:r>
      <w:r>
        <w:rPr>
          <w:rFonts w:hint="eastAsia" w:ascii="方正黑体_GBK" w:hAnsi="方正黑体_GBK" w:eastAsia="方正黑体_GBK" w:cs="方正黑体_GBK"/>
          <w:lang w:val="zh-CN"/>
        </w:rPr>
        <w:t>项目概况</w:t>
      </w:r>
    </w:p>
    <w:p w14:paraId="7BBBC6D1">
      <w:pPr>
        <w:adjustRightInd w:val="0"/>
        <w:snapToGrid w:val="0"/>
        <w:spacing w:line="600" w:lineRule="exact"/>
        <w:ind w:firstLine="720"/>
        <w:rPr>
          <w:rFonts w:hint="eastAsia"/>
          <w:lang w:val="en-US" w:eastAsia="zh-CN"/>
        </w:rPr>
      </w:pPr>
      <w:r>
        <w:rPr>
          <w:rFonts w:hint="eastAsia" w:ascii="楷体_GB2312" w:hAnsi="宋体" w:eastAsia="楷体_GB2312"/>
          <w:b/>
          <w:lang w:val="zh-CN"/>
        </w:rPr>
        <w:t>（一）</w:t>
      </w:r>
      <w:r>
        <w:rPr>
          <w:rFonts w:eastAsia="楷体_GB2312"/>
          <w:b/>
          <w:lang w:val="zh-CN"/>
        </w:rPr>
        <w:t>项目基本情况。</w:t>
      </w:r>
    </w:p>
    <w:p w14:paraId="75AC85F1">
      <w:pPr>
        <w:pStyle w:val="8"/>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项目涵盖四个村公共运行、乡村道路维修维护、城乡环境综合治理、村居办公费、水利工程管护、 安全劝导人员补助、网格管理、群团和关心下一代工作、污水处理等多个方面的基层治理，旨在</w:t>
      </w:r>
      <w:r>
        <w:rPr>
          <w:rFonts w:hint="eastAsia" w:ascii="方正仿宋_GBK" w:hAnsi="方正仿宋_GBK" w:eastAsia="方正仿宋_GBK" w:cs="方正仿宋_GBK"/>
          <w:sz w:val="32"/>
          <w:szCs w:val="32"/>
        </w:rPr>
        <w:t>通过党建示范带动，以村（居）民自治，民主管理，推动群众参与，</w:t>
      </w:r>
      <w:r>
        <w:rPr>
          <w:rFonts w:hint="eastAsia" w:ascii="方正仿宋_GBK" w:hAnsi="方正仿宋_GBK" w:eastAsia="方正仿宋_GBK" w:cs="方正仿宋_GBK"/>
          <w:sz w:val="32"/>
          <w:szCs w:val="32"/>
          <w:lang w:val="en-US" w:eastAsia="zh-CN"/>
        </w:rPr>
        <w:t>进一步加强中坝乡基层治理工作，充分发挥城乡基层组织的作用，推进城乡基层治理制度创新和能力建设，加强城乡环境治理，改善城乡人居环境，带动农村产业发展，增加农民产业收入，提高居民幸福感，全力打造与云南接壤门户枢纽，建设美丽繁荣和谐中坝。</w:t>
      </w:r>
    </w:p>
    <w:p w14:paraId="17B854F4">
      <w:pPr>
        <w:numPr>
          <w:ilvl w:val="0"/>
          <w:numId w:val="1"/>
        </w:numPr>
        <w:autoSpaceDE w:val="0"/>
        <w:autoSpaceDN w:val="0"/>
        <w:adjustRightInd w:val="0"/>
        <w:spacing w:line="600" w:lineRule="exact"/>
        <w:ind w:firstLine="643" w:firstLineChars="200"/>
        <w:jc w:val="left"/>
        <w:rPr>
          <w:rFonts w:hint="eastAsia" w:ascii="楷体_GB2312" w:hAnsi="宋体" w:eastAsia="楷体_GB2312"/>
          <w:b/>
          <w:lang w:val="zh-CN"/>
        </w:rPr>
      </w:pPr>
      <w:r>
        <w:rPr>
          <w:rFonts w:hint="eastAsia" w:ascii="楷体_GB2312" w:hAnsi="宋体" w:eastAsia="楷体_GB2312"/>
          <w:b/>
          <w:lang w:val="zh-CN"/>
        </w:rPr>
        <w:t>项目绩效目标。</w:t>
      </w:r>
    </w:p>
    <w:p w14:paraId="6A6B6D54">
      <w:pPr>
        <w:numPr>
          <w:ilvl w:val="0"/>
          <w:numId w:val="0"/>
        </w:numPr>
        <w:autoSpaceDE w:val="0"/>
        <w:autoSpaceDN w:val="0"/>
        <w:adjustRightInd w:val="0"/>
        <w:spacing w:line="600" w:lineRule="exact"/>
        <w:ind w:firstLine="640" w:firstLineChars="200"/>
        <w:jc w:val="left"/>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2024年中坝乡以往年度基层治理资金绩效目标主要是保障4个村村两委日常工作正常运转；进一步推进城乡环境卫生综合整治工作；保障社情民意收集、矛盾纠纷排查化解、安全隐患排查整治、政治法律法规宣传等；保障公共基础设施维护等；加强城乡环境治理，改善城乡人居环境，带动农村产业发展，增加农民产业收入，合理确定职能职责，进一步完善集体“三资”管理制度，发挥集体“三资”管理制度在基层治理中的互补作用，确保基层治理规范有序推进。</w:t>
      </w:r>
    </w:p>
    <w:p w14:paraId="26502076">
      <w:pPr>
        <w:numPr>
          <w:ilvl w:val="0"/>
          <w:numId w:val="1"/>
        </w:numPr>
        <w:autoSpaceDE w:val="0"/>
        <w:autoSpaceDN w:val="0"/>
        <w:adjustRightInd w:val="0"/>
        <w:spacing w:line="600" w:lineRule="exact"/>
        <w:ind w:firstLine="643" w:firstLineChars="200"/>
        <w:jc w:val="left"/>
        <w:rPr>
          <w:rFonts w:hint="eastAsia" w:ascii="楷体_GB2312" w:hAnsi="宋体" w:eastAsia="楷体_GB2312"/>
          <w:b/>
          <w:lang w:val="zh-CN"/>
        </w:rPr>
      </w:pPr>
      <w:r>
        <w:rPr>
          <w:rFonts w:hint="eastAsia" w:ascii="楷体_GB2312" w:hAnsi="宋体" w:eastAsia="楷体_GB2312"/>
          <w:b/>
          <w:lang w:val="zh-CN" w:eastAsia="zh-CN"/>
        </w:rPr>
        <w:t>项目自评步骤及方法。</w:t>
      </w:r>
    </w:p>
    <w:p w14:paraId="38A5A626">
      <w:pPr>
        <w:numPr>
          <w:ilvl w:val="0"/>
          <w:numId w:val="0"/>
        </w:numPr>
        <w:autoSpaceDE w:val="0"/>
        <w:autoSpaceDN w:val="0"/>
        <w:adjustRightInd w:val="0"/>
        <w:spacing w:line="600" w:lineRule="exact"/>
        <w:ind w:firstLine="640" w:firstLineChars="200"/>
        <w:jc w:val="left"/>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项目采取自评方式进行，项目</w:t>
      </w:r>
      <w:r>
        <w:rPr>
          <w:rFonts w:hint="default" w:ascii="方正仿宋_GBK" w:hAnsi="方正仿宋_GBK" w:eastAsia="方正仿宋_GBK" w:cs="方正仿宋_GBK"/>
          <w:color w:val="000000"/>
          <w:kern w:val="2"/>
          <w:sz w:val="32"/>
          <w:szCs w:val="32"/>
          <w:lang w:val="en-US" w:eastAsia="zh-CN" w:bidi="ar-SA"/>
        </w:rPr>
        <w:t>自评</w:t>
      </w:r>
      <w:r>
        <w:rPr>
          <w:rFonts w:hint="eastAsia" w:ascii="方正仿宋_GBK" w:hAnsi="方正仿宋_GBK" w:eastAsia="方正仿宋_GBK" w:cs="方正仿宋_GBK"/>
          <w:color w:val="000000"/>
          <w:kern w:val="2"/>
          <w:sz w:val="32"/>
          <w:szCs w:val="32"/>
          <w:lang w:val="en-US" w:eastAsia="zh-CN" w:bidi="ar-SA"/>
        </w:rPr>
        <w:t>人员</w:t>
      </w:r>
      <w:r>
        <w:rPr>
          <w:rFonts w:hint="default" w:ascii="方正仿宋_GBK" w:hAnsi="方正仿宋_GBK" w:eastAsia="方正仿宋_GBK" w:cs="方正仿宋_GBK"/>
          <w:color w:val="000000"/>
          <w:kern w:val="2"/>
          <w:sz w:val="32"/>
          <w:szCs w:val="32"/>
          <w:lang w:val="en-US" w:eastAsia="zh-CN" w:bidi="ar-SA"/>
        </w:rPr>
        <w:t>按照上级下达的项目支出绩效评价指标体系，通过目标计划梳理</w:t>
      </w:r>
      <w:r>
        <w:rPr>
          <w:rFonts w:hint="eastAsia" w:ascii="方正仿宋_GBK" w:hAnsi="方正仿宋_GBK" w:eastAsia="方正仿宋_GBK" w:cs="方正仿宋_GBK"/>
          <w:color w:val="000000"/>
          <w:kern w:val="2"/>
          <w:sz w:val="32"/>
          <w:szCs w:val="32"/>
          <w:lang w:val="en-US" w:eastAsia="zh-CN" w:bidi="ar-SA"/>
        </w:rPr>
        <w:t>、</w:t>
      </w:r>
      <w:r>
        <w:rPr>
          <w:rFonts w:hint="default" w:ascii="方正仿宋_GBK" w:hAnsi="方正仿宋_GBK" w:eastAsia="方正仿宋_GBK" w:cs="方正仿宋_GBK"/>
          <w:color w:val="000000"/>
          <w:kern w:val="2"/>
          <w:sz w:val="32"/>
          <w:szCs w:val="32"/>
          <w:lang w:val="en-US" w:eastAsia="zh-CN" w:bidi="ar-SA"/>
        </w:rPr>
        <w:t>项目完成情况调查等收集评价数据</w:t>
      </w:r>
      <w:r>
        <w:rPr>
          <w:rFonts w:hint="eastAsia" w:ascii="方正仿宋_GBK" w:hAnsi="方正仿宋_GBK" w:eastAsia="方正仿宋_GBK" w:cs="方正仿宋_GBK"/>
          <w:color w:val="000000"/>
          <w:kern w:val="2"/>
          <w:sz w:val="32"/>
          <w:szCs w:val="32"/>
          <w:lang w:val="en-US" w:eastAsia="zh-CN" w:bidi="ar-SA"/>
        </w:rPr>
        <w:t>，</w:t>
      </w:r>
      <w:r>
        <w:rPr>
          <w:rFonts w:hint="default" w:ascii="方正仿宋_GBK" w:hAnsi="方正仿宋_GBK" w:eastAsia="方正仿宋_GBK" w:cs="方正仿宋_GBK"/>
          <w:color w:val="000000"/>
          <w:kern w:val="2"/>
          <w:sz w:val="32"/>
          <w:szCs w:val="32"/>
          <w:lang w:val="en-US" w:eastAsia="zh-CN" w:bidi="ar-SA"/>
        </w:rPr>
        <w:t>针对</w:t>
      </w:r>
      <w:r>
        <w:rPr>
          <w:rFonts w:hint="eastAsia" w:ascii="方正仿宋_GBK" w:hAnsi="方正仿宋_GBK" w:eastAsia="方正仿宋_GBK" w:cs="方正仿宋_GBK"/>
          <w:color w:val="000000"/>
          <w:kern w:val="2"/>
          <w:sz w:val="32"/>
          <w:szCs w:val="32"/>
          <w:lang w:val="en-US" w:eastAsia="zh-CN" w:bidi="ar-SA"/>
        </w:rPr>
        <w:t>项目</w:t>
      </w:r>
      <w:r>
        <w:rPr>
          <w:rFonts w:hint="default" w:ascii="方正仿宋_GBK" w:hAnsi="方正仿宋_GBK" w:eastAsia="方正仿宋_GBK" w:cs="方正仿宋_GBK"/>
          <w:color w:val="000000"/>
          <w:kern w:val="2"/>
          <w:sz w:val="32"/>
          <w:szCs w:val="32"/>
          <w:lang w:val="en-US" w:eastAsia="zh-CN" w:bidi="ar-SA"/>
        </w:rPr>
        <w:t>申报内容、实施情况、资金兑现、财务管理、社会效益等做出自评</w:t>
      </w:r>
      <w:r>
        <w:rPr>
          <w:rFonts w:hint="eastAsia" w:ascii="方正仿宋_GBK" w:hAnsi="方正仿宋_GBK" w:eastAsia="方正仿宋_GBK" w:cs="方正仿宋_GBK"/>
          <w:color w:val="000000"/>
          <w:kern w:val="2"/>
          <w:sz w:val="32"/>
          <w:szCs w:val="32"/>
          <w:lang w:val="en-US" w:eastAsia="zh-CN" w:bidi="ar-SA"/>
        </w:rPr>
        <w:t>，评价工作做到有计划，有安排，扎实开展本次自评工作</w:t>
      </w:r>
      <w:r>
        <w:rPr>
          <w:rFonts w:hint="default" w:ascii="方正仿宋_GBK" w:hAnsi="方正仿宋_GBK" w:eastAsia="方正仿宋_GBK" w:cs="方正仿宋_GBK"/>
          <w:color w:val="000000"/>
          <w:kern w:val="2"/>
          <w:sz w:val="32"/>
          <w:szCs w:val="32"/>
          <w:lang w:val="en-US" w:eastAsia="zh-CN" w:bidi="ar-SA"/>
        </w:rPr>
        <w:t>。</w:t>
      </w:r>
    </w:p>
    <w:p w14:paraId="13433C40">
      <w:pPr>
        <w:adjustRightInd w:val="0"/>
        <w:snapToGrid w:val="0"/>
        <w:spacing w:line="600" w:lineRule="exact"/>
        <w:ind w:firstLine="720"/>
        <w:rPr>
          <w:rFonts w:eastAsia="黑体"/>
        </w:rPr>
      </w:pPr>
      <w:r>
        <w:rPr>
          <w:rFonts w:eastAsia="黑体"/>
        </w:rPr>
        <w:t>二、项目资金申报及使用情况</w:t>
      </w:r>
    </w:p>
    <w:p w14:paraId="4C8D4D7C">
      <w:pPr>
        <w:adjustRightInd w:val="0"/>
        <w:snapToGrid w:val="0"/>
        <w:spacing w:line="600" w:lineRule="exact"/>
        <w:ind w:firstLine="720"/>
        <w:rPr>
          <w:rFonts w:eastAsia="楷体_GB2312"/>
          <w:b/>
          <w:lang w:val="zh-CN"/>
        </w:rPr>
      </w:pPr>
      <w:r>
        <w:rPr>
          <w:rFonts w:eastAsia="楷体_GB2312"/>
          <w:b/>
          <w:lang w:val="zh-CN"/>
        </w:rPr>
        <w:t>（一）项目资金申报及批复情况。</w:t>
      </w:r>
    </w:p>
    <w:p w14:paraId="7FAAA752">
      <w:pPr>
        <w:numPr>
          <w:ilvl w:val="0"/>
          <w:numId w:val="0"/>
        </w:numPr>
        <w:autoSpaceDE w:val="0"/>
        <w:autoSpaceDN w:val="0"/>
        <w:adjustRightInd w:val="0"/>
        <w:spacing w:line="600" w:lineRule="exact"/>
        <w:ind w:firstLine="640" w:firstLineChars="200"/>
        <w:jc w:val="left"/>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为充分发挥城乡基层组织的作用，全面整治城乡环境，不断改善城乡面貌，提升城乡人居环境质量，增强广大群众的获得感和幸福感，申报基层治理资金。根据攀仁财资预乡[2024]2号文件下达以往年度基层治理资金78.62万元。</w:t>
      </w:r>
    </w:p>
    <w:p w14:paraId="622765ED">
      <w:pPr>
        <w:pStyle w:val="8"/>
        <w:ind w:firstLine="643" w:firstLineChars="200"/>
        <w:rPr>
          <w:rFonts w:ascii="Times New Roman" w:hAnsi="Times New Roman" w:eastAsia="楷体_GB2312" w:cs="Times New Roman"/>
          <w:b/>
          <w:color w:val="auto"/>
          <w:kern w:val="2"/>
          <w:sz w:val="32"/>
          <w:szCs w:val="32"/>
          <w:lang w:val="zh-CN" w:eastAsia="zh-CN" w:bidi="ar-SA"/>
        </w:rPr>
      </w:pPr>
      <w:r>
        <w:rPr>
          <w:rFonts w:ascii="Times New Roman" w:hAnsi="Times New Roman" w:eastAsia="楷体_GB2312" w:cs="Times New Roman"/>
          <w:b/>
          <w:color w:val="auto"/>
          <w:kern w:val="2"/>
          <w:sz w:val="32"/>
          <w:szCs w:val="32"/>
          <w:lang w:val="zh-CN" w:eastAsia="zh-CN" w:bidi="ar-SA"/>
        </w:rPr>
        <w:t>（二）资金计划、到位及使用情况</w:t>
      </w:r>
    </w:p>
    <w:p w14:paraId="72910824">
      <w:pPr>
        <w:adjustRightInd w:val="0"/>
        <w:snapToGrid w:val="0"/>
        <w:spacing w:line="560" w:lineRule="exact"/>
        <w:ind w:firstLine="643" w:firstLineChars="200"/>
        <w:rPr>
          <w:rFonts w:hint="eastAsia" w:ascii="楷体_GB2312" w:hAnsi="宋体" w:eastAsia="楷体_GB2312"/>
          <w:b/>
          <w:bCs/>
          <w:lang w:val="en-US" w:eastAsia="zh-CN"/>
        </w:rPr>
      </w:pPr>
      <w:r>
        <w:rPr>
          <w:rFonts w:hint="eastAsia" w:ascii="楷体_GB2312" w:hAnsi="宋体" w:eastAsia="楷体_GB2312"/>
          <w:b/>
          <w:bCs/>
          <w:lang w:val="zh-CN"/>
        </w:rPr>
        <w:t>1．资金计划及到位</w:t>
      </w:r>
      <w:r>
        <w:rPr>
          <w:rFonts w:hint="eastAsia" w:ascii="楷体_GB2312" w:hAnsi="宋体" w:eastAsia="楷体_GB2312"/>
          <w:b/>
          <w:bCs/>
          <w:lang w:val="en-US" w:eastAsia="zh-CN"/>
        </w:rPr>
        <w:t>情况。</w:t>
      </w:r>
    </w:p>
    <w:p w14:paraId="706C1F0A">
      <w:pPr>
        <w:numPr>
          <w:ilvl w:val="0"/>
          <w:numId w:val="0"/>
        </w:numPr>
        <w:autoSpaceDE w:val="0"/>
        <w:autoSpaceDN w:val="0"/>
        <w:adjustRightInd w:val="0"/>
        <w:spacing w:line="600" w:lineRule="exact"/>
        <w:ind w:firstLine="640" w:firstLineChars="200"/>
        <w:jc w:val="left"/>
        <w:rPr>
          <w:rFonts w:hint="eastAsia" w:ascii="Times New Roman" w:hAnsi="Times New Roman" w:eastAsia="方正仿宋_GBK" w:cs="Times New Roman"/>
          <w:color w:val="000000"/>
          <w:kern w:val="2"/>
          <w:sz w:val="32"/>
          <w:szCs w:val="32"/>
          <w:lang w:val="zh-CN" w:eastAsia="zh-CN" w:bidi="ar-SA"/>
        </w:rPr>
      </w:pPr>
      <w:r>
        <w:rPr>
          <w:rFonts w:hint="eastAsia" w:ascii="Times New Roman" w:hAnsi="Times New Roman" w:eastAsia="方正仿宋_GBK" w:cs="Times New Roman"/>
          <w:color w:val="000000"/>
          <w:kern w:val="2"/>
          <w:sz w:val="32"/>
          <w:szCs w:val="32"/>
          <w:lang w:val="en-US" w:eastAsia="zh-CN" w:bidi="ar-SA"/>
        </w:rPr>
        <w:t>2024年以往年度基层治理资金78.62万元主要用于以往年度基层治理已完成项目的资金支付，包含公共运行经费、乡村道路维护及道路维修、城乡环境综合治理、村居办公费、水利工程管护水库管理人员补助、 安全劝导人员补助、网格管理、群团和关心下一代经费等方面。2024年以往年度基层治理资金78.62万元及时到位，到位率100%。</w:t>
      </w:r>
    </w:p>
    <w:p w14:paraId="7F6DFCC0">
      <w:pPr>
        <w:numPr>
          <w:ilvl w:val="0"/>
          <w:numId w:val="2"/>
        </w:numPr>
        <w:autoSpaceDE w:val="0"/>
        <w:autoSpaceDN w:val="0"/>
        <w:adjustRightInd w:val="0"/>
        <w:spacing w:line="600" w:lineRule="exact"/>
        <w:ind w:firstLine="643" w:firstLineChars="200"/>
        <w:jc w:val="left"/>
        <w:rPr>
          <w:rFonts w:hint="eastAsia" w:ascii="楷体_GB2312" w:hAnsi="宋体" w:eastAsia="楷体_GB2312"/>
          <w:b/>
          <w:bCs/>
          <w:lang w:val="zh-CN"/>
        </w:rPr>
      </w:pPr>
      <w:r>
        <w:rPr>
          <w:rFonts w:hint="eastAsia" w:ascii="楷体_GB2312" w:hAnsi="宋体" w:eastAsia="楷体_GB2312"/>
          <w:b/>
          <w:bCs/>
          <w:lang w:val="zh-CN"/>
        </w:rPr>
        <w:t>资金使用</w:t>
      </w:r>
      <w:r>
        <w:rPr>
          <w:rFonts w:hint="eastAsia" w:ascii="楷体_GB2312" w:hAnsi="宋体" w:eastAsia="楷体_GB2312"/>
          <w:b/>
          <w:bCs/>
          <w:lang w:val="en-US" w:eastAsia="zh-CN"/>
        </w:rPr>
        <w:t>情况</w:t>
      </w:r>
      <w:r>
        <w:rPr>
          <w:rFonts w:hint="eastAsia" w:ascii="楷体_GB2312" w:hAnsi="宋体" w:eastAsia="楷体_GB2312"/>
          <w:b/>
          <w:bCs/>
          <w:lang w:val="zh-CN"/>
        </w:rPr>
        <w:t>。</w:t>
      </w:r>
    </w:p>
    <w:p w14:paraId="61AFEA2F">
      <w:pPr>
        <w:numPr>
          <w:ilvl w:val="0"/>
          <w:numId w:val="0"/>
        </w:numPr>
        <w:autoSpaceDE w:val="0"/>
        <w:autoSpaceDN w:val="0"/>
        <w:adjustRightInd w:val="0"/>
        <w:spacing w:line="600" w:lineRule="exact"/>
        <w:ind w:firstLine="640" w:firstLineChars="200"/>
        <w:jc w:val="left"/>
        <w:rPr>
          <w:rFonts w:hint="eastAsia" w:ascii="Times New Roman" w:hAnsi="Times New Roman" w:eastAsia="方正仿宋_GBK" w:cs="Times New Roman"/>
          <w:color w:val="000000"/>
          <w:kern w:val="2"/>
          <w:sz w:val="32"/>
          <w:szCs w:val="32"/>
          <w:lang w:val="en-US" w:eastAsia="zh-CN" w:bidi="ar-SA"/>
        </w:rPr>
      </w:pPr>
      <w:r>
        <w:rPr>
          <w:rFonts w:hint="eastAsia" w:ascii="Times New Roman" w:hAnsi="Times New Roman" w:eastAsia="方正仿宋_GBK" w:cs="Times New Roman"/>
          <w:color w:val="000000"/>
          <w:kern w:val="2"/>
          <w:sz w:val="32"/>
          <w:szCs w:val="32"/>
          <w:lang w:val="en-US" w:eastAsia="zh-CN" w:bidi="ar-SA"/>
        </w:rPr>
        <w:t>2024年以往年度基层治理资金支付范围、支付标准、支付进度、支付依据等合规合法、与预算相符。主要用于4个村办公经费、乡村沟渠及道路维护、城乡环境综合治理、生活污水设施维护、 安全劝导人员补助、网格管理、基层文化阵地建设、中啊路及仁拉路保洁等支出54.62万元，因财政资金紧张，2023年四个村关心下一代工作经费及四个村公共运行经费结转至下年进行支付，年底区财政追减资金24万元，支付完成率69.47%。</w:t>
      </w:r>
    </w:p>
    <w:p w14:paraId="43BF909C">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w:t>
      </w:r>
      <w:r>
        <w:rPr>
          <w:rFonts w:hint="eastAsia" w:ascii="楷体_GB2312" w:hAnsi="宋体" w:eastAsia="楷体_GB2312"/>
          <w:b/>
          <w:lang w:val="en-US" w:eastAsia="zh-CN"/>
        </w:rPr>
        <w:t>三</w:t>
      </w:r>
      <w:r>
        <w:rPr>
          <w:rFonts w:hint="eastAsia" w:ascii="楷体_GB2312" w:hAnsi="宋体" w:eastAsia="楷体_GB2312"/>
          <w:b/>
          <w:lang w:val="zh-CN"/>
        </w:rPr>
        <w:t>）项目财务管理情况。</w:t>
      </w:r>
    </w:p>
    <w:p w14:paraId="7675E49A">
      <w:pPr>
        <w:numPr>
          <w:ilvl w:val="0"/>
          <w:numId w:val="0"/>
        </w:numPr>
        <w:autoSpaceDE w:val="0"/>
        <w:autoSpaceDN w:val="0"/>
        <w:adjustRightInd w:val="0"/>
        <w:spacing w:line="600" w:lineRule="exact"/>
        <w:ind w:firstLine="640" w:firstLineChars="200"/>
        <w:jc w:val="left"/>
        <w:rPr>
          <w:rFonts w:hint="eastAsia" w:ascii="方正仿宋_GBK" w:hAnsi="方正仿宋_GBK" w:eastAsia="方正仿宋_GBK" w:cs="方正仿宋_GBK"/>
          <w:b w:val="0"/>
          <w:bCs w:val="0"/>
          <w:kern w:val="0"/>
          <w:sz w:val="32"/>
          <w:szCs w:val="32"/>
          <w:lang w:val="en-US" w:eastAsia="zh-CN"/>
        </w:rPr>
      </w:pPr>
      <w:r>
        <w:rPr>
          <w:rFonts w:hint="eastAsia" w:ascii="方正仿宋_GBK" w:hAnsi="方正仿宋_GBK" w:eastAsia="方正仿宋_GBK" w:cs="方正仿宋_GBK"/>
          <w:b w:val="0"/>
          <w:bCs w:val="0"/>
          <w:kern w:val="0"/>
          <w:sz w:val="32"/>
          <w:szCs w:val="32"/>
          <w:lang w:val="en-US" w:eastAsia="zh-CN"/>
        </w:rPr>
        <w:t>项目执行过程中，会计账务处理及时；会计核算规范；按照专款专用安排使用资金，资金支付有据可查，开支标准合规合法，资金支出、使用有完整的审批程序和手续；用途明确；无截留、挤占、挪用、虚列支出等情况。</w:t>
      </w:r>
      <w:r>
        <w:rPr>
          <w:rFonts w:hint="default" w:ascii="Times New Roman" w:hAnsi="Times New Roman" w:eastAsia="方正仿宋_GBK" w:cs="Times New Roman"/>
          <w:sz w:val="33"/>
          <w:szCs w:val="33"/>
          <w:lang w:val="en-US" w:eastAsia="zh-CN"/>
        </w:rPr>
        <w:t>资金管理实行专项管理，严格审批制度，真正做到了专款专用，确保项目资金有效的利用。</w:t>
      </w:r>
    </w:p>
    <w:p w14:paraId="45141546">
      <w:pPr>
        <w:numPr>
          <w:ilvl w:val="0"/>
          <w:numId w:val="3"/>
        </w:numPr>
        <w:adjustRightInd w:val="0"/>
        <w:snapToGrid w:val="0"/>
        <w:spacing w:line="600" w:lineRule="exact"/>
        <w:ind w:firstLine="720"/>
        <w:rPr>
          <w:rFonts w:eastAsia="黑体"/>
        </w:rPr>
      </w:pPr>
      <w:r>
        <w:rPr>
          <w:rFonts w:eastAsia="黑体"/>
        </w:rPr>
        <w:t>项目实施及管理情况</w:t>
      </w:r>
    </w:p>
    <w:p w14:paraId="5143226D">
      <w:pPr>
        <w:numPr>
          <w:ilvl w:val="0"/>
          <w:numId w:val="4"/>
        </w:numPr>
        <w:adjustRightInd w:val="0"/>
        <w:snapToGrid w:val="0"/>
        <w:spacing w:line="600" w:lineRule="exact"/>
        <w:ind w:firstLine="720"/>
        <w:rPr>
          <w:rFonts w:eastAsia="楷体_GB2312"/>
          <w:b/>
          <w:highlight w:val="none"/>
          <w:lang w:val="zh-CN"/>
        </w:rPr>
      </w:pPr>
      <w:r>
        <w:rPr>
          <w:rFonts w:eastAsia="楷体_GB2312"/>
          <w:b/>
          <w:highlight w:val="none"/>
          <w:lang w:val="zh-CN"/>
        </w:rPr>
        <w:t>项目组织架构及实施流程。</w:t>
      </w:r>
    </w:p>
    <w:p w14:paraId="7926380D">
      <w:pPr>
        <w:numPr>
          <w:ilvl w:val="0"/>
          <w:numId w:val="0"/>
        </w:numPr>
        <w:autoSpaceDE w:val="0"/>
        <w:autoSpaceDN w:val="0"/>
        <w:adjustRightInd w:val="0"/>
        <w:spacing w:line="600" w:lineRule="exact"/>
        <w:ind w:firstLine="640" w:firstLineChars="200"/>
        <w:jc w:val="left"/>
        <w:rPr>
          <w:rFonts w:hint="default" w:ascii="方正仿宋_GBK" w:hAnsi="方正仿宋_GBK" w:eastAsia="方正仿宋_GBK" w:cs="方正仿宋_GBK"/>
          <w:b w:val="0"/>
          <w:bCs w:val="0"/>
          <w:kern w:val="0"/>
          <w:sz w:val="32"/>
          <w:szCs w:val="32"/>
          <w:lang w:val="en-US" w:eastAsia="zh-CN"/>
        </w:rPr>
      </w:pPr>
      <w:r>
        <w:rPr>
          <w:rFonts w:hint="eastAsia" w:ascii="方正仿宋_GBK" w:hAnsi="方正仿宋_GBK" w:eastAsia="方正仿宋_GBK" w:cs="方正仿宋_GBK"/>
          <w:b w:val="0"/>
          <w:bCs w:val="0"/>
          <w:kern w:val="0"/>
          <w:sz w:val="32"/>
          <w:szCs w:val="32"/>
          <w:lang w:val="zh-CN" w:eastAsia="zh-CN"/>
        </w:rPr>
        <w:t>项目属于公共财政支持范围，设立经过严格评估论证，</w:t>
      </w:r>
      <w:r>
        <w:rPr>
          <w:rFonts w:hint="eastAsia" w:ascii="方正仿宋_GBK" w:hAnsi="方正仿宋_GBK" w:eastAsia="方正仿宋_GBK" w:cs="方正仿宋_GBK"/>
          <w:b w:val="0"/>
          <w:bCs w:val="0"/>
          <w:kern w:val="0"/>
          <w:sz w:val="32"/>
          <w:szCs w:val="32"/>
          <w:lang w:val="en-US" w:eastAsia="zh-CN"/>
        </w:rPr>
        <w:t>与</w:t>
      </w:r>
      <w:r>
        <w:rPr>
          <w:rFonts w:hint="eastAsia" w:ascii="方正仿宋_GBK" w:hAnsi="方正仿宋_GBK" w:eastAsia="方正仿宋_GBK" w:cs="方正仿宋_GBK"/>
          <w:b w:val="0"/>
          <w:bCs w:val="0"/>
          <w:kern w:val="0"/>
          <w:sz w:val="32"/>
          <w:szCs w:val="32"/>
          <w:lang w:val="zh-CN" w:eastAsia="zh-CN"/>
        </w:rPr>
        <w:t>部门职责相符，符合地方事权支出责任划分原则，与相关部门同类项目或部门内部相关项目</w:t>
      </w:r>
      <w:r>
        <w:rPr>
          <w:rFonts w:hint="eastAsia" w:ascii="方正仿宋_GBK" w:hAnsi="方正仿宋_GBK" w:eastAsia="方正仿宋_GBK" w:cs="方正仿宋_GBK"/>
          <w:b w:val="0"/>
          <w:bCs w:val="0"/>
          <w:kern w:val="0"/>
          <w:sz w:val="32"/>
          <w:szCs w:val="32"/>
          <w:lang w:val="en-US" w:eastAsia="zh-CN"/>
        </w:rPr>
        <w:t>无</w:t>
      </w:r>
      <w:r>
        <w:rPr>
          <w:rFonts w:hint="eastAsia" w:ascii="方正仿宋_GBK" w:hAnsi="方正仿宋_GBK" w:eastAsia="方正仿宋_GBK" w:cs="方正仿宋_GBK"/>
          <w:b w:val="0"/>
          <w:bCs w:val="0"/>
          <w:kern w:val="0"/>
          <w:sz w:val="32"/>
          <w:szCs w:val="32"/>
          <w:lang w:val="zh-CN" w:eastAsia="zh-CN"/>
        </w:rPr>
        <w:t>重复</w:t>
      </w:r>
      <w:r>
        <w:rPr>
          <w:rFonts w:hint="eastAsia" w:ascii="方正仿宋_GBK" w:hAnsi="方正仿宋_GBK" w:eastAsia="方正仿宋_GBK" w:cs="方正仿宋_GBK"/>
          <w:b w:val="0"/>
          <w:bCs w:val="0"/>
          <w:kern w:val="0"/>
          <w:sz w:val="32"/>
          <w:szCs w:val="32"/>
          <w:lang w:val="en-US" w:eastAsia="zh-CN"/>
        </w:rPr>
        <w:t>情况。项目规划及资金安排合理，严格按照攀仁府办【2020】77号《攀枝花市仁和区建立基层公益设施管护制度推进基层治理财政补助工作方案》文件要求实施，</w:t>
      </w:r>
      <w:r>
        <w:rPr>
          <w:rFonts w:hint="default" w:ascii="方正仿宋_GBK" w:hAnsi="方正仿宋_GBK" w:eastAsia="方正仿宋_GBK" w:cs="方正仿宋_GBK"/>
          <w:b w:val="0"/>
          <w:bCs w:val="0"/>
          <w:kern w:val="0"/>
          <w:sz w:val="32"/>
          <w:szCs w:val="32"/>
          <w:lang w:val="en-US" w:eastAsia="zh-CN"/>
        </w:rPr>
        <w:t>实施流程均严格按照有关规定执行。</w:t>
      </w:r>
    </w:p>
    <w:p w14:paraId="48786684">
      <w:pPr>
        <w:adjustRightInd w:val="0"/>
        <w:snapToGrid w:val="0"/>
        <w:spacing w:line="600" w:lineRule="exact"/>
        <w:ind w:firstLine="720"/>
        <w:rPr>
          <w:rFonts w:eastAsia="楷体_GB2312"/>
          <w:b/>
          <w:lang w:val="zh-CN"/>
        </w:rPr>
      </w:pPr>
      <w:r>
        <w:rPr>
          <w:rFonts w:eastAsia="楷体_GB2312"/>
          <w:b/>
          <w:lang w:val="zh-CN"/>
        </w:rPr>
        <w:t>（二）项目管理情况。</w:t>
      </w:r>
    </w:p>
    <w:p w14:paraId="037F670F">
      <w:pPr>
        <w:numPr>
          <w:ilvl w:val="0"/>
          <w:numId w:val="0"/>
        </w:numPr>
        <w:autoSpaceDE w:val="0"/>
        <w:autoSpaceDN w:val="0"/>
        <w:adjustRightInd w:val="0"/>
        <w:spacing w:line="600" w:lineRule="exact"/>
        <w:ind w:firstLine="640" w:firstLineChars="200"/>
        <w:jc w:val="left"/>
        <w:rPr>
          <w:rFonts w:hint="default" w:ascii="方正仿宋_GBK" w:hAnsi="方正仿宋_GBK" w:eastAsia="方正仿宋_GBK" w:cs="方正仿宋_GBK"/>
          <w:b w:val="0"/>
          <w:bCs w:val="0"/>
          <w:kern w:val="0"/>
          <w:sz w:val="32"/>
          <w:szCs w:val="32"/>
          <w:lang w:val="en-US" w:eastAsia="zh-CN"/>
        </w:rPr>
      </w:pPr>
      <w:r>
        <w:rPr>
          <w:rFonts w:hint="eastAsia" w:ascii="方正仿宋_GBK" w:hAnsi="方正仿宋_GBK" w:eastAsia="方正仿宋_GBK" w:cs="方正仿宋_GBK"/>
          <w:b w:val="0"/>
          <w:bCs w:val="0"/>
          <w:kern w:val="0"/>
          <w:sz w:val="32"/>
          <w:szCs w:val="32"/>
          <w:lang w:val="en-US" w:eastAsia="zh-CN"/>
        </w:rPr>
        <w:t>中坝乡</w:t>
      </w:r>
      <w:r>
        <w:rPr>
          <w:rFonts w:hint="default" w:ascii="方正仿宋_GBK" w:hAnsi="方正仿宋_GBK" w:eastAsia="方正仿宋_GBK" w:cs="方正仿宋_GBK"/>
          <w:b w:val="0"/>
          <w:bCs w:val="0"/>
          <w:kern w:val="0"/>
          <w:sz w:val="32"/>
          <w:szCs w:val="32"/>
          <w:lang w:val="en-US" w:eastAsia="zh-CN"/>
        </w:rPr>
        <w:t>在</w:t>
      </w:r>
      <w:r>
        <w:rPr>
          <w:rFonts w:hint="eastAsia" w:ascii="方正仿宋_GBK" w:hAnsi="方正仿宋_GBK" w:eastAsia="方正仿宋_GBK" w:cs="方正仿宋_GBK"/>
          <w:b w:val="0"/>
          <w:bCs w:val="0"/>
          <w:kern w:val="0"/>
          <w:sz w:val="32"/>
          <w:szCs w:val="32"/>
          <w:lang w:val="en-US" w:eastAsia="zh-CN"/>
        </w:rPr>
        <w:t>项目</w:t>
      </w:r>
      <w:r>
        <w:rPr>
          <w:rFonts w:hint="default" w:ascii="方正仿宋_GBK" w:hAnsi="方正仿宋_GBK" w:eastAsia="方正仿宋_GBK" w:cs="方正仿宋_GBK"/>
          <w:b w:val="0"/>
          <w:bCs w:val="0"/>
          <w:kern w:val="0"/>
          <w:sz w:val="32"/>
          <w:szCs w:val="32"/>
          <w:lang w:val="en-US" w:eastAsia="zh-CN"/>
        </w:rPr>
        <w:t>实施过程中，建立健全相关制度、机制，严格执行，推进各专项工作的落实。</w:t>
      </w:r>
      <w:r>
        <w:rPr>
          <w:rFonts w:hint="eastAsia" w:ascii="方正仿宋_GBK" w:hAnsi="方正仿宋_GBK" w:eastAsia="方正仿宋_GBK" w:cs="方正仿宋_GBK"/>
          <w:b w:val="0"/>
          <w:bCs w:val="0"/>
          <w:kern w:val="0"/>
          <w:sz w:val="32"/>
          <w:szCs w:val="32"/>
          <w:lang w:val="en-US" w:eastAsia="zh-CN"/>
        </w:rPr>
        <w:t>2024年以往年度基层治理资金按照“财权与事权统一，经费随职责走”的原则，根据攀仁府办【2020】77号《攀枝花市仁和区建立基层公益设施管护制度推进基层治理财政补助工作方案》文件精神要求和</w:t>
      </w:r>
      <w:r>
        <w:rPr>
          <w:rFonts w:hint="eastAsia" w:ascii="方正仿宋_GBK" w:hAnsi="方正仿宋_GBK" w:eastAsia="方正仿宋_GBK" w:cs="方正仿宋_GBK"/>
          <w:b w:val="0"/>
          <w:bCs w:val="0"/>
          <w:kern w:val="0"/>
          <w:sz w:val="32"/>
          <w:szCs w:val="32"/>
          <w:lang w:val="zh-CN" w:eastAsia="zh-CN"/>
        </w:rPr>
        <w:t>相关法律法规及项目管理制度等，</w:t>
      </w:r>
      <w:r>
        <w:rPr>
          <w:rFonts w:hint="eastAsia" w:ascii="方正仿宋_GBK" w:hAnsi="方正仿宋_GBK" w:eastAsia="方正仿宋_GBK" w:cs="方正仿宋_GBK"/>
          <w:b w:val="0"/>
          <w:bCs w:val="0"/>
          <w:kern w:val="0"/>
          <w:sz w:val="32"/>
          <w:szCs w:val="32"/>
          <w:lang w:val="en-US" w:eastAsia="zh-CN"/>
        </w:rPr>
        <w:t>严格按照规范要求及资金支付要求进行管理，</w:t>
      </w:r>
      <w:r>
        <w:rPr>
          <w:rFonts w:hint="default" w:ascii="方正仿宋_GBK" w:hAnsi="方正仿宋_GBK" w:eastAsia="方正仿宋_GBK" w:cs="方正仿宋_GBK"/>
          <w:b w:val="0"/>
          <w:bCs w:val="0"/>
          <w:kern w:val="0"/>
          <w:sz w:val="32"/>
          <w:szCs w:val="32"/>
          <w:lang w:val="en-US" w:eastAsia="zh-CN"/>
        </w:rPr>
        <w:t>按照年初制定的计划，</w:t>
      </w:r>
      <w:r>
        <w:rPr>
          <w:rFonts w:hint="eastAsia" w:ascii="方正仿宋_GBK" w:hAnsi="方正仿宋_GBK" w:eastAsia="方正仿宋_GBK" w:cs="方正仿宋_GBK"/>
          <w:b w:val="0"/>
          <w:bCs w:val="0"/>
          <w:kern w:val="0"/>
          <w:sz w:val="32"/>
          <w:szCs w:val="32"/>
          <w:lang w:val="en-US" w:eastAsia="zh-CN"/>
        </w:rPr>
        <w:t>分项逐步</w:t>
      </w:r>
      <w:r>
        <w:rPr>
          <w:rFonts w:hint="default" w:ascii="方正仿宋_GBK" w:hAnsi="方正仿宋_GBK" w:eastAsia="方正仿宋_GBK" w:cs="方正仿宋_GBK"/>
          <w:b w:val="0"/>
          <w:bCs w:val="0"/>
          <w:kern w:val="0"/>
          <w:sz w:val="32"/>
          <w:szCs w:val="32"/>
          <w:lang w:val="en-US" w:eastAsia="zh-CN"/>
        </w:rPr>
        <w:t>实施</w:t>
      </w:r>
      <w:r>
        <w:rPr>
          <w:rFonts w:hint="eastAsia" w:ascii="方正仿宋_GBK" w:hAnsi="方正仿宋_GBK" w:eastAsia="方正仿宋_GBK" w:cs="方正仿宋_GBK"/>
          <w:b w:val="0"/>
          <w:bCs w:val="0"/>
          <w:kern w:val="0"/>
          <w:sz w:val="32"/>
          <w:szCs w:val="32"/>
          <w:lang w:val="en-US" w:eastAsia="zh-CN"/>
        </w:rPr>
        <w:t>，及时进行支付。</w:t>
      </w:r>
    </w:p>
    <w:p w14:paraId="1AD6328A">
      <w:pPr>
        <w:adjustRightInd w:val="0"/>
        <w:snapToGrid w:val="0"/>
        <w:spacing w:line="600" w:lineRule="exact"/>
        <w:ind w:firstLine="720"/>
        <w:rPr>
          <w:rFonts w:eastAsia="楷体_GB2312"/>
          <w:b/>
          <w:lang w:val="zh-CN"/>
        </w:rPr>
      </w:pPr>
      <w:r>
        <w:rPr>
          <w:rFonts w:hint="eastAsia" w:eastAsia="楷体_GB2312"/>
          <w:b/>
          <w:lang w:val="zh-CN"/>
        </w:rPr>
        <w:t>（</w:t>
      </w:r>
      <w:r>
        <w:rPr>
          <w:rFonts w:hint="eastAsia" w:eastAsia="楷体_GB2312"/>
          <w:b/>
          <w:lang w:val="en-US" w:eastAsia="zh-CN"/>
        </w:rPr>
        <w:t>三</w:t>
      </w:r>
      <w:r>
        <w:rPr>
          <w:rFonts w:hint="eastAsia" w:eastAsia="楷体_GB2312"/>
          <w:b/>
          <w:lang w:val="zh-CN"/>
        </w:rPr>
        <w:t>）</w:t>
      </w:r>
      <w:r>
        <w:rPr>
          <w:rFonts w:eastAsia="楷体_GB2312"/>
          <w:b/>
          <w:lang w:val="zh-CN"/>
        </w:rPr>
        <w:t>项目监管情况。</w:t>
      </w:r>
    </w:p>
    <w:p w14:paraId="6D6C308D">
      <w:pPr>
        <w:numPr>
          <w:ilvl w:val="0"/>
          <w:numId w:val="0"/>
        </w:numPr>
        <w:autoSpaceDE w:val="0"/>
        <w:autoSpaceDN w:val="0"/>
        <w:adjustRightInd w:val="0"/>
        <w:spacing w:line="600" w:lineRule="exact"/>
        <w:ind w:firstLine="640" w:firstLineChars="200"/>
        <w:jc w:val="left"/>
        <w:rPr>
          <w:rFonts w:hint="default" w:ascii="方正仿宋_GBK" w:hAnsi="方正仿宋_GBK" w:eastAsia="方正仿宋_GBK" w:cs="方正仿宋_GBK"/>
          <w:b w:val="0"/>
          <w:bCs w:val="0"/>
          <w:kern w:val="0"/>
          <w:sz w:val="32"/>
          <w:szCs w:val="32"/>
          <w:lang w:val="en-US" w:eastAsia="zh-CN"/>
        </w:rPr>
      </w:pPr>
      <w:r>
        <w:rPr>
          <w:rFonts w:hint="eastAsia" w:ascii="方正仿宋_GBK" w:hAnsi="方正仿宋_GBK" w:eastAsia="方正仿宋_GBK" w:cs="方正仿宋_GBK"/>
          <w:b w:val="0"/>
          <w:bCs w:val="0"/>
          <w:kern w:val="0"/>
          <w:sz w:val="32"/>
          <w:szCs w:val="32"/>
          <w:lang w:val="en-US" w:eastAsia="zh-CN"/>
        </w:rPr>
        <w:t>项目在使用过程中每月进行自行监控，按要求及时进行事中绩效监控，积极接受上级审计、财监、巡查及各个相关单位的资金监管，同时乡人大、乡纪委等加强项目质量、进度等监督，确保资金使用发挥应有效用。</w:t>
      </w:r>
    </w:p>
    <w:p w14:paraId="485ADF76">
      <w:pPr>
        <w:adjustRightInd w:val="0"/>
        <w:snapToGrid w:val="0"/>
        <w:spacing w:line="560" w:lineRule="exact"/>
        <w:ind w:firstLine="720"/>
        <w:rPr>
          <w:rFonts w:ascii="仿宋_GB2312" w:hAnsi="宋体"/>
          <w:lang w:val="zh-CN"/>
        </w:rPr>
      </w:pPr>
      <w:r>
        <w:rPr>
          <w:rFonts w:hint="eastAsia" w:ascii="黑体" w:hAnsi="宋体" w:eastAsia="黑体"/>
          <w:lang w:val="en-US" w:eastAsia="zh-CN"/>
        </w:rPr>
        <w:t>四</w:t>
      </w:r>
      <w:r>
        <w:rPr>
          <w:rFonts w:hint="eastAsia" w:ascii="黑体" w:hAnsi="宋体" w:eastAsia="黑体"/>
        </w:rPr>
        <w:t>、项目绩效情况</w:t>
      </w:r>
      <w:r>
        <w:rPr>
          <w:rFonts w:hint="eastAsia" w:ascii="仿宋_GB2312" w:hAnsi="宋体"/>
          <w:lang w:val="zh-CN"/>
        </w:rPr>
        <w:tab/>
      </w:r>
    </w:p>
    <w:p w14:paraId="32343C0B">
      <w:pPr>
        <w:adjustRightInd w:val="0"/>
        <w:snapToGrid w:val="0"/>
        <w:spacing w:line="560" w:lineRule="exact"/>
        <w:ind w:firstLine="720"/>
        <w:rPr>
          <w:rFonts w:ascii="楷体_GB2312" w:hAnsi="宋体" w:eastAsia="楷体_GB2312"/>
          <w:b/>
          <w:highlight w:val="none"/>
          <w:lang w:val="zh-CN"/>
        </w:rPr>
      </w:pPr>
      <w:r>
        <w:rPr>
          <w:rFonts w:hint="eastAsia" w:ascii="楷体_GB2312" w:hAnsi="宋体" w:eastAsia="楷体_GB2312"/>
          <w:b/>
          <w:highlight w:val="none"/>
          <w:lang w:val="zh-CN"/>
        </w:rPr>
        <w:t>（一）项目完成情况。</w:t>
      </w:r>
    </w:p>
    <w:p w14:paraId="00D3AA24">
      <w:pPr>
        <w:numPr>
          <w:ilvl w:val="0"/>
          <w:numId w:val="0"/>
        </w:numPr>
        <w:autoSpaceDE w:val="0"/>
        <w:autoSpaceDN w:val="0"/>
        <w:adjustRightInd w:val="0"/>
        <w:spacing w:line="600" w:lineRule="exact"/>
        <w:ind w:firstLine="640" w:firstLineChars="200"/>
        <w:jc w:val="left"/>
        <w:rPr>
          <w:rFonts w:hint="default" w:ascii="Times New Roman" w:hAnsi="Times New Roman" w:eastAsia="方正仿宋_GBK" w:cs="Times New Roman"/>
          <w:b w:val="0"/>
          <w:bCs w:val="0"/>
          <w:kern w:val="0"/>
          <w:sz w:val="32"/>
          <w:szCs w:val="32"/>
          <w:lang w:val="en-US" w:eastAsia="zh-CN"/>
        </w:rPr>
      </w:pPr>
      <w:r>
        <w:rPr>
          <w:rFonts w:hint="default" w:ascii="Times New Roman" w:hAnsi="Times New Roman" w:eastAsia="方正仿宋_GBK" w:cs="Times New Roman"/>
          <w:b w:val="0"/>
          <w:bCs w:val="0"/>
          <w:kern w:val="0"/>
          <w:sz w:val="32"/>
          <w:szCs w:val="32"/>
          <w:lang w:val="en-US" w:eastAsia="zh-CN"/>
        </w:rPr>
        <w:t>2024年以往年度基层治理资金主要用于4个村办公经费、乡村沟渠及道路维护、城乡环境综合治理、生活污水设施维护、 安全劝导人员补助、网格管理、基层文化阵地建设、中啊路及仁拉路保洁等支出54.62万元，因财政资金紧张，2023年四个村关心下一代工作经费及四个村公共运行经费结转至下年进行支付，年底区财政追减资金24万元，项目完成率69.47%。</w:t>
      </w:r>
    </w:p>
    <w:p w14:paraId="0B2707E8">
      <w:pPr>
        <w:adjustRightInd w:val="0"/>
        <w:snapToGrid w:val="0"/>
        <w:spacing w:line="560" w:lineRule="exact"/>
        <w:ind w:firstLine="720"/>
        <w:rPr>
          <w:rFonts w:hint="eastAsia" w:ascii="楷体_GB2312" w:hAnsi="宋体" w:eastAsia="楷体_GB2312"/>
          <w:b/>
          <w:highlight w:val="none"/>
          <w:lang w:val="en-US" w:eastAsia="zh-CN"/>
        </w:rPr>
      </w:pPr>
      <w:r>
        <w:rPr>
          <w:rFonts w:hint="eastAsia" w:ascii="楷体_GB2312" w:hAnsi="宋体" w:eastAsia="楷体_GB2312"/>
          <w:b/>
          <w:highlight w:val="none"/>
          <w:lang w:val="zh-CN"/>
        </w:rPr>
        <w:t>（</w:t>
      </w:r>
      <w:r>
        <w:rPr>
          <w:rFonts w:hint="eastAsia" w:ascii="楷体_GB2312" w:hAnsi="宋体" w:eastAsia="楷体_GB2312"/>
          <w:b/>
          <w:highlight w:val="none"/>
          <w:lang w:val="en-US" w:eastAsia="zh-CN"/>
        </w:rPr>
        <w:t>二</w:t>
      </w:r>
      <w:r>
        <w:rPr>
          <w:rFonts w:hint="eastAsia" w:ascii="楷体_GB2312" w:hAnsi="宋体" w:eastAsia="楷体_GB2312"/>
          <w:b/>
          <w:highlight w:val="none"/>
          <w:lang w:val="zh-CN"/>
        </w:rPr>
        <w:t>）项目效益情况。</w:t>
      </w:r>
    </w:p>
    <w:p w14:paraId="4AE1A2D4">
      <w:pPr>
        <w:numPr>
          <w:ilvl w:val="0"/>
          <w:numId w:val="0"/>
        </w:numPr>
        <w:autoSpaceDE w:val="0"/>
        <w:autoSpaceDN w:val="0"/>
        <w:adjustRightInd w:val="0"/>
        <w:spacing w:line="600" w:lineRule="exact"/>
        <w:ind w:firstLine="640" w:firstLineChars="200"/>
        <w:jc w:val="left"/>
        <w:rPr>
          <w:rFonts w:hint="default" w:ascii="Times New Roman" w:hAnsi="Times New Roman" w:eastAsia="方正仿宋_GBK" w:cs="Times New Roman"/>
          <w:b w:val="0"/>
          <w:bCs w:val="0"/>
          <w:kern w:val="0"/>
          <w:sz w:val="32"/>
          <w:szCs w:val="32"/>
          <w:lang w:val="zh-CN" w:eastAsia="zh-CN"/>
        </w:rPr>
      </w:pPr>
      <w:r>
        <w:rPr>
          <w:rFonts w:hint="eastAsia" w:ascii="Times New Roman" w:hAnsi="Times New Roman" w:eastAsia="方正仿宋_GBK" w:cs="Times New Roman"/>
          <w:b w:val="0"/>
          <w:bCs w:val="0"/>
          <w:kern w:val="0"/>
          <w:sz w:val="32"/>
          <w:szCs w:val="32"/>
          <w:lang w:val="en-US" w:eastAsia="zh-CN"/>
        </w:rPr>
        <w:t>项目的实施保障了村居正常办公需求，进一步推进城乡环境卫生综合整治工作，保障农村生活污水处理有效开展；保障社情民意收集、矛盾纠纷排查化解、安全隐患排查整治、政治法律法规宣传等；使乡村道路保持整洁、完好状态，保证行车安全、舒适、畅通，提高运输经济效益，保障农村道路交通安全；提高基层文化传播水平，增强全乡居民生活幸福感，群众满意度≧90%。</w:t>
      </w:r>
    </w:p>
    <w:p w14:paraId="41E34C61">
      <w:pPr>
        <w:numPr>
          <w:ilvl w:val="0"/>
          <w:numId w:val="3"/>
        </w:numPr>
        <w:adjustRightInd w:val="0"/>
        <w:snapToGrid w:val="0"/>
        <w:spacing w:line="560" w:lineRule="exact"/>
        <w:ind w:left="0" w:leftChars="0" w:firstLine="720" w:firstLineChars="0"/>
        <w:rPr>
          <w:rFonts w:hint="eastAsia" w:ascii="黑体" w:hAnsi="宋体" w:eastAsia="黑体"/>
        </w:rPr>
      </w:pPr>
      <w:r>
        <w:rPr>
          <w:rFonts w:hint="eastAsia" w:ascii="黑体" w:hAnsi="宋体" w:eastAsia="黑体"/>
        </w:rPr>
        <w:t>问题及建议</w:t>
      </w:r>
    </w:p>
    <w:p w14:paraId="2098C4FA">
      <w:pPr>
        <w:adjustRightInd w:val="0"/>
        <w:snapToGrid w:val="0"/>
        <w:spacing w:line="600" w:lineRule="exact"/>
        <w:ind w:firstLine="720"/>
        <w:rPr>
          <w:rFonts w:eastAsia="楷体_GB2312"/>
          <w:b/>
          <w:lang w:val="zh-CN"/>
        </w:rPr>
      </w:pPr>
      <w:r>
        <w:rPr>
          <w:rFonts w:eastAsia="楷体_GB2312"/>
          <w:b/>
          <w:lang w:val="zh-CN"/>
        </w:rPr>
        <w:t>（一）评价结论。</w:t>
      </w:r>
    </w:p>
    <w:p w14:paraId="09C323B4">
      <w:pPr>
        <w:numPr>
          <w:ilvl w:val="0"/>
          <w:numId w:val="0"/>
        </w:numPr>
        <w:autoSpaceDE w:val="0"/>
        <w:autoSpaceDN w:val="0"/>
        <w:adjustRightInd w:val="0"/>
        <w:spacing w:line="600" w:lineRule="exact"/>
        <w:ind w:firstLine="640" w:firstLineChars="200"/>
        <w:jc w:val="left"/>
        <w:rPr>
          <w:rFonts w:hint="default" w:ascii="Times New Roman" w:hAnsi="Times New Roman" w:eastAsia="方正仿宋_GBK" w:cs="Times New Roman"/>
          <w:b w:val="0"/>
          <w:bCs w:val="0"/>
          <w:kern w:val="0"/>
          <w:sz w:val="32"/>
          <w:szCs w:val="32"/>
          <w:lang w:val="en-US" w:eastAsia="zh-CN"/>
        </w:rPr>
      </w:pPr>
      <w:r>
        <w:rPr>
          <w:rFonts w:hint="default" w:ascii="Times New Roman" w:hAnsi="Times New Roman" w:eastAsia="方正仿宋_GBK" w:cs="Times New Roman"/>
          <w:b w:val="0"/>
          <w:bCs w:val="0"/>
          <w:kern w:val="0"/>
          <w:sz w:val="32"/>
          <w:szCs w:val="32"/>
          <w:lang w:val="en-US" w:eastAsia="zh-CN"/>
        </w:rPr>
        <w:t>总体来说</w:t>
      </w:r>
      <w:r>
        <w:rPr>
          <w:rFonts w:hint="eastAsia" w:ascii="Times New Roman" w:hAnsi="Times New Roman" w:eastAsia="方正仿宋_GBK" w:cs="Times New Roman"/>
          <w:b w:val="0"/>
          <w:bCs w:val="0"/>
          <w:kern w:val="0"/>
          <w:sz w:val="32"/>
          <w:szCs w:val="32"/>
          <w:lang w:val="zh-CN" w:eastAsia="zh-CN"/>
        </w:rPr>
        <w:t>项目申报内容与具体实施内容相符，</w:t>
      </w:r>
      <w:r>
        <w:rPr>
          <w:rFonts w:hint="eastAsia" w:ascii="Times New Roman" w:hAnsi="Times New Roman" w:eastAsia="方正仿宋_GBK" w:cs="Times New Roman"/>
          <w:b w:val="0"/>
          <w:bCs w:val="0"/>
          <w:kern w:val="0"/>
          <w:sz w:val="32"/>
          <w:szCs w:val="32"/>
          <w:lang w:val="en-US" w:eastAsia="zh-CN"/>
        </w:rPr>
        <w:t>实施有计划，针对性强，</w:t>
      </w:r>
      <w:r>
        <w:rPr>
          <w:rFonts w:hint="default" w:ascii="Times New Roman" w:hAnsi="Times New Roman" w:eastAsia="方正仿宋_GBK" w:cs="Times New Roman"/>
          <w:b w:val="0"/>
          <w:bCs w:val="0"/>
          <w:kern w:val="0"/>
          <w:sz w:val="32"/>
          <w:szCs w:val="32"/>
          <w:lang w:val="en-US" w:eastAsia="zh-CN"/>
        </w:rPr>
        <w:t>审核严格，管理到位，完成及时，</w:t>
      </w:r>
      <w:r>
        <w:rPr>
          <w:rFonts w:hint="eastAsia" w:ascii="Times New Roman" w:hAnsi="Times New Roman" w:eastAsia="方正仿宋_GBK" w:cs="Times New Roman"/>
          <w:b w:val="0"/>
          <w:bCs w:val="0"/>
          <w:kern w:val="0"/>
          <w:sz w:val="32"/>
          <w:szCs w:val="32"/>
          <w:lang w:val="en-US" w:eastAsia="zh-CN"/>
        </w:rPr>
        <w:t>资金支付</w:t>
      </w:r>
      <w:r>
        <w:rPr>
          <w:rFonts w:hint="eastAsia" w:eastAsia="方正仿宋_GBK" w:cs="Times New Roman"/>
          <w:b w:val="0"/>
          <w:bCs w:val="0"/>
          <w:kern w:val="0"/>
          <w:sz w:val="32"/>
          <w:szCs w:val="32"/>
          <w:lang w:val="en-US" w:eastAsia="zh-CN"/>
        </w:rPr>
        <w:t>做到专款专用。</w:t>
      </w:r>
    </w:p>
    <w:p w14:paraId="245D6821">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w:t>
      </w:r>
      <w:r>
        <w:rPr>
          <w:rFonts w:hint="eastAsia" w:ascii="楷体_GB2312" w:hAnsi="宋体" w:eastAsia="楷体_GB2312"/>
          <w:b/>
          <w:lang w:val="en-US" w:eastAsia="zh-CN"/>
        </w:rPr>
        <w:t>二</w:t>
      </w:r>
      <w:r>
        <w:rPr>
          <w:rFonts w:hint="eastAsia" w:ascii="楷体_GB2312" w:hAnsi="宋体" w:eastAsia="楷体_GB2312"/>
          <w:b/>
          <w:lang w:val="zh-CN"/>
        </w:rPr>
        <w:t>）存在的问题。</w:t>
      </w:r>
    </w:p>
    <w:p w14:paraId="3DA25C4D">
      <w:pPr>
        <w:numPr>
          <w:ilvl w:val="0"/>
          <w:numId w:val="0"/>
        </w:numPr>
        <w:autoSpaceDE w:val="0"/>
        <w:autoSpaceDN w:val="0"/>
        <w:adjustRightInd w:val="0"/>
        <w:spacing w:line="600" w:lineRule="exact"/>
        <w:ind w:firstLine="640" w:firstLineChars="200"/>
        <w:jc w:val="left"/>
        <w:rPr>
          <w:rFonts w:hint="eastAsia" w:ascii="Times New Roman" w:hAnsi="Times New Roman" w:eastAsia="方正仿宋_GBK" w:cs="Times New Roman"/>
          <w:b w:val="0"/>
          <w:bCs w:val="0"/>
          <w:kern w:val="0"/>
          <w:sz w:val="32"/>
          <w:szCs w:val="32"/>
          <w:lang w:val="zh-CN" w:eastAsia="zh-CN"/>
        </w:rPr>
      </w:pPr>
      <w:r>
        <w:rPr>
          <w:rFonts w:hint="eastAsia" w:ascii="Times New Roman" w:hAnsi="Times New Roman" w:eastAsia="方正仿宋_GBK" w:cs="Times New Roman"/>
          <w:b w:val="0"/>
          <w:bCs w:val="0"/>
          <w:kern w:val="0"/>
          <w:sz w:val="32"/>
          <w:szCs w:val="32"/>
          <w:lang w:val="en-US" w:eastAsia="zh-CN"/>
        </w:rPr>
        <w:t>因财政资金紧张，已完成项目，未能全面完成资金支付，无法全面保障辖区的基层治理工作需求，基层公益设施管护制度中的各项制度推进无法面面俱到。</w:t>
      </w:r>
    </w:p>
    <w:p w14:paraId="5EE74496">
      <w:pPr>
        <w:numPr>
          <w:numId w:val="0"/>
        </w:numPr>
        <w:adjustRightInd w:val="0"/>
        <w:snapToGrid w:val="0"/>
        <w:spacing w:line="560" w:lineRule="exact"/>
        <w:ind w:firstLine="643" w:firstLineChars="200"/>
        <w:rPr>
          <w:rFonts w:hint="eastAsia" w:ascii="楷体_GB2312" w:hAnsi="宋体" w:eastAsia="楷体_GB2312"/>
          <w:b/>
          <w:lang w:val="zh-CN"/>
        </w:rPr>
      </w:pPr>
      <w:r>
        <w:rPr>
          <w:rFonts w:hint="eastAsia" w:ascii="楷体_GB2312" w:hAnsi="宋体" w:eastAsia="楷体_GB2312"/>
          <w:b/>
          <w:lang w:val="zh-CN"/>
        </w:rPr>
        <w:t>（</w:t>
      </w:r>
      <w:r>
        <w:rPr>
          <w:rFonts w:hint="eastAsia" w:ascii="楷体_GB2312" w:hAnsi="宋体" w:eastAsia="楷体_GB2312"/>
          <w:b/>
          <w:lang w:val="en-US" w:eastAsia="zh-CN"/>
        </w:rPr>
        <w:t>三</w:t>
      </w:r>
      <w:r>
        <w:rPr>
          <w:rFonts w:hint="eastAsia" w:ascii="楷体_GB2312" w:hAnsi="宋体" w:eastAsia="楷体_GB2312"/>
          <w:b/>
          <w:lang w:val="zh-CN"/>
        </w:rPr>
        <w:t>）相关建议。</w:t>
      </w:r>
    </w:p>
    <w:p w14:paraId="736648AE">
      <w:pPr>
        <w:numPr>
          <w:ilvl w:val="0"/>
          <w:numId w:val="0"/>
        </w:numPr>
        <w:autoSpaceDE w:val="0"/>
        <w:autoSpaceDN w:val="0"/>
        <w:adjustRightInd w:val="0"/>
        <w:spacing w:line="600" w:lineRule="exact"/>
        <w:ind w:firstLine="640" w:firstLineChars="200"/>
        <w:jc w:val="left"/>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Times New Roman"/>
          <w:b w:val="0"/>
          <w:bCs w:val="0"/>
          <w:kern w:val="0"/>
          <w:sz w:val="32"/>
          <w:szCs w:val="32"/>
          <w:lang w:val="en-US" w:eastAsia="zh-CN"/>
        </w:rPr>
        <w:t>进一步加强财政资金对基层治理方面的支付进度，全面保障基层治理工作有序开展。</w:t>
      </w:r>
    </w:p>
    <w:p w14:paraId="7A3E1308">
      <w:pPr>
        <w:numPr>
          <w:ilvl w:val="0"/>
          <w:numId w:val="0"/>
        </w:numPr>
        <w:autoSpaceDE w:val="0"/>
        <w:autoSpaceDN w:val="0"/>
        <w:adjustRightInd w:val="0"/>
        <w:spacing w:line="600" w:lineRule="exact"/>
        <w:ind w:firstLine="640" w:firstLineChars="200"/>
        <w:jc w:val="left"/>
        <w:rPr>
          <w:rFonts w:hint="eastAsia" w:ascii="Times New Roman" w:hAnsi="Times New Roman" w:eastAsia="方正仿宋_GBK" w:cs="Times New Roman"/>
          <w:b w:val="0"/>
          <w:bCs w:val="0"/>
          <w:kern w:val="0"/>
          <w:sz w:val="32"/>
          <w:szCs w:val="32"/>
          <w:lang w:val="en-US" w:eastAsia="zh-CN"/>
        </w:rPr>
      </w:pPr>
      <w:bookmarkStart w:id="0" w:name="_GoBack"/>
      <w:bookmarkEnd w:id="0"/>
    </w:p>
    <w:p w14:paraId="64243052">
      <w:pPr>
        <w:numPr>
          <w:ilvl w:val="0"/>
          <w:numId w:val="0"/>
        </w:numPr>
        <w:autoSpaceDE w:val="0"/>
        <w:autoSpaceDN w:val="0"/>
        <w:adjustRightInd w:val="0"/>
        <w:spacing w:line="600" w:lineRule="exact"/>
        <w:ind w:firstLine="3520" w:firstLineChars="1100"/>
        <w:jc w:val="both"/>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Times New Roman"/>
          <w:b w:val="0"/>
          <w:bCs w:val="0"/>
          <w:kern w:val="0"/>
          <w:sz w:val="32"/>
          <w:szCs w:val="32"/>
          <w:lang w:val="en-US" w:eastAsia="zh-CN"/>
        </w:rPr>
        <w:t>攀枝花市仁和区中坝乡人民政府</w:t>
      </w:r>
    </w:p>
    <w:p w14:paraId="509B0AC5">
      <w:pPr>
        <w:numPr>
          <w:ilvl w:val="0"/>
          <w:numId w:val="0"/>
        </w:numPr>
        <w:autoSpaceDE w:val="0"/>
        <w:autoSpaceDN w:val="0"/>
        <w:adjustRightInd w:val="0"/>
        <w:spacing w:line="600" w:lineRule="exact"/>
        <w:ind w:firstLine="640" w:firstLineChars="200"/>
        <w:jc w:val="right"/>
        <w:rPr>
          <w:rFonts w:hint="default"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Times New Roman"/>
          <w:b w:val="0"/>
          <w:bCs w:val="0"/>
          <w:kern w:val="0"/>
          <w:sz w:val="32"/>
          <w:szCs w:val="32"/>
          <w:lang w:val="en-US" w:eastAsia="zh-CN"/>
        </w:rPr>
        <w:t>2025年5月20日</w:t>
      </w:r>
    </w:p>
    <w:p w14:paraId="201A5F03">
      <w:pPr>
        <w:numPr>
          <w:ilvl w:val="0"/>
          <w:numId w:val="0"/>
        </w:numPr>
        <w:autoSpaceDE w:val="0"/>
        <w:autoSpaceDN w:val="0"/>
        <w:adjustRightInd w:val="0"/>
        <w:spacing w:line="600" w:lineRule="exact"/>
        <w:ind w:firstLine="640" w:firstLineChars="200"/>
        <w:jc w:val="right"/>
        <w:rPr>
          <w:rFonts w:hint="eastAsia" w:ascii="Times New Roman" w:hAnsi="Times New Roman" w:eastAsia="方正仿宋_GBK" w:cs="Times New Roman"/>
          <w:b w:val="0"/>
          <w:bCs w:val="0"/>
          <w:kern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B8878"/>
    <w:multiLevelType w:val="singleLevel"/>
    <w:tmpl w:val="A57B8878"/>
    <w:lvl w:ilvl="0" w:tentative="0">
      <w:start w:val="3"/>
      <w:numFmt w:val="chineseCounting"/>
      <w:suff w:val="nothing"/>
      <w:lvlText w:val="%1、"/>
      <w:lvlJc w:val="left"/>
      <w:rPr>
        <w:rFonts w:hint="eastAsia"/>
      </w:rPr>
    </w:lvl>
  </w:abstractNum>
  <w:abstractNum w:abstractNumId="1">
    <w:nsid w:val="EB2EBC9A"/>
    <w:multiLevelType w:val="singleLevel"/>
    <w:tmpl w:val="EB2EBC9A"/>
    <w:lvl w:ilvl="0" w:tentative="0">
      <w:start w:val="2"/>
      <w:numFmt w:val="decimal"/>
      <w:suff w:val="nothing"/>
      <w:lvlText w:val="%1．"/>
      <w:lvlJc w:val="left"/>
    </w:lvl>
  </w:abstractNum>
  <w:abstractNum w:abstractNumId="2">
    <w:nsid w:val="02A87F7B"/>
    <w:multiLevelType w:val="singleLevel"/>
    <w:tmpl w:val="02A87F7B"/>
    <w:lvl w:ilvl="0" w:tentative="0">
      <w:start w:val="1"/>
      <w:numFmt w:val="chineseCounting"/>
      <w:suff w:val="nothing"/>
      <w:lvlText w:val="（%1）"/>
      <w:lvlJc w:val="left"/>
      <w:rPr>
        <w:rFonts w:hint="eastAsia"/>
      </w:rPr>
    </w:lvl>
  </w:abstractNum>
  <w:abstractNum w:abstractNumId="3">
    <w:nsid w:val="216E9B31"/>
    <w:multiLevelType w:val="singleLevel"/>
    <w:tmpl w:val="216E9B31"/>
    <w:lvl w:ilvl="0" w:tentative="0">
      <w:start w:val="2"/>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OTA1YmZhM2IzNTcxODVkYjkxOGFkMGNjZjIzNGYifQ=="/>
  </w:docVars>
  <w:rsids>
    <w:rsidRoot w:val="291C455A"/>
    <w:rsid w:val="003414A3"/>
    <w:rsid w:val="00515A0C"/>
    <w:rsid w:val="00866E99"/>
    <w:rsid w:val="04AC0367"/>
    <w:rsid w:val="0A1B1391"/>
    <w:rsid w:val="0D570932"/>
    <w:rsid w:val="0EDB478C"/>
    <w:rsid w:val="13AE53E1"/>
    <w:rsid w:val="140D3F97"/>
    <w:rsid w:val="167663EE"/>
    <w:rsid w:val="191739DD"/>
    <w:rsid w:val="1DAC618C"/>
    <w:rsid w:val="20195B02"/>
    <w:rsid w:val="210A7F0D"/>
    <w:rsid w:val="271D292E"/>
    <w:rsid w:val="291C455A"/>
    <w:rsid w:val="2BE57F1B"/>
    <w:rsid w:val="2C0C16E9"/>
    <w:rsid w:val="2C8817D9"/>
    <w:rsid w:val="2CE85E5A"/>
    <w:rsid w:val="2F7F1B1B"/>
    <w:rsid w:val="314D377F"/>
    <w:rsid w:val="36926D0C"/>
    <w:rsid w:val="388E4690"/>
    <w:rsid w:val="3B6C5B5B"/>
    <w:rsid w:val="3D551DCC"/>
    <w:rsid w:val="3F1662C9"/>
    <w:rsid w:val="3F801312"/>
    <w:rsid w:val="48C71E90"/>
    <w:rsid w:val="49ED753B"/>
    <w:rsid w:val="4B005490"/>
    <w:rsid w:val="4DAF2BCF"/>
    <w:rsid w:val="4DDB6F66"/>
    <w:rsid w:val="4FD03906"/>
    <w:rsid w:val="526130AB"/>
    <w:rsid w:val="543A3673"/>
    <w:rsid w:val="553E52D5"/>
    <w:rsid w:val="55660A46"/>
    <w:rsid w:val="5B695B64"/>
    <w:rsid w:val="5BA65130"/>
    <w:rsid w:val="5BD62414"/>
    <w:rsid w:val="5CE255A4"/>
    <w:rsid w:val="5D0F2D40"/>
    <w:rsid w:val="62087BCB"/>
    <w:rsid w:val="68981742"/>
    <w:rsid w:val="68E425F7"/>
    <w:rsid w:val="6A460968"/>
    <w:rsid w:val="70B3134D"/>
    <w:rsid w:val="717B209F"/>
    <w:rsid w:val="71F152F7"/>
    <w:rsid w:val="72994A8F"/>
    <w:rsid w:val="74A74130"/>
    <w:rsid w:val="767C61A4"/>
    <w:rsid w:val="78C6061F"/>
    <w:rsid w:val="792F2AEE"/>
    <w:rsid w:val="7AA65250"/>
    <w:rsid w:val="7AD03133"/>
    <w:rsid w:val="7D113B78"/>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autoRedefine/>
    <w:qFormat/>
    <w:uiPriority w:val="0"/>
    <w:rPr>
      <w:rFonts w:ascii="宋体" w:hAnsi="Courier New"/>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 w:type="paragraph" w:customStyle="1" w:styleId="8">
    <w:name w:val="Default"/>
    <w:basedOn w:val="1"/>
    <w:autoRedefine/>
    <w:qFormat/>
    <w:uiPriority w:val="0"/>
    <w:pPr>
      <w:autoSpaceDE w:val="0"/>
      <w:autoSpaceDN w:val="0"/>
      <w:jc w:val="left"/>
    </w:pPr>
    <w:rPr>
      <w:rFonts w:ascii="Calibri" w:hAnsi="Calibri" w:eastAsia="宋体" w:cs="宋体"/>
      <w:color w:val="000000"/>
      <w:sz w:val="24"/>
      <w:szCs w:val="24"/>
    </w:rPr>
  </w:style>
  <w:style w:type="paragraph" w:customStyle="1" w:styleId="9">
    <w:name w:val="四号正文"/>
    <w:basedOn w:val="1"/>
    <w:autoRedefine/>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6</Pages>
  <Words>2255</Words>
  <Characters>2337</Characters>
  <Lines>6</Lines>
  <Paragraphs>1</Paragraphs>
  <TotalTime>1</TotalTime>
  <ScaleCrop>false</ScaleCrop>
  <LinksUpToDate>false</LinksUpToDate>
  <CharactersWithSpaces>2342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蓝天白云</cp:lastModifiedBy>
  <dcterms:modified xsi:type="dcterms:W3CDTF">2025-05-15T02:48:13Z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ABF35B6B6AC44FEBBC250DFC536984C3_12</vt:lpwstr>
  </property>
</Properties>
</file>