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16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攀枝花市仁和区中坝乡人民政府</w:t>
      </w:r>
    </w:p>
    <w:p w14:paraId="518B2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2024年度项目支出重点绩效评价报告</w:t>
      </w:r>
    </w:p>
    <w:p w14:paraId="70B72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8"/>
          <w:szCs w:val="38"/>
          <w:lang w:val="en-US" w:eastAsia="zh-CN"/>
        </w:rPr>
        <w:t>（仁和区2024年度森林草原防灭火项目）</w:t>
      </w:r>
    </w:p>
    <w:p w14:paraId="584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0D9FF3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4EF4BF21"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项目基本情况。</w:t>
      </w:r>
    </w:p>
    <w:p w14:paraId="39C5B496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b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中坝乡幅员面积103平方公里，辖4个村30个村民小组，共有3048户10941人。林地面积114883.66亩（其中国有林23910亩，集体公益林23687亩，天然商品林23761亩，其它林地43525.66亩）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森林覆盖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72.42%，是市、区近郊森林覆盖率最高的乡镇。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为扎实开展森林草原防灭火专项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工作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年仁和区森林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草原防灭火项目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13.32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万元。</w:t>
      </w:r>
    </w:p>
    <w:p w14:paraId="41CB5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（二）项目绩效目标</w:t>
      </w:r>
    </w:p>
    <w:p w14:paraId="48346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该笔森林防灭火工作经费主要用于中坝乡森林防火防火宣传费、计划烧除用油、防火服装、防火通道种树及2023.12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2024.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4应急队生活补助等，确保中坝乡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无重大火情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020A12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</w:t>
      </w:r>
    </w:p>
    <w:p w14:paraId="6446B1D3"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按照上级下达的项目支出绩效评价指标体系，通过目标计划梳理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项目完成情况调查等收集评价数据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针对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项目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申报内容、实施情况、资金兑现、财务管理、社会效益等做出自评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，评价工作做到有计划，有安排，扎实开展本次自评工作</w:t>
      </w:r>
      <w:r>
        <w:rPr>
          <w:rFonts w:hint="default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631AD6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项目实施及管理情况</w:t>
      </w:r>
    </w:p>
    <w:p w14:paraId="6D73C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（一）项目资金申报及批复情况</w:t>
      </w:r>
    </w:p>
    <w:p w14:paraId="2DF47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根据攀仁财资农〔2024〕79号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下达202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年森林草原防灭火经费相关指标，下达中坝乡202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年森林防灭火工作经费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13.32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万元。</w:t>
      </w:r>
    </w:p>
    <w:p w14:paraId="0783E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）资金计划、到位及使用情况</w:t>
      </w:r>
    </w:p>
    <w:p w14:paraId="03AD1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1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资金计划及到位。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该笔森林防灭火工作经费主要用于中坝乡森林防火防火宣传费、计划烧除用油、防火服装、防火通道种树及2023.12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2024.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4应急队生活补助等，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</w:t>
      </w:r>
      <w:r>
        <w:rPr>
          <w:rFonts w:hint="eastAsia" w:eastAsia="方正仿宋_GBK" w:cs="Times New Roman"/>
          <w:sz w:val="33"/>
          <w:szCs w:val="33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攀仁财资农〔2024〕79号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下达202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年森林草原防灭火经费相关指标，下达中坝乡202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年森林防灭火工作经费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13.32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资金到位率为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，到位及时。</w:t>
      </w:r>
    </w:p>
    <w:p w14:paraId="50840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2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 w:eastAsia="zh-CN"/>
        </w:rPr>
        <w:t>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项目资金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13.32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实际支出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13.32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万元，用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宣传广告、计划烧除用油等费用，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支付完成率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%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开支标准合规合法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7BD9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）项目财务管理情况</w:t>
      </w:r>
    </w:p>
    <w:p w14:paraId="05EB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 w14:paraId="41F35BC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项目实施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及管理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>情况</w:t>
      </w:r>
    </w:p>
    <w:p w14:paraId="608E686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</w:pPr>
      <w:r>
        <w:rPr>
          <w:rFonts w:ascii="Times New Roman" w:hAnsi="Times New Roman" w:eastAsia="楷体_GB2312"/>
          <w:kern w:val="0"/>
          <w:sz w:val="32"/>
          <w:szCs w:val="32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项目组织架构及实施流程。</w:t>
      </w:r>
    </w:p>
    <w:p w14:paraId="5BE4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项目评价由中坝乡人民政府组织，通过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查阅项目资料、检查资金使用、项目建设有关账目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等对项目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实施绩效评价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对照绩效目标逐条查看附件资料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实地查看项目进展，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查找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项目在实施过程中的问题，总结项目成绩和存在问题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34D4A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eastAsia="zh-CN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项目管理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及监管</w:t>
      </w:r>
      <w:bookmarkStart w:id="0" w:name="_GoBack"/>
      <w:bookmarkEnd w:id="0"/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</w:rPr>
        <w:t>情况。</w:t>
      </w:r>
    </w:p>
    <w:p w14:paraId="7425A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中坝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乡在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项目组织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实施过程中，建立健全相关制度、机制，严格执行，推进各专项工作的落实。资金管理实行专项管理，严格审批制度，真正做到了专款专用，确保项目资金有效的利用。</w:t>
      </w:r>
    </w:p>
    <w:p w14:paraId="38369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、项目绩效情况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 w:eastAsia="zh-CN"/>
        </w:rPr>
        <w:tab/>
      </w:r>
    </w:p>
    <w:p w14:paraId="1E6D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（一）项目完成情况</w:t>
      </w:r>
    </w:p>
    <w:p w14:paraId="58CA1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该项目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该笔森林防灭火工作经费主要用于中坝乡森林防火防火宣传费、计划烧除用油、防火服装、防火通道种树及2023.12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2024.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4应急队生活补助等，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于202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年度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已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完成，截至202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年底实际支付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13.32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万元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。</w:t>
      </w:r>
    </w:p>
    <w:p w14:paraId="00F7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（二）项目效益情况</w:t>
      </w:r>
    </w:p>
    <w:p w14:paraId="4BCD7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有效预防森林火灾，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实现了中坝乡“零火灾”“零伤亡”工作目标，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保障人民生命财产安全，保护森林资源，维护生态安全，降低人为火灾风险。</w:t>
      </w:r>
    </w:p>
    <w:p w14:paraId="3FA0FF7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评价结论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  <w:t>及建议</w:t>
      </w:r>
    </w:p>
    <w:p w14:paraId="451C6F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5E7E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kern w:val="0"/>
          <w:sz w:val="32"/>
          <w:szCs w:val="32"/>
          <w:lang w:val="zh-CN" w:eastAsia="zh-CN"/>
        </w:rPr>
        <w:t>本年度防火工作，通过大量宣传形成全民防火、人人防火、处处防火的局面，全面提高群众防火意识。实施计划烧除有效清除林下可燃物，减轻防火压力；通过配套防火服装、发放扑火队员生活补助等确保后勤保障，增加专职扑火队伍战斗力。2024年度森林防火取得圆满成功，全乡无重大火情，有效保障人民群众的生命财产安全。</w:t>
      </w:r>
    </w:p>
    <w:p w14:paraId="25C94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二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）存在的问题</w:t>
      </w:r>
    </w:p>
    <w:p w14:paraId="6F123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森林草原防灭火专项整治后，工作进入常态化，但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工作要求和标准并未降低，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森林草原防灭火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相关费用支出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相比专项整治期间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并未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下降，投入量仍十分巨大，我乡因财力有限，负担较重。</w:t>
      </w:r>
    </w:p>
    <w:p w14:paraId="207D4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 w:eastAsia="zh-CN"/>
        </w:rPr>
        <w:t>）相关建议</w:t>
      </w:r>
    </w:p>
    <w:p w14:paraId="3BCD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因森林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草原防灭火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工作任务繁重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支出方面较多，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建议加大财政资金的投入。</w:t>
      </w:r>
    </w:p>
    <w:p w14:paraId="103C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68C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5ADC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30" w:firstLineChars="11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中坝乡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人民政府</w:t>
      </w:r>
    </w:p>
    <w:p w14:paraId="3EF3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20" w:firstLineChars="14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p w14:paraId="6B4DF193">
      <w:pPr>
        <w:adjustRightInd w:val="0"/>
        <w:snapToGrid w:val="0"/>
        <w:spacing w:line="560" w:lineRule="exact"/>
        <w:ind w:firstLine="720"/>
      </w:pPr>
    </w:p>
    <w:sectPr>
      <w:footerReference r:id="rId3" w:type="default"/>
      <w:pgSz w:w="12240" w:h="15840"/>
      <w:pgMar w:top="2098" w:right="1474" w:bottom="1984" w:left="1587" w:header="720" w:footer="720" w:gutter="0"/>
      <w:pgNumType w:fmt="decimal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14C3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-200025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93BB6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/p0vtUAAAAIAQAADwAAAAAAAAABACAAAAAiAAAAZHJzL2Rvd25y&#10;ZXYueG1sUEsBAhQAFAAAAAgAh07iQOSi/s/IAQAAmQMAAA4AAAAAAAAAAQAgAAAAJ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D93BB6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C9F4"/>
    <w:multiLevelType w:val="singleLevel"/>
    <w:tmpl w:val="A879C9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E0B170"/>
    <w:multiLevelType w:val="singleLevel"/>
    <w:tmpl w:val="FEE0B17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5C044B"/>
    <w:multiLevelType w:val="singleLevel"/>
    <w:tmpl w:val="705C04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OTA1YmZhM2IzNTcxODVkYjkxOGFkMGNjZjIzNGYifQ=="/>
  </w:docVars>
  <w:rsids>
    <w:rsidRoot w:val="291C455A"/>
    <w:rsid w:val="003414A3"/>
    <w:rsid w:val="00490474"/>
    <w:rsid w:val="00515A0C"/>
    <w:rsid w:val="00866E99"/>
    <w:rsid w:val="00FA5FA5"/>
    <w:rsid w:val="07940F88"/>
    <w:rsid w:val="0A085A6F"/>
    <w:rsid w:val="0B491828"/>
    <w:rsid w:val="0B88148F"/>
    <w:rsid w:val="0EDB478C"/>
    <w:rsid w:val="103F09E7"/>
    <w:rsid w:val="112E2E8C"/>
    <w:rsid w:val="19D14D23"/>
    <w:rsid w:val="1B703001"/>
    <w:rsid w:val="21317EC3"/>
    <w:rsid w:val="291C455A"/>
    <w:rsid w:val="29325D7D"/>
    <w:rsid w:val="2A3E1076"/>
    <w:rsid w:val="302F183C"/>
    <w:rsid w:val="3589714C"/>
    <w:rsid w:val="35A63D7A"/>
    <w:rsid w:val="36926D0C"/>
    <w:rsid w:val="424749CE"/>
    <w:rsid w:val="47925CD1"/>
    <w:rsid w:val="4DAF2BCF"/>
    <w:rsid w:val="4DDB6F66"/>
    <w:rsid w:val="4F493C9D"/>
    <w:rsid w:val="54FE72D7"/>
    <w:rsid w:val="5C1717B4"/>
    <w:rsid w:val="5CF02368"/>
    <w:rsid w:val="6106133A"/>
    <w:rsid w:val="67302E47"/>
    <w:rsid w:val="685036E1"/>
    <w:rsid w:val="6C6A081B"/>
    <w:rsid w:val="6E4C0C5C"/>
    <w:rsid w:val="7148395C"/>
    <w:rsid w:val="72DD2263"/>
    <w:rsid w:val="792F2AEE"/>
    <w:rsid w:val="7C164AB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ZHTK" w:hAnsi="Times New Roman" w:eastAsia="FZHTK" w:cs="FZHTK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1473</Words>
  <Characters>1626</Characters>
  <Lines>6</Lines>
  <Paragraphs>1</Paragraphs>
  <TotalTime>0</TotalTime>
  <ScaleCrop>false</ScaleCrop>
  <LinksUpToDate>false</LinksUpToDate>
  <CharactersWithSpaces>1627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蓝天白云</cp:lastModifiedBy>
  <dcterms:modified xsi:type="dcterms:W3CDTF">2025-05-15T05:14:19Z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eyJoZGlkIjoiYjIwMjU3MzRhZmIwNDE4MzZjZTcxNjU2ZTlkZTdjNmEiLCJ1c2VySWQiOiIxNjQ4Mzg3NDUwIn0=</vt:lpwstr>
  </property>
</Properties>
</file>