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FD859"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3B508DF6">
      <w:pPr>
        <w:spacing w:line="640" w:lineRule="exact"/>
        <w:jc w:val="righ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1E06B018">
      <w:pPr>
        <w:pStyle w:val="8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62A0CBDA">
      <w:pPr>
        <w:pStyle w:val="8"/>
        <w:spacing w:line="600" w:lineRule="exact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2023年全省村（社区）森林防火奖补资金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1C7BDA31">
      <w:pPr>
        <w:pStyle w:val="8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3E83EF4C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23A324B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57F4CF1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lang w:val="zh-CN"/>
        </w:rPr>
        <w:t>为进一步鼓励支持村（社区）干部群众积极做好森林防火工作，落实好镇森林防火工作决策部署，确实加强宣传教育、检查值守、火源管控、隐患整治、巡护巡查等工作，确保共和村实现全年无森林火灾发生，确保群众生命财产安全。</w:t>
      </w:r>
    </w:p>
    <w:p w14:paraId="39579EAD">
      <w:pPr>
        <w:adjustRightInd w:val="0"/>
        <w:snapToGrid w:val="0"/>
        <w:spacing w:line="600" w:lineRule="exact"/>
        <w:ind w:firstLine="720"/>
        <w:rPr>
          <w:rFonts w:hint="default" w:eastAsia="仿宋_GB2312"/>
          <w:lang w:val="en-US" w:eastAsia="zh-CN"/>
        </w:rPr>
      </w:pPr>
      <w:r>
        <w:rPr>
          <w:lang w:val="zh-CN"/>
        </w:rPr>
        <w:t>2.</w:t>
      </w:r>
      <w:r>
        <w:rPr>
          <w:rFonts w:hint="eastAsia"/>
          <w:lang w:val="en-US" w:eastAsia="zh-CN"/>
        </w:rPr>
        <w:t>根据四川省林业草原局川林防</w:t>
      </w:r>
      <w:r>
        <w:rPr>
          <w:rFonts w:hint="eastAsia" w:ascii="仿宋_GB2312" w:hAnsi="仿宋_GB2312" w:eastAsia="仿宋_GB2312" w:cs="仿宋_GB2312"/>
          <w:lang w:val="en-US" w:eastAsia="zh-CN"/>
        </w:rPr>
        <w:t>〔</w:t>
      </w:r>
      <w:r>
        <w:rPr>
          <w:rFonts w:hint="eastAsia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lang w:val="en-US" w:eastAsia="zh-CN"/>
        </w:rPr>
        <w:t>〕</w:t>
      </w:r>
      <w:r>
        <w:rPr>
          <w:rFonts w:hint="eastAsia"/>
          <w:lang w:val="en-US" w:eastAsia="zh-CN"/>
        </w:rPr>
        <w:t>613号四川省林业和草原局关于35个高火险县（市、区）开展2023年度村（社区）森林防火奖补申报工作的通知和川林发</w:t>
      </w:r>
      <w:r>
        <w:rPr>
          <w:rFonts w:hint="eastAsia" w:ascii="仿宋_GB2312" w:hAnsi="仿宋_GB2312" w:eastAsia="仿宋_GB2312" w:cs="仿宋_GB2312"/>
          <w:lang w:val="en-US" w:eastAsia="zh-CN"/>
        </w:rPr>
        <w:t>〔</w:t>
      </w:r>
      <w:r>
        <w:rPr>
          <w:rFonts w:hint="eastAsia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lang w:val="en-US" w:eastAsia="zh-CN"/>
        </w:rPr>
        <w:t>〕</w:t>
      </w:r>
      <w:r>
        <w:rPr>
          <w:rFonts w:hint="eastAsia"/>
          <w:lang w:val="en-US" w:eastAsia="zh-CN"/>
        </w:rPr>
        <w:t>7号文关于印发《四川省村（社区）森林防火奖补办法（试行）》的通知要求，申报落实2023年共和村（社区）森林防火奖补资金3万元。</w:t>
      </w:r>
    </w:p>
    <w:p w14:paraId="75110171">
      <w:pPr>
        <w:numPr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val="zh-CN"/>
        </w:rPr>
        <w:t>根据四川省村（社区）森林防火奖补办法（试行）进行</w:t>
      </w:r>
      <w:r>
        <w:rPr>
          <w:lang w:val="zh-CN"/>
        </w:rPr>
        <w:t>资金</w:t>
      </w:r>
      <w:r>
        <w:rPr>
          <w:rFonts w:hint="eastAsia"/>
          <w:lang w:val="zh-CN"/>
        </w:rPr>
        <w:t>规划使用，</w:t>
      </w:r>
      <w:r>
        <w:rPr>
          <w:rFonts w:ascii="Times New Roman" w:hAnsi="Times New Roman" w:eastAsia="仿宋_GB2312" w:cs="Times New Roman"/>
          <w:sz w:val="32"/>
          <w:szCs w:val="32"/>
        </w:rPr>
        <w:t>为更好鼓励支持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该</w:t>
      </w:r>
      <w:r>
        <w:rPr>
          <w:rFonts w:ascii="Times New Roman" w:hAnsi="Times New Roman" w:eastAsia="仿宋_GB2312" w:cs="Times New Roman"/>
          <w:sz w:val="32"/>
          <w:szCs w:val="32"/>
        </w:rPr>
        <w:t>社区干部群众的防火工作，经同德镇政府研究，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制定</w:t>
      </w:r>
      <w:r>
        <w:rPr>
          <w:rFonts w:ascii="Times New Roman" w:hAnsi="Times New Roman" w:eastAsia="仿宋_GB2312" w:cs="Times New Roman"/>
          <w:sz w:val="32"/>
          <w:szCs w:val="32"/>
        </w:rPr>
        <w:t>同德镇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共和社区</w:t>
      </w:r>
      <w:r>
        <w:rPr>
          <w:rFonts w:ascii="Times New Roman" w:hAnsi="Times New Roman" w:eastAsia="仿宋_GB2312" w:cs="Times New Roman"/>
          <w:sz w:val="32"/>
          <w:szCs w:val="32"/>
        </w:rPr>
        <w:t>2023年森林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草原</w:t>
      </w:r>
      <w:r>
        <w:rPr>
          <w:rFonts w:ascii="Times New Roman" w:hAnsi="Times New Roman" w:eastAsia="仿宋_GB2312" w:cs="Times New Roman"/>
          <w:sz w:val="32"/>
          <w:szCs w:val="32"/>
        </w:rPr>
        <w:t>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灭</w:t>
      </w:r>
      <w:r>
        <w:rPr>
          <w:rFonts w:ascii="Times New Roman" w:hAnsi="Times New Roman" w:eastAsia="仿宋_GB2312" w:cs="Times New Roman"/>
          <w:sz w:val="32"/>
          <w:szCs w:val="32"/>
        </w:rPr>
        <w:t>火奖补资金</w:t>
      </w:r>
      <w:r>
        <w:rPr>
          <w:rFonts w:hint="eastAsia" w:cs="Times New Roman"/>
          <w:sz w:val="32"/>
          <w:szCs w:val="32"/>
          <w:lang w:val="en-US" w:eastAsia="zh-CN"/>
        </w:rPr>
        <w:t>3万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元使用方案</w:t>
      </w:r>
    </w:p>
    <w:p w14:paraId="1BD1533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4.</w:t>
      </w:r>
      <w:r>
        <w:rPr>
          <w:rFonts w:hint="eastAsia"/>
          <w:lang w:val="zh-CN"/>
        </w:rPr>
        <w:t>根据常职人员不能发放各类补贴的财政规定，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共和</w:t>
      </w:r>
      <w:r>
        <w:rPr>
          <w:rFonts w:ascii="Times New Roman" w:hAnsi="Times New Roman" w:eastAsia="仿宋_GB2312" w:cs="Times New Roman"/>
          <w:sz w:val="32"/>
          <w:szCs w:val="32"/>
        </w:rPr>
        <w:t>社区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护林员及火情早期处置人员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中的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村常职干部，不予发放奖励。</w:t>
      </w:r>
    </w:p>
    <w:p w14:paraId="2F8FAE8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0E92D9A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1.</w:t>
      </w:r>
      <w:r>
        <w:rPr>
          <w:rFonts w:hint="eastAsia"/>
          <w:lang w:val="en-US" w:eastAsia="zh-CN"/>
        </w:rPr>
        <w:t>该资金主要用于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共和</w:t>
      </w:r>
      <w:r>
        <w:rPr>
          <w:rFonts w:ascii="Times New Roman" w:hAnsi="Times New Roman" w:eastAsia="仿宋_GB2312" w:cs="Times New Roman"/>
          <w:sz w:val="32"/>
          <w:szCs w:val="32"/>
        </w:rPr>
        <w:t>社区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护林员及火情早期处置人员发放奖励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购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置火情早期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处置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应急物资。</w:t>
      </w:r>
    </w:p>
    <w:p w14:paraId="3CB0A45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2.</w:t>
      </w:r>
      <w:r>
        <w:rPr>
          <w:rFonts w:hint="eastAsia"/>
          <w:lang w:val="zh-CN"/>
        </w:rPr>
        <w:t>购买灭火物资一批，村民轮流值班值守，落实“十户联保”机制，该</w:t>
      </w:r>
      <w:r>
        <w:rPr>
          <w:lang w:val="zh-CN"/>
        </w:rPr>
        <w:t>目标</w:t>
      </w:r>
      <w:r>
        <w:rPr>
          <w:rFonts w:hint="eastAsia"/>
          <w:lang w:val="zh-CN"/>
        </w:rPr>
        <w:t>已按照</w:t>
      </w:r>
      <w:r>
        <w:rPr>
          <w:lang w:val="zh-CN"/>
        </w:rPr>
        <w:t>项目实施进度</w:t>
      </w:r>
      <w:r>
        <w:rPr>
          <w:rFonts w:hint="eastAsia"/>
          <w:lang w:val="zh-CN"/>
        </w:rPr>
        <w:t>及</w:t>
      </w:r>
      <w:r>
        <w:rPr>
          <w:lang w:val="zh-CN"/>
        </w:rPr>
        <w:t>计划</w:t>
      </w:r>
      <w:r>
        <w:rPr>
          <w:rFonts w:hint="eastAsia"/>
          <w:lang w:val="zh-CN"/>
        </w:rPr>
        <w:t>完成</w:t>
      </w:r>
      <w:r>
        <w:rPr>
          <w:lang w:val="zh-CN"/>
        </w:rPr>
        <w:t>。</w:t>
      </w:r>
    </w:p>
    <w:p w14:paraId="7AFCEE9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3.</w:t>
      </w:r>
      <w:r>
        <w:rPr>
          <w:rFonts w:hint="eastAsia"/>
          <w:lang w:val="zh-CN"/>
        </w:rPr>
        <w:t>该项目</w:t>
      </w:r>
      <w:r>
        <w:rPr>
          <w:lang w:val="zh-CN"/>
        </w:rPr>
        <w:t>申报内容与实际相符，申报目标合理可行。</w:t>
      </w:r>
    </w:p>
    <w:p w14:paraId="6C4DB48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41F5F84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首先明确自评目标，再制定自评方案，通过分析成本、质量等形成自评打分表和自评报告</w:t>
      </w:r>
      <w:r>
        <w:rPr>
          <w:lang w:val="zh-CN"/>
        </w:rPr>
        <w:t>。</w:t>
      </w:r>
    </w:p>
    <w:p w14:paraId="13D69AD0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12451B1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3A13773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该项目申报内容与具体实施内容相符、批复金额为</w:t>
      </w:r>
      <w:r>
        <w:rPr>
          <w:rFonts w:hint="eastAsia" w:cs="Times New Roman"/>
          <w:lang w:val="en-US" w:eastAsia="zh-C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万元</w:t>
      </w:r>
      <w:r>
        <w:rPr>
          <w:lang w:val="zh-CN"/>
        </w:rPr>
        <w:t>。</w:t>
      </w:r>
    </w:p>
    <w:p w14:paraId="5A44A52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（二）资金计划、到位及使用情况（可用表格形式反映）。</w:t>
      </w:r>
    </w:p>
    <w:p w14:paraId="7C2760A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eastAsia="楷体_GB2312"/>
          <w:lang w:val="en-US" w:eastAsia="zh-CN"/>
        </w:rPr>
        <w:t>1.</w:t>
      </w:r>
      <w:r>
        <w:rPr>
          <w:rFonts w:eastAsia="楷体_GB2312"/>
          <w:lang w:val="zh-CN"/>
        </w:rPr>
        <w:t>资金计划</w:t>
      </w:r>
      <w:r>
        <w:rPr>
          <w:rFonts w:hint="eastAsia" w:eastAsia="楷体_GB2312"/>
          <w:lang w:val="zh-CN"/>
        </w:rPr>
        <w:t>及到位</w:t>
      </w:r>
      <w:r>
        <w:rPr>
          <w:rFonts w:eastAsia="楷体_GB2312"/>
          <w:lang w:val="zh-CN"/>
        </w:rPr>
        <w:t>。</w:t>
      </w:r>
      <w:r>
        <w:rPr>
          <w:rFonts w:hint="eastAsia" w:ascii="Times New Roman" w:hAnsi="Times New Roman" w:cs="Times New Roman"/>
          <w:lang w:val="en-US" w:eastAsia="zh-CN"/>
        </w:rPr>
        <w:t>2024年</w:t>
      </w:r>
      <w:r>
        <w:rPr>
          <w:rFonts w:hint="eastAsia" w:cs="Times New Roman"/>
          <w:lang w:val="en-US" w:eastAsia="zh-CN"/>
        </w:rPr>
        <w:t>该项目计划资金3万元，</w:t>
      </w:r>
      <w:r>
        <w:rPr>
          <w:rFonts w:hint="eastAsia" w:ascii="Times New Roman" w:hAnsi="Times New Roman" w:cs="Times New Roman"/>
          <w:lang w:val="en-US" w:eastAsia="zh-CN"/>
        </w:rPr>
        <w:t>完成支付</w:t>
      </w:r>
      <w:r>
        <w:rPr>
          <w:rFonts w:hint="eastAsia" w:cs="Times New Roman"/>
          <w:lang w:val="en-US" w:eastAsia="zh-CN"/>
        </w:rPr>
        <w:t>0</w:t>
      </w:r>
      <w:r>
        <w:rPr>
          <w:rFonts w:hint="eastAsia" w:ascii="Times New Roman" w:hAnsi="Times New Roman" w:cs="Times New Roman"/>
          <w:lang w:val="en-US" w:eastAsia="zh-CN"/>
        </w:rPr>
        <w:t>万元，资金支付率</w:t>
      </w:r>
      <w:r>
        <w:rPr>
          <w:rFonts w:hint="eastAsia" w:cs="Times New Roman"/>
          <w:lang w:val="en-US" w:eastAsia="zh-CN"/>
        </w:rPr>
        <w:t>0</w:t>
      </w:r>
      <w:r>
        <w:rPr>
          <w:rFonts w:hint="eastAsia" w:ascii="Times New Roman" w:hAnsi="Times New Roman" w:cs="Times New Roman"/>
          <w:lang w:val="en-US" w:eastAsia="zh-CN"/>
        </w:rPr>
        <w:t>%，</w:t>
      </w:r>
      <w:r>
        <w:rPr>
          <w:rFonts w:hint="eastAsia" w:ascii="Times New Roman" w:hAnsi="Times New Roman" w:cs="Times New Roman"/>
          <w:lang w:val="zh-CN" w:eastAsia="zh-CN"/>
        </w:rPr>
        <w:t>年底财政资金紧张未及时支付</w:t>
      </w:r>
      <w:r>
        <w:rPr>
          <w:lang w:val="zh-CN"/>
        </w:rPr>
        <w:t>。</w:t>
      </w:r>
    </w:p>
    <w:p w14:paraId="2A1333B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eastAsia="楷体_GB2312"/>
          <w:lang w:val="en-US" w:eastAsia="zh-CN"/>
        </w:rPr>
        <w:t>2.</w:t>
      </w:r>
      <w:r>
        <w:rPr>
          <w:rFonts w:eastAsia="楷体_GB2312"/>
          <w:lang w:val="zh-CN"/>
        </w:rPr>
        <w:t>资金使用。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该项目资金的实际支出</w:t>
      </w:r>
      <w:r>
        <w:rPr>
          <w:rFonts w:hint="eastAsia" w:eastAsia="方正仿宋_GBK" w:cs="Times New Roman"/>
          <w:kern w:val="0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万元</w:t>
      </w:r>
      <w:r>
        <w:rPr>
          <w:rFonts w:hint="eastAsia" w:eastAsia="方正仿宋_GBK" w:cs="Times New Roman"/>
          <w:kern w:val="0"/>
          <w:lang w:val="en-US" w:eastAsia="zh-CN"/>
        </w:rPr>
        <w:t>。</w:t>
      </w:r>
    </w:p>
    <w:p w14:paraId="4E9A032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4AF5F3A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该项目专项核算，监督使用，手续不全不批、用途不明不批、不合理开支不批、资金不到位不批、超计划开支不批、违背政策不批、单据不符合规定不批、虚报冒领不批、超标准开支不批、人情开支不批。年终进行决算，将收支执行情况和决算结果对外公布，接受群众监督</w:t>
      </w:r>
      <w:r>
        <w:rPr>
          <w:rFonts w:hint="eastAsia" w:ascii="Times New Roman" w:hAnsi="Times New Roman" w:cs="Times New Roman"/>
          <w:lang w:val="zh-CN" w:eastAsia="zh-CN"/>
        </w:rPr>
        <w:t>。</w:t>
      </w:r>
    </w:p>
    <w:p w14:paraId="01E47D74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183B713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按照年初制定的计划，分别实施，实施流程均对照文件严格按照有关规定执行</w:t>
      </w:r>
      <w:r>
        <w:rPr>
          <w:lang w:val="zh-CN"/>
        </w:rPr>
        <w:t>。</w:t>
      </w:r>
    </w:p>
    <w:p w14:paraId="0056D70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02872C4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37A1921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保障</w:t>
      </w:r>
      <w:r>
        <w:rPr>
          <w:rFonts w:hint="eastAsia"/>
          <w:lang w:val="en-US" w:eastAsia="zh-CN"/>
        </w:rPr>
        <w:t>2024年3处防火卡点值守，提高森林火灾下降率，降低森林火灾受害率，该项目严格按照财经纪律执行，成本合理，无违规情况</w:t>
      </w:r>
      <w:r>
        <w:rPr>
          <w:lang w:val="zh-CN"/>
        </w:rPr>
        <w:t>。</w:t>
      </w:r>
    </w:p>
    <w:p w14:paraId="2859771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1D983FD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落实镇森林防火工作决策部署，确实加强宣传教育、检查值守、火源管控、隐患整治、巡护巡查等工作，确保村（社区）实现全年无森林火灾发生，确保群众生命财产安全</w:t>
      </w:r>
      <w:r>
        <w:rPr>
          <w:lang w:val="zh-CN"/>
        </w:rPr>
        <w:t>。</w:t>
      </w:r>
    </w:p>
    <w:p w14:paraId="19130283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400B1BA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1394F902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该项目综合评分</w:t>
      </w:r>
      <w:r>
        <w:rPr>
          <w:rFonts w:hint="eastAsia"/>
          <w:lang w:val="en-US" w:eastAsia="zh-CN"/>
        </w:rPr>
        <w:t>87分</w:t>
      </w:r>
      <w:r>
        <w:rPr>
          <w:lang w:val="zh-CN"/>
        </w:rPr>
        <w:t>。</w:t>
      </w:r>
    </w:p>
    <w:p w14:paraId="2A956D8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452FB67E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资金支付不到位</w:t>
      </w:r>
      <w:r>
        <w:rPr>
          <w:lang w:val="zh-CN"/>
        </w:rPr>
        <w:t>。</w:t>
      </w:r>
      <w:r>
        <w:rPr>
          <w:lang w:val="zh-CN"/>
        </w:rPr>
        <w:tab/>
      </w:r>
    </w:p>
    <w:p w14:paraId="5E88075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3310A812">
      <w:pPr>
        <w:ind w:firstLine="64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建议加大资金支付力度。</w:t>
      </w:r>
    </w:p>
    <w:p w14:paraId="25A63A8B">
      <w:pPr>
        <w:pStyle w:val="2"/>
        <w:rPr>
          <w:rFonts w:hint="eastAsia"/>
          <w:lang w:eastAsia="zh-CN"/>
        </w:rPr>
      </w:pPr>
    </w:p>
    <w:p w14:paraId="6B4650DC">
      <w:pPr>
        <w:rPr>
          <w:rFonts w:hint="eastAsia"/>
          <w:lang w:eastAsia="zh-CN"/>
        </w:rPr>
      </w:pPr>
    </w:p>
    <w:p w14:paraId="5C0D9A41">
      <w:pPr>
        <w:pStyle w:val="2"/>
        <w:rPr>
          <w:rFonts w:hint="eastAsia"/>
          <w:lang w:eastAsia="zh-CN"/>
        </w:rPr>
      </w:pPr>
    </w:p>
    <w:p w14:paraId="49735CC1">
      <w:pPr>
        <w:adjustRightInd w:val="0"/>
        <w:snapToGrid w:val="0"/>
        <w:spacing w:line="560" w:lineRule="exact"/>
        <w:ind w:firstLine="3520" w:firstLineChars="1100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6F13212C">
      <w:pPr>
        <w:ind w:firstLine="4480" w:firstLineChars="14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p w14:paraId="5F79EDBD">
      <w:pPr>
        <w:pStyle w:val="2"/>
        <w:rPr>
          <w:rFonts w:hint="eastAsia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7704455</wp:posOffset>
                </wp:positionV>
                <wp:extent cx="5313045" cy="76200"/>
                <wp:effectExtent l="0" t="4445" r="1905" b="3365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313045" cy="7620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1.6pt;margin-top:606.65pt;height:6pt;width:418.35pt;rotation:11796480f;z-index:251660288;mso-width-relative:page;mso-height-relative:page;" coordorigin="1620,2532" coordsize="8640,156" o:gfxdata="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xQnUB9gAAAALAQAADwAAAAAA&#10;AAABACAAAAAiAAAAZHJzL2Rvd25yZXYueG1sUEsBAhQAFAAAAAgAh07iQEELMp6FAgAAHwcAAA4A&#10;AAAAAAAAAQAgAAAAJw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1B3C1CEE"/>
    <w:rsid w:val="1C25106F"/>
    <w:rsid w:val="213B414A"/>
    <w:rsid w:val="22AD555F"/>
    <w:rsid w:val="2AF86ED7"/>
    <w:rsid w:val="2B385C88"/>
    <w:rsid w:val="35874596"/>
    <w:rsid w:val="4D636650"/>
    <w:rsid w:val="62150857"/>
    <w:rsid w:val="69CA5FF6"/>
    <w:rsid w:val="73A01533"/>
    <w:rsid w:val="74A708C5"/>
    <w:rsid w:val="756B3C9F"/>
    <w:rsid w:val="768371E5"/>
    <w:rsid w:val="771D4D51"/>
    <w:rsid w:val="7A9303AE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1693</Words>
  <Characters>1729</Characters>
  <Lines>9</Lines>
  <Paragraphs>2</Paragraphs>
  <TotalTime>0</TotalTime>
  <ScaleCrop>false</ScaleCrop>
  <LinksUpToDate>false</LinksUpToDate>
  <CharactersWithSpaces>1740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2025-05-15T09:55:49Z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18C85EC690AC44F7BA999304E801328C_12</vt:lpwstr>
  </property>
</Properties>
</file>