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C4338">
      <w:pPr>
        <w:spacing w:line="600" w:lineRule="exact"/>
        <w:rPr>
          <w:rFonts w:eastAsia="黑体"/>
        </w:rPr>
      </w:pPr>
    </w:p>
    <w:p w14:paraId="2963C267">
      <w:pPr>
        <w:snapToGrid w:val="0"/>
        <w:spacing w:line="800" w:lineRule="exact"/>
        <w:jc w:val="center"/>
        <w:rPr>
          <w:rFonts w:eastAsia="仿宋_GB2312"/>
          <w:bCs/>
          <w:sz w:val="52"/>
          <w:szCs w:val="52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2"/>
          <w:szCs w:val="52"/>
        </w:rPr>
        <w:t>攀枝花市仁和区同德镇人民政府</w:t>
      </w:r>
    </w:p>
    <w:p w14:paraId="267104BF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46990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-9.7pt;margin-top:3.7pt;height:4.8pt;width:432pt;z-index:251659264;mso-width-relative:page;mso-height-relative:page;" coordorigin="1620,2532" coordsize="8640,156" o:gfxdata="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C05N&#10;C9kAAAAIAQAADwAAAAAAAAABACAAAAAiAAAAZHJzL2Rvd25yZXYueG1sUEsBAhQAFAAAAAgAh07i&#10;QMrvvN6TAgAATwcAAA4AAAAAAAAAAQAgAAAAKAEAAGRycy9lMm9Eb2MueG1sUEsFBgAAAAAGAAYA&#10;WQEAAC0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70972969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6C8FB988">
      <w:pPr>
        <w:pStyle w:val="8"/>
        <w:spacing w:line="600" w:lineRule="exact"/>
        <w:ind w:firstLine="1520" w:firstLineChars="475"/>
        <w:jc w:val="both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bookmarkStart w:id="0" w:name="OLE_LINK3"/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大运会期间安保信访维稳工作经费</w:t>
      </w:r>
      <w:bookmarkEnd w:id="0"/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176A1235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7D0AE292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47178D7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DE197E5">
      <w:pPr>
        <w:adjustRightInd w:val="0"/>
        <w:snapToGrid w:val="0"/>
        <w:spacing w:line="600" w:lineRule="exact"/>
        <w:ind w:firstLine="720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由于同德镇马拉所村涉稳问题突出，个别涉稳人员扬言到区、市级党政部门走访甚至到省级、国家级机关走访；</w:t>
      </w:r>
      <w:r>
        <w:rPr>
          <w:rFonts w:hint="eastAsia"/>
          <w:highlight w:val="none"/>
          <w:lang w:val="en-US" w:eastAsia="zh-CN"/>
        </w:rPr>
        <w:t>双核</w:t>
      </w:r>
      <w:r>
        <w:rPr>
          <w:rFonts w:hint="eastAsia"/>
          <w:highlight w:val="none"/>
          <w:lang w:val="zh-CN"/>
        </w:rPr>
        <w:t>村个别涉稳人员扬言在大运会期间到省级相关部门走访。为确保社会和谐稳定，为成都大运会提供安保维稳支持，我镇利用上级政法部门划拨的工作经费，有效开展</w:t>
      </w:r>
      <w:r>
        <w:rPr>
          <w:rFonts w:hint="eastAsia"/>
          <w:highlight w:val="none"/>
          <w:lang w:val="en-US" w:eastAsia="zh-CN"/>
        </w:rPr>
        <w:t>马拉所</w:t>
      </w:r>
      <w:r>
        <w:rPr>
          <w:rFonts w:hint="eastAsia"/>
          <w:highlight w:val="none"/>
          <w:lang w:val="zh-CN"/>
        </w:rPr>
        <w:t>村信访维稳工作和</w:t>
      </w:r>
      <w:r>
        <w:rPr>
          <w:rFonts w:hint="eastAsia"/>
          <w:highlight w:val="none"/>
          <w:lang w:val="en-US" w:eastAsia="zh-CN"/>
        </w:rPr>
        <w:t>双河</w:t>
      </w:r>
      <w:r>
        <w:rPr>
          <w:rFonts w:hint="eastAsia"/>
          <w:highlight w:val="none"/>
          <w:lang w:val="zh-CN"/>
        </w:rPr>
        <w:t>村大运会期间社会稳定工作。</w:t>
      </w:r>
    </w:p>
    <w:p w14:paraId="7CAC56D9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（二）项目绩效目标。</w:t>
      </w:r>
    </w:p>
    <w:p w14:paraId="42240793">
      <w:pPr>
        <w:adjustRightInd w:val="0"/>
        <w:snapToGrid w:val="0"/>
        <w:spacing w:line="600" w:lineRule="exact"/>
        <w:ind w:firstLine="720"/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在成都世界大学生运动会召开期间，对同德镇辖区重点涉稳人员实施有效稳控，不发生群体性事件、不发生重大涉稳事件、不发生个人极端案（事）件。</w:t>
      </w:r>
      <w:bookmarkStart w:id="1" w:name="OLE_LINK2"/>
      <w:r>
        <w:rPr>
          <w:rFonts w:hint="eastAsia"/>
          <w:highlight w:val="none"/>
          <w:lang w:val="zh-CN"/>
        </w:rPr>
        <w:t>有效保障社会和谐稳定，群众满意度</w:t>
      </w:r>
      <w:r>
        <w:rPr>
          <w:rFonts w:hint="eastAsia"/>
          <w:highlight w:val="none"/>
          <w:lang w:val="en-US" w:eastAsia="zh-CN"/>
        </w:rPr>
        <w:t>高于90%。</w:t>
      </w:r>
    </w:p>
    <w:bookmarkEnd w:id="1"/>
    <w:p w14:paraId="3E880F99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（三）项目自评步骤及方法。</w:t>
      </w:r>
    </w:p>
    <w:p w14:paraId="1D8522C6">
      <w:pPr>
        <w:pStyle w:val="9"/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采用“成本效益分析法”（资金使用效率）、“问卷调查法”（满意度）、“案卷研究法”（财务合规性）综合评分。</w:t>
      </w:r>
    </w:p>
    <w:p w14:paraId="61D08C79">
      <w:pPr>
        <w:adjustRightInd w:val="0"/>
        <w:snapToGrid w:val="0"/>
        <w:spacing w:line="600" w:lineRule="exact"/>
        <w:ind w:firstLine="720"/>
        <w:rPr>
          <w:highlight w:val="none"/>
          <w:lang w:val="zh-CN"/>
        </w:rPr>
      </w:pPr>
    </w:p>
    <w:p w14:paraId="68258BC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3B08FEE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1597918A">
      <w:pPr>
        <w:adjustRightInd w:val="0"/>
        <w:snapToGrid w:val="0"/>
        <w:spacing w:line="600" w:lineRule="exact"/>
        <w:ind w:firstLine="640" w:firstLineChars="200"/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根据工作安排、区委政法委划拨我镇维稳工作经费0.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  <w:lang w:val="zh-CN"/>
        </w:rPr>
        <w:t>万元。我镇研究后，决定划拨0.</w:t>
      </w:r>
      <w:r>
        <w:rPr>
          <w:rFonts w:hint="eastAsia"/>
          <w:highlight w:val="none"/>
          <w:lang w:val="en-US" w:eastAsia="zh-CN"/>
        </w:rPr>
        <w:t>1</w:t>
      </w:r>
      <w:r>
        <w:rPr>
          <w:rFonts w:hint="eastAsia"/>
          <w:highlight w:val="none"/>
          <w:lang w:val="zh-CN"/>
        </w:rPr>
        <w:t>万元给</w:t>
      </w:r>
      <w:r>
        <w:rPr>
          <w:rFonts w:hint="eastAsia"/>
          <w:highlight w:val="none"/>
          <w:lang w:val="en-US" w:eastAsia="zh-CN"/>
        </w:rPr>
        <w:t>马拉所村</w:t>
      </w:r>
      <w:r>
        <w:rPr>
          <w:rFonts w:hint="eastAsia"/>
          <w:highlight w:val="none"/>
          <w:lang w:val="zh-CN"/>
        </w:rPr>
        <w:t>，作为该村成都大运会期间维护社会稳定和稳控重点人员工作经费，以实现大运会期间该村重点人员不赴蓉的目标；划拨0.</w:t>
      </w:r>
      <w:r>
        <w:rPr>
          <w:rFonts w:hint="eastAsia"/>
          <w:highlight w:val="none"/>
          <w:lang w:val="en-US" w:eastAsia="zh-CN"/>
        </w:rPr>
        <w:t>1</w:t>
      </w:r>
      <w:r>
        <w:rPr>
          <w:rFonts w:hint="eastAsia"/>
          <w:highlight w:val="none"/>
          <w:lang w:val="zh-CN"/>
        </w:rPr>
        <w:t>万元给</w:t>
      </w:r>
      <w:r>
        <w:rPr>
          <w:rFonts w:hint="eastAsia"/>
          <w:highlight w:val="none"/>
          <w:lang w:val="en-US" w:eastAsia="zh-CN"/>
        </w:rPr>
        <w:t>双河</w:t>
      </w:r>
      <w:r>
        <w:rPr>
          <w:rFonts w:hint="eastAsia"/>
          <w:highlight w:val="none"/>
          <w:lang w:val="zh-CN"/>
        </w:rPr>
        <w:t>村，作为该村信访稳定工作经费，以实现对重点人员有效稳控、社会总体和谐稳定的目标。项目资金申报、批复等情况符合资金管理办法等相关规定。</w:t>
      </w:r>
    </w:p>
    <w:p w14:paraId="11F5E11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1696C0D4">
      <w:pPr>
        <w:adjustRightInd w:val="0"/>
        <w:snapToGrid w:val="0"/>
        <w:spacing w:line="600" w:lineRule="exact"/>
        <w:ind w:firstLine="720"/>
        <w:rPr>
          <w:highlight w:val="none"/>
          <w:lang w:val="zh-CN"/>
        </w:rPr>
      </w:pPr>
      <w:r>
        <w:rPr>
          <w:rFonts w:eastAsia="楷体_GB2312"/>
          <w:highlight w:val="none"/>
          <w:lang w:val="zh-CN"/>
        </w:rPr>
        <w:t>1．资金计划。</w:t>
      </w:r>
      <w:r>
        <w:rPr>
          <w:rFonts w:hint="eastAsia"/>
          <w:highlight w:val="none"/>
          <w:lang w:val="zh-CN"/>
        </w:rPr>
        <w:t>该项目为区级划拨维稳资金，资金计划及截至评价时点实际全部到位。</w:t>
      </w:r>
    </w:p>
    <w:p w14:paraId="67C15F49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highlight w:val="none"/>
          <w:lang w:val="zh-CN"/>
        </w:rPr>
      </w:pPr>
      <w:r>
        <w:rPr>
          <w:rFonts w:eastAsia="楷体_GB2312"/>
          <w:highlight w:val="none"/>
          <w:lang w:val="zh-CN"/>
        </w:rPr>
        <w:t>2．资金到位。</w:t>
      </w:r>
      <w:r>
        <w:rPr>
          <w:rFonts w:hint="eastAsia" w:ascii="Times New Roman" w:hAnsi="Times New Roman" w:cs="Times New Roman"/>
          <w:highlight w:val="none"/>
          <w:lang w:val="zh-CN"/>
        </w:rPr>
        <w:t>项目资金于202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highlight w:val="none"/>
          <w:lang w:val="zh-CN"/>
        </w:rPr>
        <w:t>年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highlight w:val="none"/>
          <w:lang w:val="zh-CN"/>
        </w:rPr>
        <w:t>月17日前全部到位，我镇于202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highlight w:val="none"/>
          <w:lang w:val="zh-CN"/>
        </w:rPr>
        <w:t>年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highlight w:val="none"/>
          <w:lang w:val="zh-CN"/>
        </w:rPr>
        <w:t>月17日向马拉所村划拨了资金0.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zh-CN"/>
        </w:rPr>
        <w:t>万元；于202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highlight w:val="none"/>
          <w:lang w:val="zh-CN"/>
        </w:rPr>
        <w:t>年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highlight w:val="none"/>
          <w:lang w:val="zh-CN"/>
        </w:rPr>
        <w:t>月21日向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双河</w:t>
      </w:r>
      <w:r>
        <w:rPr>
          <w:rFonts w:hint="eastAsia" w:ascii="Times New Roman" w:hAnsi="Times New Roman" w:cs="Times New Roman"/>
          <w:highlight w:val="none"/>
          <w:lang w:val="zh-CN"/>
        </w:rPr>
        <w:t>村划拨了资金0.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zh-CN"/>
        </w:rPr>
        <w:t>万元，资金按计划全部及时到位。</w:t>
      </w:r>
    </w:p>
    <w:p w14:paraId="07B28F8B">
      <w:pPr>
        <w:adjustRightInd w:val="0"/>
        <w:snapToGrid w:val="0"/>
        <w:spacing w:line="600" w:lineRule="exact"/>
        <w:ind w:firstLine="720"/>
        <w:rPr>
          <w:highlight w:val="none"/>
          <w:lang w:val="zh-CN"/>
        </w:rPr>
      </w:pPr>
      <w:r>
        <w:rPr>
          <w:rFonts w:eastAsia="楷体_GB2312"/>
          <w:highlight w:val="none"/>
          <w:lang w:val="zh-CN"/>
        </w:rPr>
        <w:t>3．资金使用。</w:t>
      </w:r>
      <w:r>
        <w:rPr>
          <w:rFonts w:hint="eastAsia"/>
          <w:highlight w:val="none"/>
          <w:lang w:val="zh-CN"/>
        </w:rPr>
        <w:t>经马拉所村、</w:t>
      </w:r>
      <w:r>
        <w:rPr>
          <w:rFonts w:hint="eastAsia"/>
          <w:highlight w:val="none"/>
          <w:lang w:val="en-US" w:eastAsia="zh-CN"/>
        </w:rPr>
        <w:t>双河</w:t>
      </w:r>
      <w:r>
        <w:rPr>
          <w:rFonts w:hint="eastAsia"/>
          <w:highlight w:val="none"/>
          <w:lang w:val="zh-CN"/>
        </w:rPr>
        <w:t>村财务核查，截至评价时点，项目资金的实际支出、资金开支范围、标准及支付进度等合规合法，资金支付与预算相符，不存在资金使用违规违纪情况。</w:t>
      </w:r>
    </w:p>
    <w:p w14:paraId="04A43694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（三）项目财务管理情况。</w:t>
      </w:r>
    </w:p>
    <w:p w14:paraId="34062307">
      <w:pPr>
        <w:adjustRightInd w:val="0"/>
        <w:snapToGrid w:val="0"/>
        <w:spacing w:line="600" w:lineRule="exact"/>
        <w:ind w:firstLine="720"/>
        <w:rPr>
          <w:highlight w:val="yellow"/>
          <w:lang w:val="zh-CN"/>
        </w:rPr>
      </w:pPr>
      <w:r>
        <w:rPr>
          <w:rFonts w:hint="eastAsia"/>
          <w:highlight w:val="none"/>
          <w:lang w:val="zh-CN"/>
        </w:rPr>
        <w:t>马拉所村、</w:t>
      </w:r>
      <w:r>
        <w:rPr>
          <w:rFonts w:hint="eastAsia"/>
          <w:highlight w:val="none"/>
          <w:lang w:val="en-US" w:eastAsia="zh-CN"/>
        </w:rPr>
        <w:t>双河</w:t>
      </w:r>
      <w:r>
        <w:rPr>
          <w:rFonts w:hint="eastAsia"/>
          <w:highlight w:val="none"/>
          <w:lang w:val="zh-CN"/>
        </w:rPr>
        <w:t>村项目财务管理制度建设、机构设置、会计核算及账务处理等合法合规。对照项目资金管理办法，项目严格执行财务管理制度，财务处理及时，会计核算规范。</w:t>
      </w:r>
    </w:p>
    <w:p w14:paraId="0DC6A04B">
      <w:pPr>
        <w:adjustRightInd w:val="0"/>
        <w:snapToGrid w:val="0"/>
        <w:spacing w:line="600" w:lineRule="exact"/>
        <w:ind w:firstLine="720"/>
        <w:rPr>
          <w:rFonts w:eastAsia="黑体"/>
          <w:color w:val="auto"/>
          <w:highlight w:val="none"/>
        </w:rPr>
      </w:pPr>
      <w:r>
        <w:rPr>
          <w:rFonts w:eastAsia="黑体"/>
          <w:color w:val="auto"/>
          <w:highlight w:val="none"/>
        </w:rPr>
        <w:t>三、项目实施及管理情况</w:t>
      </w:r>
    </w:p>
    <w:p w14:paraId="1C3C0F51">
      <w:pPr>
        <w:adjustRightInd w:val="0"/>
        <w:snapToGrid w:val="0"/>
        <w:spacing w:line="600" w:lineRule="exact"/>
        <w:ind w:firstLine="720"/>
        <w:rPr>
          <w:color w:val="auto"/>
          <w:highlight w:val="none"/>
          <w:lang w:val="zh-CN"/>
        </w:rPr>
      </w:pPr>
      <w:r>
        <w:rPr>
          <w:color w:val="auto"/>
          <w:highlight w:val="none"/>
          <w:lang w:val="zh-CN"/>
        </w:rPr>
        <w:t>结合项目组织实施管理办法，重点围绕以下内容进行分析评价，并对自评中发现的问题分析说明。</w:t>
      </w:r>
    </w:p>
    <w:p w14:paraId="31B5F94D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ascii="Times New Roman" w:hAnsi="Times New Roman" w:eastAsia="楷体_GB2312" w:cs="Times New Roman"/>
          <w:b/>
          <w:color w:val="auto"/>
          <w:highlight w:val="none"/>
          <w:lang w:val="zh-CN"/>
        </w:rPr>
        <w:t>项</w:t>
      </w:r>
      <w:r>
        <w:rPr>
          <w:rFonts w:eastAsia="楷体_GB2312"/>
          <w:b/>
          <w:color w:val="auto"/>
          <w:highlight w:val="none"/>
          <w:lang w:val="zh-CN"/>
        </w:rPr>
        <w:t>目组织架构及实施流程。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4E73770A">
      <w:pPr>
        <w:numPr>
          <w:ilvl w:val="0"/>
          <w:numId w:val="0"/>
        </w:numPr>
        <w:adjustRightInd w:val="0"/>
        <w:snapToGrid w:val="0"/>
        <w:spacing w:line="600" w:lineRule="exact"/>
        <w:ind w:firstLine="643" w:firstLineChars="200"/>
        <w:rPr>
          <w:color w:val="auto"/>
          <w:highlight w:val="none"/>
          <w:lang w:val="zh-CN"/>
        </w:rPr>
      </w:pPr>
      <w:r>
        <w:rPr>
          <w:rFonts w:eastAsia="楷体_GB2312"/>
          <w:b/>
          <w:color w:val="auto"/>
          <w:highlight w:val="none"/>
          <w:lang w:val="zh-CN"/>
        </w:rPr>
        <w:t>（二）项目管理情况。</w:t>
      </w:r>
      <w:r>
        <w:rPr>
          <w:rFonts w:hint="eastAsia"/>
          <w:color w:val="auto"/>
          <w:highlight w:val="none"/>
          <w:lang w:val="zh-CN"/>
        </w:rPr>
        <w:t>项目执行过程中，会计账务处理及时，会计核算规范；按照专款专用安排使用资金，资金支付有据可查，开支标准合规合法，资金拨付、使用有完整的审批程序和手续；用途明确，无截留、挤占、挪用、虚列支出等情况。</w:t>
      </w:r>
    </w:p>
    <w:p w14:paraId="02767091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color w:val="auto"/>
          <w:highlight w:val="none"/>
          <w:lang w:val="zh-CN"/>
        </w:rPr>
      </w:pPr>
      <w:r>
        <w:rPr>
          <w:rFonts w:eastAsia="楷体_GB2312"/>
          <w:b/>
          <w:color w:val="auto"/>
          <w:highlight w:val="none"/>
          <w:lang w:val="zh-CN"/>
        </w:rPr>
        <w:t>（三）项目监管情况。</w:t>
      </w:r>
      <w:r>
        <w:rPr>
          <w:rFonts w:hint="eastAsia" w:ascii="Times New Roman" w:hAnsi="Times New Roman" w:cs="Times New Roman"/>
          <w:color w:val="auto"/>
          <w:highlight w:val="none"/>
          <w:lang w:val="zh-CN"/>
        </w:rPr>
        <w:t>镇纪委联合财政所开展专项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资金</w:t>
      </w:r>
      <w:r>
        <w:rPr>
          <w:rFonts w:hint="eastAsia" w:ascii="Times New Roman" w:hAnsi="Times New Roman" w:cs="Times New Roman"/>
          <w:color w:val="auto"/>
          <w:highlight w:val="none"/>
          <w:lang w:val="zh-CN"/>
        </w:rPr>
        <w:t>检查，重点核查对象精准性及资金流向，未发现相关问题。</w:t>
      </w:r>
    </w:p>
    <w:p w14:paraId="141B752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3D448422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（一）项目完成情况。</w:t>
      </w:r>
    </w:p>
    <w:p w14:paraId="3EC7D2A2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bookmarkStart w:id="2" w:name="OLE_LINK1"/>
      <w:r>
        <w:rPr>
          <w:rFonts w:hint="eastAsia"/>
          <w:highlight w:val="none"/>
          <w:lang w:val="en-US" w:eastAsia="zh-CN"/>
        </w:rPr>
        <w:t>同德镇</w:t>
      </w:r>
      <w:r>
        <w:rPr>
          <w:rFonts w:hint="eastAsia"/>
          <w:highlight w:val="none"/>
          <w:lang w:val="zh-CN"/>
        </w:rPr>
        <w:t>马拉所村、</w:t>
      </w:r>
      <w:r>
        <w:rPr>
          <w:rFonts w:hint="eastAsia"/>
          <w:highlight w:val="none"/>
          <w:lang w:val="en-US" w:eastAsia="zh-CN"/>
        </w:rPr>
        <w:t>双河</w:t>
      </w:r>
      <w:r>
        <w:rPr>
          <w:rFonts w:hint="eastAsia"/>
          <w:highlight w:val="none"/>
          <w:lang w:val="zh-CN"/>
        </w:rPr>
        <w:t>村</w:t>
      </w:r>
      <w:bookmarkEnd w:id="2"/>
      <w:r>
        <w:rPr>
          <w:rFonts w:hint="eastAsia"/>
          <w:highlight w:val="none"/>
          <w:lang w:val="zh-CN"/>
        </w:rPr>
        <w:t>项目完成数量、质量、时效、成本符合要求，项目资金按要求应用尽用，无违规情况，对照项目计划完成目标，截至评价时点，两个村任务量全部完成、进度计划科学有效、成本控制较好。</w:t>
      </w:r>
    </w:p>
    <w:p w14:paraId="2FF31190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（二）项目效益情况。</w:t>
      </w:r>
    </w:p>
    <w:p w14:paraId="47E9A098">
      <w:pPr>
        <w:adjustRightInd w:val="0"/>
        <w:snapToGrid w:val="0"/>
        <w:spacing w:line="600" w:lineRule="exact"/>
        <w:ind w:firstLine="720"/>
        <w:rPr>
          <w:highlight w:val="yellow"/>
          <w:lang w:val="zh-CN"/>
        </w:rPr>
      </w:pPr>
      <w:r>
        <w:rPr>
          <w:rFonts w:hint="eastAsia"/>
          <w:highlight w:val="none"/>
          <w:lang w:val="en-US" w:eastAsia="zh-CN"/>
        </w:rPr>
        <w:t>同德镇</w:t>
      </w:r>
      <w:r>
        <w:rPr>
          <w:rFonts w:hint="eastAsia"/>
          <w:highlight w:val="none"/>
          <w:lang w:val="zh-CN"/>
        </w:rPr>
        <w:t>马拉所村、</w:t>
      </w:r>
      <w:r>
        <w:rPr>
          <w:rFonts w:hint="eastAsia"/>
          <w:highlight w:val="none"/>
          <w:lang w:val="en-US" w:eastAsia="zh-CN"/>
        </w:rPr>
        <w:t>双河</w:t>
      </w:r>
      <w:r>
        <w:rPr>
          <w:rFonts w:hint="eastAsia"/>
          <w:highlight w:val="none"/>
          <w:lang w:val="zh-CN"/>
        </w:rPr>
        <w:t>村社会稳定资金项目的实施，从项目促进经济发展、社会稳定、生态和谐、可持续效益等目标得到有效实现，服务对象满意度得到有效提高，有效实现了项目应有的效益。</w:t>
      </w:r>
    </w:p>
    <w:p w14:paraId="31A4452A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73F6B1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0BFFF57C">
      <w:pPr>
        <w:adjustRightInd w:val="0"/>
        <w:snapToGrid w:val="0"/>
        <w:spacing w:line="600" w:lineRule="exact"/>
        <w:ind w:firstLine="640" w:firstLineChars="200"/>
        <w:rPr>
          <w:highlight w:val="none"/>
          <w:bdr w:val="single" w:color="auto" w:sz="4" w:space="0"/>
          <w:lang w:val="zh-CN"/>
        </w:rPr>
      </w:pPr>
      <w:r>
        <w:rPr>
          <w:rFonts w:hint="eastAsia"/>
          <w:highlight w:val="none"/>
          <w:lang w:val="zh-CN"/>
        </w:rPr>
        <w:t>项目综合得分9</w:t>
      </w:r>
      <w:r>
        <w:rPr>
          <w:rFonts w:hint="eastAsia"/>
          <w:highlight w:val="none"/>
          <w:lang w:val="en-US" w:eastAsia="zh-CN"/>
        </w:rPr>
        <w:t>7</w:t>
      </w:r>
      <w:r>
        <w:rPr>
          <w:rFonts w:hint="eastAsia"/>
          <w:highlight w:val="none"/>
          <w:lang w:val="zh-CN"/>
        </w:rPr>
        <w:t>分（满分100），等级“优”，资金使用规范，目标超额完成，社会效益显著。</w:t>
      </w:r>
    </w:p>
    <w:p w14:paraId="3B7402ED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（二）存在的问题。</w:t>
      </w:r>
    </w:p>
    <w:p w14:paraId="52150F19">
      <w:pPr>
        <w:adjustRightInd w:val="0"/>
        <w:snapToGrid w:val="0"/>
        <w:spacing w:line="600" w:lineRule="exact"/>
        <w:ind w:firstLine="640" w:firstLineChars="200"/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该项目从资金申报、落地实施等全过程中未发现问题。</w:t>
      </w:r>
    </w:p>
    <w:p w14:paraId="425127E3">
      <w:pPr>
        <w:adjustRightInd w:val="0"/>
        <w:snapToGrid w:val="0"/>
        <w:spacing w:line="600" w:lineRule="exact"/>
        <w:ind w:firstLine="72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（三）相关建议。</w:t>
      </w:r>
    </w:p>
    <w:p w14:paraId="72A0CC68">
      <w:pPr>
        <w:ind w:firstLine="64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无。</w:t>
      </w:r>
    </w:p>
    <w:p w14:paraId="3286BC5C">
      <w:pPr>
        <w:ind w:firstLine="640" w:firstLineChars="200"/>
        <w:rPr>
          <w:rFonts w:hint="eastAsia"/>
          <w:highlight w:val="none"/>
          <w:lang w:val="en-US" w:eastAsia="zh-CN"/>
        </w:rPr>
      </w:pPr>
    </w:p>
    <w:p w14:paraId="4C33CF44">
      <w:pPr>
        <w:pStyle w:val="2"/>
        <w:rPr>
          <w:rFonts w:hint="eastAsia"/>
          <w:highlight w:val="none"/>
          <w:lang w:val="en-US" w:eastAsia="zh-CN"/>
        </w:rPr>
      </w:pPr>
    </w:p>
    <w:p w14:paraId="5541F186">
      <w:pPr>
        <w:rPr>
          <w:rFonts w:hint="eastAsia"/>
          <w:highlight w:val="none"/>
          <w:lang w:val="en-US" w:eastAsia="zh-CN"/>
        </w:rPr>
      </w:pPr>
    </w:p>
    <w:p w14:paraId="3F6CAC3F">
      <w:pPr>
        <w:pStyle w:val="2"/>
        <w:rPr>
          <w:rFonts w:hint="eastAsia"/>
          <w:lang w:val="en-US" w:eastAsia="zh-CN"/>
        </w:rPr>
      </w:pPr>
    </w:p>
    <w:p w14:paraId="3A01B3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880" w:firstLineChars="9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攀枝花市仁和区同德镇人民政府</w:t>
      </w:r>
    </w:p>
    <w:p w14:paraId="617D79D5"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2914650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2.3pt;margin-top:229.5pt;height:4.8pt;width:432pt;rotation:11796480f;z-index:251660288;mso-width-relative:page;mso-height-relative:page;" coordorigin="1620,2532" coordsize="8640,156" o:gfxdata="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K3jnAzZAAAACgEAAA8AAAAA&#10;AAAAAQAgAAAAIgAAAGRycy9kb3ducmV2LnhtbFBLAQIUABQAAAAIAIdO4kDU/9bXhQIAAB8HAAAO&#10;AAAAAAAAAAEAIAAAACg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</w:p>
    <w:p w14:paraId="170497A8">
      <w:pPr>
        <w:pStyle w:val="2"/>
        <w:rPr>
          <w:rFonts w:hint="eastAsia"/>
          <w:lang w:val="en-US" w:eastAsia="zh-CN"/>
        </w:rPr>
      </w:pPr>
    </w:p>
    <w:p w14:paraId="57049220">
      <w:pPr>
        <w:pStyle w:val="2"/>
        <w:rPr>
          <w:rFonts w:hint="eastAsia"/>
          <w:lang w:val="en-US" w:eastAsia="zh-CN"/>
        </w:rPr>
      </w:pPr>
      <w:bookmarkStart w:id="3" w:name="_GoBack"/>
      <w:bookmarkEnd w:id="3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981075</wp:posOffset>
                </wp:positionV>
                <wp:extent cx="5150485" cy="76200"/>
                <wp:effectExtent l="0" t="4445" r="12065" b="33655"/>
                <wp:wrapNone/>
                <wp:docPr id="7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150485" cy="76200"/>
                          <a:chOff x="1620" y="2532"/>
                          <a:chExt cx="8640" cy="156"/>
                        </a:xfrm>
                      </wpg:grpSpPr>
                      <wps:wsp>
                        <wps:cNvPr id="8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4pt;margin-top:77.25pt;height:6pt;width:405.55pt;rotation:11796480f;z-index:251661312;mso-width-relative:page;mso-height-relative:page;" coordorigin="1620,2532" coordsize="8640,156" o:gfxdata="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O4+vrnaAAAACwEAAA8A&#10;AAAAAAAAAQAgAAAAIgAAAGRycy9kb3ducmV2LnhtbFBLAQIUABQAAAAIAIdO4kDUtV8HhwIAAB8H&#10;AAAOAAAAAAAAAAEAIAAAACkBAABkcnMvZTJvRG9jLnhtbFBLBQYAAAAABgAGAFkBAAAi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14297"/>
    <w:multiLevelType w:val="singleLevel"/>
    <w:tmpl w:val="6CB14297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FE81748"/>
    <w:rsid w:val="11A06012"/>
    <w:rsid w:val="13C577B2"/>
    <w:rsid w:val="1C2269D4"/>
    <w:rsid w:val="1C25106F"/>
    <w:rsid w:val="22AD555F"/>
    <w:rsid w:val="27B566A8"/>
    <w:rsid w:val="29AE7AF9"/>
    <w:rsid w:val="2AF86ED7"/>
    <w:rsid w:val="2B385C88"/>
    <w:rsid w:val="33A752F3"/>
    <w:rsid w:val="35874596"/>
    <w:rsid w:val="35FB4E12"/>
    <w:rsid w:val="4A946440"/>
    <w:rsid w:val="50556CAF"/>
    <w:rsid w:val="57A4136E"/>
    <w:rsid w:val="6ACB15B2"/>
    <w:rsid w:val="6B9066AE"/>
    <w:rsid w:val="74A708C5"/>
    <w:rsid w:val="771D4D51"/>
    <w:rsid w:val="78145CF1"/>
    <w:rsid w:val="7B3B008E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1527</Words>
  <Characters>1558</Characters>
  <Lines>9</Lines>
  <Paragraphs>2</Paragraphs>
  <TotalTime>0</TotalTime>
  <ScaleCrop>false</ScaleCrop>
  <LinksUpToDate>false</LinksUpToDate>
  <CharactersWithSpaces>1559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2025-05-15T07:53:40Z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01F8F3D3BB974231961675947D88773D</vt:lpwstr>
  </property>
  <property fmtid="{D5CDD505-2E9C-101B-9397-08002B2CF9AE}" pid="4" name="KSOTemplateDocerSaveRecord">
    <vt:lpwstr>eyJoZGlkIjoiMDc4MTA2NzJiZWFkMDhlMjVhZmFmZWYzNzRkNzZiOWIiLCJ1c2VySWQiOiIxNjU1MDIyNjc0In0=</vt:lpwstr>
  </property>
</Properties>
</file>