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FFD859">
      <w:pPr>
        <w:snapToGrid w:val="0"/>
        <w:spacing w:line="800" w:lineRule="exact"/>
        <w:jc w:val="center"/>
        <w:rPr>
          <w:rFonts w:eastAsia="仿宋_GB2312"/>
          <w:bCs/>
          <w:sz w:val="54"/>
          <w:szCs w:val="54"/>
        </w:rPr>
      </w:pPr>
      <w:r>
        <w:rPr>
          <w:rFonts w:hint="eastAsia" w:ascii="方正小标宋_GBK" w:eastAsia="方正小标宋_GBK"/>
          <w:bCs/>
          <w:color w:val="FF0000"/>
          <w:spacing w:val="30"/>
          <w:sz w:val="54"/>
          <w:szCs w:val="54"/>
        </w:rPr>
        <w:t>攀枝花市仁和区同德镇人民政府</w:t>
      </w:r>
    </w:p>
    <w:p w14:paraId="03D25B9F">
      <w:pPr>
        <w:spacing w:line="640" w:lineRule="exact"/>
        <w:jc w:val="right"/>
        <w:rPr>
          <w:rFonts w:ascii="宋体" w:hAnsi="宋体" w:eastAsia="宋体"/>
          <w:sz w:val="30"/>
          <w:szCs w:val="30"/>
        </w:rPr>
      </w:pPr>
      <w:r>
        <w:rPr>
          <w:rFonts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8890</wp:posOffset>
                </wp:positionV>
                <wp:extent cx="5486400" cy="60960"/>
                <wp:effectExtent l="0" t="19050" r="0" b="15240"/>
                <wp:wrapNone/>
                <wp:docPr id="37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5" name="直接连接符 35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o:spt="203" style="position:absolute;left:0pt;margin-left:4.55pt;margin-top:0.7pt;height:4.8pt;width:432pt;z-index:251659264;mso-width-relative:page;mso-height-relative:page;" coordorigin="1620,2532" coordsize="8640,156" o:gfxdata="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r7D3z1QAA&#10;AAYBAAAPAAAAAAAAAAEAIAAAACIAAABkcnMvZG93bnJldi54bWxQSwECFAAUAAAACACHTuJAyu+8&#10;3pMCAABPBwAADgAAAAAAAAABACAAAAAkAQAAZHJzL2Uyb0RvYy54bWxQSwUGAAAAAAYABgBZAQAA&#10;KQYAAAAA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OMU8YcAAAADb&#10;AAAADwAAAGRycy9kb3ducmV2LnhtbEWPT2sCMRTE70K/Q3gFL6JZLYpsjVIE6bYe1FWQ3h6b193F&#10;zcs2iX/67ZuC4HGYmd8ws8XNNOJCzteWFQwHCQjiwuqaSwWH/ao/BeEDssbGMin4JQ+L+VNnhqm2&#10;V97RJQ+liBD2KSqoQmhTKX1RkUE/sC1x9L6tMxiidKXUDq8Rbho5SpKJNFhzXKiwpWVFxSk/GwVm&#10;Y97k1/r9nLvtx+fxZ51tT71Mqe7zMHkFEegWHuF7O9MKXs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4xTxh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q+4u70AAADb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lMO/1/SD9C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r7i7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 w14:paraId="36DE9211">
      <w:pPr>
        <w:pStyle w:val="8"/>
        <w:spacing w:line="600" w:lineRule="exact"/>
        <w:jc w:val="center"/>
        <w:rPr>
          <w:rFonts w:ascii="Times New Roman" w:hAnsi="Times New Roman" w:eastAsia="方正小标宋简体"/>
          <w:color w:val="auto"/>
          <w:kern w:val="2"/>
          <w:sz w:val="40"/>
          <w:szCs w:val="40"/>
        </w:rPr>
      </w:pP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专项预算项目支出绩效自评报告</w:t>
      </w:r>
    </w:p>
    <w:p w14:paraId="6C3B487A">
      <w:pPr>
        <w:pStyle w:val="8"/>
        <w:spacing w:line="600" w:lineRule="exact"/>
        <w:jc w:val="center"/>
        <w:rPr>
          <w:rFonts w:ascii="Times New Roman" w:hAnsi="Times New Roman" w:eastAsia="仿宋_GB2312"/>
          <w:color w:val="auto"/>
          <w:kern w:val="2"/>
          <w:sz w:val="32"/>
          <w:szCs w:val="32"/>
        </w:rPr>
      </w:pP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仁和区2024年度森林草原防灭火项目</w:t>
      </w:r>
      <w:bookmarkStart w:id="0" w:name="_GoBack"/>
      <w:bookmarkEnd w:id="0"/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）</w:t>
      </w:r>
    </w:p>
    <w:p w14:paraId="1FCB0FD9">
      <w:pPr>
        <w:pStyle w:val="8"/>
        <w:spacing w:line="600" w:lineRule="exact"/>
        <w:ind w:firstLine="640"/>
        <w:jc w:val="center"/>
        <w:rPr>
          <w:rFonts w:ascii="Times New Roman" w:hAnsi="Times New Roman"/>
          <w:color w:val="auto"/>
          <w:kern w:val="2"/>
          <w:sz w:val="32"/>
          <w:szCs w:val="32"/>
        </w:rPr>
      </w:pPr>
    </w:p>
    <w:p w14:paraId="32ECA940">
      <w:pPr>
        <w:adjustRightInd w:val="0"/>
        <w:snapToGrid w:val="0"/>
        <w:spacing w:line="60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14:paraId="10664563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（一）项目基本情况。</w:t>
      </w:r>
    </w:p>
    <w:p w14:paraId="32D5CE56">
      <w:pPr>
        <w:adjustRightInd w:val="0"/>
        <w:snapToGrid w:val="0"/>
        <w:spacing w:line="600" w:lineRule="exact"/>
        <w:ind w:firstLine="720"/>
        <w:rPr>
          <w:rFonts w:hint="eastAsia"/>
          <w:lang w:val="zh-CN"/>
        </w:rPr>
      </w:pPr>
      <w:r>
        <w:rPr>
          <w:lang w:val="zh-CN"/>
        </w:rPr>
        <w:t>1．</w:t>
      </w:r>
      <w:r>
        <w:rPr>
          <w:rFonts w:hint="eastAsia"/>
          <w:lang w:val="zh-CN"/>
        </w:rPr>
        <w:t>仁和区同德镇全年确保不发生重大、特别重大森林草原火灾，力争不发生人为森林草原火灾，全面实现不发生扑火人员死亡事故，确保林区人民群众生命财产和重要设施不遭受重大损失。</w:t>
      </w:r>
    </w:p>
    <w:p w14:paraId="35CD2412">
      <w:pPr>
        <w:adjustRightInd w:val="0"/>
        <w:snapToGrid w:val="0"/>
        <w:spacing w:line="600" w:lineRule="exact"/>
        <w:ind w:firstLine="720"/>
        <w:rPr>
          <w:rFonts w:hint="default" w:eastAsia="仿宋_GB2312"/>
          <w:lang w:val="en-US" w:eastAsia="zh-CN"/>
        </w:rPr>
      </w:pPr>
      <w:r>
        <w:rPr>
          <w:lang w:val="zh-CN"/>
        </w:rPr>
        <w:t>2.</w:t>
      </w:r>
      <w:r>
        <w:rPr>
          <w:rFonts w:hint="eastAsia"/>
          <w:lang w:val="zh-CN"/>
        </w:rPr>
        <w:t>根据防火卡点和巡山护林员人数等立项。</w:t>
      </w:r>
    </w:p>
    <w:p w14:paraId="1F4896BE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  <w:lang w:val="zh-CN"/>
        </w:rPr>
        <w:t>采取下达资金指标的方式保障经费。</w:t>
      </w:r>
    </w:p>
    <w:p w14:paraId="16868781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4.</w:t>
      </w:r>
      <w:r>
        <w:rPr>
          <w:rFonts w:hint="eastAsia"/>
          <w:lang w:val="zh-CN"/>
        </w:rPr>
        <w:t>根据卡点数量和巡山护林员人数分配</w:t>
      </w:r>
      <w:r>
        <w:rPr>
          <w:lang w:val="zh-CN"/>
        </w:rPr>
        <w:t>。</w:t>
      </w:r>
    </w:p>
    <w:p w14:paraId="4C443C06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（二）项目绩效目标。</w:t>
      </w:r>
    </w:p>
    <w:p w14:paraId="1D15C4A9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1.</w:t>
      </w:r>
      <w:r>
        <w:rPr>
          <w:rFonts w:hint="eastAsia"/>
          <w:lang w:val="zh-CN"/>
        </w:rPr>
        <w:t>仁和区同德镇全年确保不发生重大、特别重大森林草原火灾，力争不发生人为森林草原火灾，全面实现不发生扑火人员死亡事故，确保林区人民群众生命财产和重要设施不遭受重大损失。全区森林草原火灾受害率控制在0.9‰以下。</w:t>
      </w:r>
    </w:p>
    <w:p w14:paraId="7BF0C7F8">
      <w:pPr>
        <w:adjustRightInd w:val="0"/>
        <w:snapToGrid w:val="0"/>
        <w:spacing w:line="600" w:lineRule="exact"/>
        <w:ind w:firstLine="720"/>
        <w:rPr>
          <w:rFonts w:hint="default" w:eastAsia="仿宋_GB2312"/>
          <w:lang w:val="en-US" w:eastAsia="zh-CN"/>
        </w:rPr>
      </w:pPr>
      <w:r>
        <w:rPr>
          <w:lang w:val="zh-CN"/>
        </w:rPr>
        <w:t>2.</w:t>
      </w:r>
      <w:r>
        <w:rPr>
          <w:rFonts w:hint="eastAsia"/>
          <w:lang w:val="en-US" w:eastAsia="zh-CN"/>
        </w:rPr>
        <w:t>落实3个防火宣传卡点宣传值守，完成全镇森林火灾隐患排查整治全覆盖，督促注册护林员上线率在95%以上，执行村民挂牌轮流值守宣传防火，实现了全年无森林火灾发生。</w:t>
      </w:r>
    </w:p>
    <w:p w14:paraId="53485973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lang w:val="zh-CN"/>
        </w:rPr>
        <w:t>3.</w:t>
      </w:r>
      <w:r>
        <w:rPr>
          <w:rFonts w:hint="default" w:ascii="Times New Roman" w:hAnsi="Times New Roman" w:cs="Times New Roman"/>
          <w:lang w:val="zh-CN" w:eastAsia="zh-CN"/>
        </w:rPr>
        <w:t>该项目申报内容与具体实施内容相符、申报目标合理可行，资金使用符合财政相关规定。</w:t>
      </w:r>
    </w:p>
    <w:p w14:paraId="70FA8167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（三）项目自评步骤及方法。</w:t>
      </w:r>
    </w:p>
    <w:p w14:paraId="70EB0AA2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ascii="Times New Roman" w:hAnsi="Times New Roman" w:cs="Times New Roman"/>
          <w:lang w:val="zh-CN"/>
        </w:rPr>
        <w:t>首先明确自评目标，再制定自评方案，通过分析成本、质量等形成自评打分表和自评报告</w:t>
      </w:r>
      <w:r>
        <w:rPr>
          <w:lang w:val="zh-CN"/>
        </w:rPr>
        <w:t>。</w:t>
      </w:r>
    </w:p>
    <w:p w14:paraId="08953DA2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二、项目资金申报及使用情况</w:t>
      </w:r>
    </w:p>
    <w:p w14:paraId="1296D281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14:paraId="7C9FBBD0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项目资金批复</w:t>
      </w:r>
      <w:r>
        <w:rPr>
          <w:rFonts w:hint="eastAsia"/>
          <w:lang w:val="zh-CN"/>
        </w:rPr>
        <w:t>金额为</w:t>
      </w:r>
      <w:r>
        <w:rPr>
          <w:rFonts w:hint="eastAsia"/>
          <w:lang w:val="en-US" w:eastAsia="zh-CN"/>
        </w:rPr>
        <w:t>9.62万元，无</w:t>
      </w:r>
      <w:r>
        <w:rPr>
          <w:lang w:val="zh-CN"/>
        </w:rPr>
        <w:t>预算调整。</w:t>
      </w:r>
    </w:p>
    <w:p w14:paraId="76067968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（二）资金计划、到位及使用情况（可用表格形式反映）。</w:t>
      </w:r>
    </w:p>
    <w:p w14:paraId="7A818118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1．资金计划。</w:t>
      </w:r>
      <w:r>
        <w:rPr>
          <w:rFonts w:hint="eastAsia" w:eastAsia="楷体_GB2312"/>
          <w:lang w:val="zh-CN"/>
        </w:rPr>
        <w:t>该项目资金计划</w:t>
      </w:r>
      <w:r>
        <w:rPr>
          <w:rFonts w:hint="eastAsia" w:eastAsia="楷体_GB2312"/>
          <w:lang w:val="en-US" w:eastAsia="zh-CN"/>
        </w:rPr>
        <w:t>9.62万元</w:t>
      </w:r>
      <w:r>
        <w:rPr>
          <w:lang w:val="zh-CN"/>
        </w:rPr>
        <w:t>。</w:t>
      </w:r>
    </w:p>
    <w:p w14:paraId="22811177">
      <w:pPr>
        <w:adjustRightInd w:val="0"/>
        <w:snapToGrid w:val="0"/>
        <w:spacing w:line="600" w:lineRule="exact"/>
        <w:ind w:firstLine="720"/>
        <w:rPr>
          <w:rFonts w:hint="default" w:eastAsia="楷体_GB2312"/>
          <w:lang w:val="en-US" w:eastAsia="zh-CN"/>
        </w:rPr>
      </w:pPr>
      <w:r>
        <w:rPr>
          <w:rFonts w:eastAsia="楷体_GB2312"/>
          <w:lang w:val="zh-CN"/>
        </w:rPr>
        <w:t>2．资金到位。</w:t>
      </w:r>
      <w:r>
        <w:rPr>
          <w:rFonts w:hint="eastAsia" w:eastAsia="楷体_GB2312"/>
          <w:lang w:val="en-US" w:eastAsia="zh-CN"/>
        </w:rPr>
        <w:t>2024年资金实际到位6.33万元，资金到位率65.79%。</w:t>
      </w:r>
    </w:p>
    <w:p w14:paraId="2F271362">
      <w:pPr>
        <w:adjustRightInd w:val="0"/>
        <w:snapToGrid w:val="0"/>
        <w:spacing w:line="600" w:lineRule="exact"/>
        <w:ind w:firstLine="720"/>
        <w:rPr>
          <w:rFonts w:hint="eastAsia" w:eastAsia="楷体_GB2312"/>
          <w:lang w:val="zh-CN" w:eastAsia="zh-CN"/>
        </w:rPr>
      </w:pPr>
      <w:r>
        <w:rPr>
          <w:rFonts w:eastAsia="楷体_GB2312"/>
          <w:lang w:val="zh-CN"/>
        </w:rPr>
        <w:t>3．</w:t>
      </w:r>
      <w:r>
        <w:rPr>
          <w:rFonts w:hint="eastAsia" w:eastAsia="楷体_GB2312"/>
          <w:lang w:val="zh-CN" w:eastAsia="zh-CN"/>
        </w:rPr>
        <w:t>资金使用。该项目预算执行数为</w:t>
      </w:r>
      <w:r>
        <w:rPr>
          <w:rFonts w:hint="eastAsia" w:eastAsia="楷体_GB2312"/>
          <w:lang w:val="en-US" w:eastAsia="zh-CN"/>
        </w:rPr>
        <w:t>6.33万元，预算执行率为65.79%</w:t>
      </w:r>
      <w:r>
        <w:rPr>
          <w:rFonts w:hint="eastAsia" w:eastAsia="楷体_GB2312"/>
          <w:lang w:val="zh-CN" w:eastAsia="zh-CN"/>
        </w:rPr>
        <w:t>。该资金使用安全、规范、有效，支付范围、支付标准、支付进度、支付依据都合规合法。</w:t>
      </w:r>
    </w:p>
    <w:p w14:paraId="7D346C4E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（三）项目财务管理情况。</w:t>
      </w:r>
    </w:p>
    <w:p w14:paraId="368CF10D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该</w:t>
      </w:r>
      <w:r>
        <w:rPr>
          <w:lang w:val="zh-CN"/>
        </w:rPr>
        <w:t>项目财务管理制度健全，严格执行财务管理制度，账务处理及时，会计核算规范。</w:t>
      </w:r>
    </w:p>
    <w:p w14:paraId="2C18370D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黑体"/>
        </w:rPr>
        <w:t>三、项目实施及管理情况</w:t>
      </w:r>
    </w:p>
    <w:p w14:paraId="08BFCAF4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（一）项目组织架构及实施流程。</w:t>
      </w:r>
    </w:p>
    <w:p w14:paraId="4666A3E5">
      <w:pPr>
        <w:pStyle w:val="2"/>
        <w:rPr>
          <w:lang w:val="zh-CN"/>
        </w:rPr>
      </w:pPr>
      <w:r>
        <w:rPr>
          <w:rFonts w:hint="eastAsia" w:ascii="Times New Roman" w:hAnsi="Times New Roman" w:cs="Times New Roman"/>
          <w:lang w:val="zh-CN"/>
        </w:rPr>
        <w:t>按照年初制定的计划，分别实施，实施流程均对照文件严格按照有关规定执行</w:t>
      </w:r>
      <w:r>
        <w:rPr>
          <w:rFonts w:hint="eastAsia" w:cs="Times New Roman"/>
          <w:lang w:val="zh-CN"/>
        </w:rPr>
        <w:t>。</w:t>
      </w:r>
    </w:p>
    <w:p w14:paraId="1E714427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14:paraId="74017A0E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（一）项目完成情况。</w:t>
      </w:r>
    </w:p>
    <w:p w14:paraId="56552787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hint="eastAsia"/>
          <w:lang w:val="zh-CN"/>
        </w:rPr>
        <w:t>保障</w:t>
      </w:r>
      <w:r>
        <w:rPr>
          <w:rFonts w:hint="eastAsia"/>
          <w:lang w:val="en-US" w:eastAsia="zh-CN"/>
        </w:rPr>
        <w:t>2024年3处防火卡点值守，提高森林火灾下降率，降低森林火灾受害率，该项目严格按照财经纪律执行，成本合理，无违规情况</w:t>
      </w:r>
      <w:r>
        <w:rPr>
          <w:lang w:val="zh-CN"/>
        </w:rPr>
        <w:t>。</w:t>
      </w:r>
    </w:p>
    <w:p w14:paraId="23E4487F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（二）项目效益情况。</w:t>
      </w:r>
    </w:p>
    <w:p w14:paraId="1A2C47AE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落实镇森林防火工作决策部署，确实加强宣传教育、检查值守、火源管控、隐患整治、巡护巡查等工作，确保村（社区）实现全年无森林火灾发生，确保群众生命财产安全</w:t>
      </w:r>
      <w:r>
        <w:rPr>
          <w:lang w:val="zh-CN"/>
        </w:rPr>
        <w:t>。</w:t>
      </w:r>
    </w:p>
    <w:p w14:paraId="749D9581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五、评价结论及建议</w:t>
      </w:r>
    </w:p>
    <w:p w14:paraId="5F9BB36C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0173D65B">
      <w:pPr>
        <w:adjustRightInd w:val="0"/>
        <w:snapToGrid w:val="0"/>
        <w:spacing w:line="600" w:lineRule="exact"/>
        <w:ind w:firstLine="640" w:firstLineChars="200"/>
        <w:rPr>
          <w:bdr w:val="single" w:color="auto" w:sz="4" w:space="0"/>
          <w:lang w:val="zh-CN"/>
        </w:rPr>
      </w:pPr>
      <w:r>
        <w:rPr>
          <w:rFonts w:hint="eastAsia"/>
          <w:lang w:val="zh-CN"/>
        </w:rPr>
        <w:t>该项目综合评分</w:t>
      </w:r>
      <w:r>
        <w:rPr>
          <w:rFonts w:hint="eastAsia"/>
          <w:lang w:val="en-US" w:eastAsia="zh-CN"/>
        </w:rPr>
        <w:t>93分</w:t>
      </w:r>
      <w:r>
        <w:rPr>
          <w:lang w:val="zh-CN"/>
        </w:rPr>
        <w:t>。</w:t>
      </w:r>
    </w:p>
    <w:p w14:paraId="6A526D87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（二）存在的问题。</w:t>
      </w:r>
    </w:p>
    <w:p w14:paraId="249A48AA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资金未支付到位</w:t>
      </w:r>
      <w:r>
        <w:rPr>
          <w:lang w:val="zh-CN"/>
        </w:rPr>
        <w:t>。</w:t>
      </w:r>
      <w:r>
        <w:rPr>
          <w:lang w:val="zh-CN"/>
        </w:rPr>
        <w:tab/>
      </w:r>
    </w:p>
    <w:p w14:paraId="28159A1B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（三）相关建议。</w:t>
      </w:r>
    </w:p>
    <w:p w14:paraId="2D1FDAA3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加大资金支付力度</w:t>
      </w:r>
      <w:r>
        <w:rPr>
          <w:lang w:val="zh-CN"/>
        </w:rPr>
        <w:t>。</w:t>
      </w:r>
    </w:p>
    <w:p w14:paraId="5E5A0A40">
      <w:pPr>
        <w:pStyle w:val="2"/>
        <w:rPr>
          <w:lang w:val="zh-CN"/>
        </w:rPr>
      </w:pPr>
    </w:p>
    <w:p w14:paraId="03B3B099">
      <w:pPr>
        <w:rPr>
          <w:lang w:val="zh-CN"/>
        </w:rPr>
      </w:pPr>
    </w:p>
    <w:p w14:paraId="22F40C09"/>
    <w:p w14:paraId="49735CC1">
      <w:pPr>
        <w:adjustRightInd w:val="0"/>
        <w:snapToGrid w:val="0"/>
        <w:spacing w:line="560" w:lineRule="exact"/>
        <w:ind w:firstLine="3840" w:firstLineChars="1200"/>
        <w:rPr>
          <w:rFonts w:hint="eastAsia" w:cs="Times New Roman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7789545</wp:posOffset>
                </wp:positionV>
                <wp:extent cx="5486400" cy="60960"/>
                <wp:effectExtent l="0" t="4445" r="0" b="29845"/>
                <wp:wrapNone/>
                <wp:docPr id="3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1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3.85pt;margin-top:613.35pt;height:4.8pt;width:432pt;rotation:11796480f;z-index:251660288;mso-width-relative:page;mso-height-relative:page;" coordorigin="1620,2532" coordsize="8640,156" o:gfxdata="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xQnUB9gAAAALAQAADwAAAAAA&#10;AAABACAAAAAiAAAAZHJzL2Rvd25yZXYueG1sUEsBAhQAFAAAAAgAh07iQEELMp6FAgAAHwcAAA4A&#10;AAAAAAAAAQAgAAAAJwEAAGRycy9lMm9Eb2MueG1sUEsFBgAAAAAGAAYAWQEAAB4GAAAAAA==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Vas6+b0AAADa&#10;AAAADwAAAGRycy9kb3ducmV2LnhtbEVPS2vCQBC+F/wPywi9FLOxhyLRTSiCmNZDbRRKb0N2mgSz&#10;s3F3ffTfdwWhp+Hje86iuJpenMn5zrKCaZKCIK6t7rhRsN+tJjMQPiBr7C2Tgl/yUOSjhwVm2l74&#10;k85VaEQMYZ+hgjaEIZPS1y0Z9IkdiCP3Y53BEKFrpHZ4ieGml89p+iINdhwbWhxo2VJ9qE5Ggfkw&#10;r/J7sz5Vbvv2/nXclNvDU6nU43iazkEEuoZ/8d1d6jgfbq/crs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zr5vQAA&#10;ANo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z82U87wAAADa&#10;AAAADwAAAGRycy9kb3ducmV2LnhtbEWPQWvCQBSE7wX/w/KE3upuPISSuoqIhdKeakXo7ZF9JjHZ&#10;tzH7Gu2/7wpCj8PMfMMsVlffqZGG2AS2kM0MKOIyuIYrC/uv16dnUFGQHXaBycIvRVgtJw8LLFy4&#10;8CeNO6lUgnAs0EIt0hdax7Imj3EWeuLkHcPgUZIcKu0GvCS47/TcmFx7bDgt1NjTpqay3f14C5Kf&#10;5ODy83ub7dvDt/kwo1lvrX2cZuYFlNBV/sP39puzMIfblXQD9PI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/NlPO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cs="Times New Roman"/>
          <w:kern w:val="2"/>
          <w:sz w:val="32"/>
          <w:szCs w:val="32"/>
          <w:lang w:val="zh-CN" w:eastAsia="zh-CN" w:bidi="ar-SA"/>
        </w:rPr>
        <w:t>攀枝花市仁和区同德镇人民政府</w:t>
      </w:r>
    </w:p>
    <w:p w14:paraId="0AC4D5C1">
      <w:pPr>
        <w:pStyle w:val="2"/>
        <w:ind w:firstLine="4160" w:firstLineChars="1300"/>
        <w:rPr>
          <w:rFonts w:hint="eastAsia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2025年5月16日</w:t>
      </w:r>
    </w:p>
    <w:p w14:paraId="1AD35F21"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698500</wp:posOffset>
                </wp:positionV>
                <wp:extent cx="5351780" cy="76200"/>
                <wp:effectExtent l="0" t="4445" r="1270" b="33655"/>
                <wp:wrapNone/>
                <wp:docPr id="4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351780" cy="76200"/>
                          <a:chOff x="1620" y="2532"/>
                          <a:chExt cx="8640" cy="156"/>
                        </a:xfrm>
                      </wpg:grpSpPr>
                      <wps:wsp>
                        <wps:cNvPr id="5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2.25pt;margin-top:55pt;height:6pt;width:421.4pt;rotation:11796480f;z-index:251661312;mso-width-relative:page;mso-height-relative:page;" coordorigin="1620,2532" coordsize="8640,156" o:gfxdata="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ALAozd1wAAAAkBAAAPAAAAAAAA&#10;AAEAIAAAACIAAABkcnMvZG93bnJldi54bWxQSwECFAAUAAAACACHTuJAM9/gfIUCAAAfBwAADgAA&#10;AAAAAAABACAAAAAmAQAAZHJzL2Uyb0RvYy54bWxQSwUGAAAAAAYABgBZAQAAHQYAAAAA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KpA8+r8AAADa&#10;AAAADwAAAGRycy9kb3ducmV2LnhtbEWPT2vCQBTE74LfYXlCL6VuLLRIdBNEKE3roRoL4u2RfSbB&#10;7Nt0d/3Tb98tCB6HmfkNM8+vphNncr61rGAyTkAQV1a3XCv43r49TUH4gKyxs0wKfslDng0Hc0y1&#10;vfCGzmWoRYSwT1FBE0KfSumrhgz6se2Jo3ewzmCI0tVSO7xEuOnkc5K8SoMtx4UGe1o2VB3Lk1Fg&#10;vsxC7lfvp9KtPz53P6tifXwslHoYTZIZiEDXcA/f2oVW8AL/V+INkN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qQPPq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sPaS8LwAAADa&#10;AAAADwAAAGRycy9kb3ducmV2LnhtbEWPQWvCQBSE70L/w/IKveluPARJXUVKC9KetCJ4e2Rfk5js&#10;2zT7GvXfu4VCj8PMfMMs11ffqZGG2AS2kM0MKOIyuIYrC4fPt+kCVBRkh11gsnCjCOvVw2SJhQsX&#10;3tG4l0olCMcCLdQifaF1LGvyGGehJ07eVxg8SpJDpd2AlwT3nZ4bk2uPDaeFGnt6qals9z/eguRn&#10;Obr8+73NDu3xZD7MaDav1j49ZuYZlNBV/sN/7a2zkMPvlXQD9O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D2kvC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6049250-3812-42A0-9AD2-CAF528CA173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7FB57963-AD9C-4D68-AEBE-065C4F267B5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CB9AE07D-097B-481B-A6E0-A9B5BEA570D2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4F1AFF57-F72F-45EB-B942-890D4FC753EF}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5" w:fontKey="{FF4957F4-333A-40C6-8C56-7DD1652EE445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1E4D324C-9D21-4DA0-98EF-08A166FB42B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1D4D51"/>
    <w:rsid w:val="002043DE"/>
    <w:rsid w:val="003E0697"/>
    <w:rsid w:val="007E5142"/>
    <w:rsid w:val="009137C6"/>
    <w:rsid w:val="00993141"/>
    <w:rsid w:val="00A51A86"/>
    <w:rsid w:val="00B04AD2"/>
    <w:rsid w:val="00EB3EED"/>
    <w:rsid w:val="02E66B31"/>
    <w:rsid w:val="0ABB706E"/>
    <w:rsid w:val="1C25106F"/>
    <w:rsid w:val="22AD555F"/>
    <w:rsid w:val="22AF0CB3"/>
    <w:rsid w:val="26930879"/>
    <w:rsid w:val="27E26DB1"/>
    <w:rsid w:val="2848299E"/>
    <w:rsid w:val="2AF86ED7"/>
    <w:rsid w:val="2B385C88"/>
    <w:rsid w:val="35874596"/>
    <w:rsid w:val="35F40F8A"/>
    <w:rsid w:val="377834F5"/>
    <w:rsid w:val="3EE85525"/>
    <w:rsid w:val="40D043A1"/>
    <w:rsid w:val="4AD30D16"/>
    <w:rsid w:val="55173EF5"/>
    <w:rsid w:val="5DA83A0F"/>
    <w:rsid w:val="5F900703"/>
    <w:rsid w:val="60367925"/>
    <w:rsid w:val="657D7DA4"/>
    <w:rsid w:val="6700043D"/>
    <w:rsid w:val="74A708C5"/>
    <w:rsid w:val="770A3500"/>
    <w:rsid w:val="771D4D51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1017</Words>
  <Characters>1060</Characters>
  <Lines>9</Lines>
  <Paragraphs>2</Paragraphs>
  <TotalTime>0</TotalTime>
  <ScaleCrop>false</ScaleCrop>
  <LinksUpToDate>false</LinksUpToDate>
  <CharactersWithSpaces>1062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2020-07-01T00:13:00Z</dcterms:created>
  <dc:creator>Administrator</dc:creator>
  <cp:lastModifiedBy>叶臣洁</cp:lastModifiedBy>
  <dcterms:modified xsi:type="dcterms:W3CDTF">2025-05-15T09:04:53Z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eyJoZGlkIjoiMDc4MTA2NzJiZWFkMDhlMjVhZmFmZWYzNzRkNzZiOWIiLCJ1c2VySWQiOiIxNjU1MDIyNjc0In0=</vt:lpwstr>
  </property>
  <property fmtid="{D5CDD505-2E9C-101B-9397-08002B2CF9AE}" pid="4" name="ICV">
    <vt:lpwstr>C9F1170F51A94CAC89F9A6330685717A_12</vt:lpwstr>
  </property>
</Properties>
</file>