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E25FC">
      <w:pPr>
        <w:snapToGrid w:val="0"/>
        <w:spacing w:line="800" w:lineRule="exact"/>
        <w:jc w:val="center"/>
        <w:rPr>
          <w:rFonts w:eastAsia="仿宋_GB2312"/>
          <w:bCs/>
          <w:sz w:val="54"/>
          <w:szCs w:val="54"/>
        </w:rPr>
      </w:pPr>
      <w:r>
        <w:rPr>
          <w:rFonts w:eastAsia="仿宋_GB2312"/>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507365</wp:posOffset>
                </wp:positionV>
                <wp:extent cx="5486400" cy="60960"/>
                <wp:effectExtent l="0" t="19050" r="0" b="15240"/>
                <wp:wrapNone/>
                <wp:docPr id="7" name="组合 32"/>
                <wp:cNvGraphicFramePr/>
                <a:graphic xmlns:a="http://schemas.openxmlformats.org/drawingml/2006/main">
                  <a:graphicData uri="http://schemas.microsoft.com/office/word/2010/wordprocessingGroup">
                    <wpg:wgp>
                      <wpg:cNvGrpSpPr/>
                      <wpg:grpSpPr>
                        <a:xfrm>
                          <a:off x="1217930" y="2001520"/>
                          <a:ext cx="5486400" cy="60960"/>
                          <a:chOff x="1620" y="2532"/>
                          <a:chExt cx="8640" cy="156"/>
                        </a:xfrm>
                        <a:effectLst/>
                      </wpg:grpSpPr>
                      <wps:wsp>
                        <wps:cNvPr id="8"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9"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3.05pt;margin-top:39.95pt;height:4.8pt;width:432pt;z-index:251659264;mso-width-relative:page;mso-height-relative:page;" coordorigin="1620,2532" coordsize="8640,156" o:gfxdata="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g2Xu29gAAAAHAQAADwAAAAAAAAABACAAAAAiAAAAZHJzL2Rvd25yZXYueG1sUEsBAhQA&#10;FAAAAAgAh07iQHeM7gudAgAAWAcAAA4AAAAAAAAAAQAgAAAAJwEAAGRycy9lMm9Eb2MueG1sUEsF&#10;BgAAAAAGAAYAWQEAADYGAAAAAA==&#10;">
                <o:lock v:ext="edit" aspectratio="f"/>
                <v:line id="直接连接符 35" o:spid="_x0000_s1026" o:spt="20" style="position:absolute;left:1620;top:2532;height:0;width:8640;" filled="f" stroked="t" coordsize="21600,21600" o:gfxdata="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EkZNkugAAANoA&#10;AAAPAAAAAAAAAAEAIAAAACIAAABkcnMvZG93bnJldi54bWxQSwECFAAUAAAACACHTuJAMy8FnjsA&#10;AAA5AAAAEAAAAAAAAAABACAAAAAJAQAAZHJzL3NoYXBleG1sLnhtbFBLBQYAAAAABgAGAFsBAACz&#10;AwAAAAA=&#10;">
                  <v:fill on="f" focussize="0,0"/>
                  <v:stroke weight="3pt" color="#FF0000" joinstyle="round"/>
                  <v:imagedata o:title=""/>
                  <o:lock v:ext="edit" aspectratio="f"/>
                </v:line>
                <v:line id="直接连接符 36" o:spid="_x0000_s1026" o:spt="20" style="position:absolute;left:1620;top:2688;height:0;width:8640;" filled="f" stroked="t" coordsize="21600,21600" o:gfxdata="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aQaCvQAA&#10;ANo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r>
        <w:rPr>
          <w:rFonts w:hint="eastAsia" w:ascii="方正小标宋_GBK" w:eastAsia="方正小标宋_GBK"/>
          <w:bCs/>
          <w:color w:val="FF0000"/>
          <w:spacing w:val="30"/>
          <w:sz w:val="54"/>
          <w:szCs w:val="54"/>
        </w:rPr>
        <w:t>攀枝花市仁和区同德镇人民政府</w:t>
      </w:r>
    </w:p>
    <w:p w14:paraId="6A73B5B5">
      <w:pPr>
        <w:pStyle w:val="8"/>
        <w:spacing w:line="600" w:lineRule="exact"/>
        <w:rPr>
          <w:rFonts w:ascii="Times New Roman" w:hAnsi="Times New Roman" w:eastAsia="方正小标宋简体"/>
          <w:color w:val="auto"/>
          <w:kern w:val="2"/>
          <w:sz w:val="40"/>
          <w:szCs w:val="40"/>
          <w:lang w:val="en-US"/>
        </w:rPr>
      </w:pPr>
    </w:p>
    <w:p w14:paraId="62F09BDF">
      <w:pPr>
        <w:pStyle w:val="8"/>
        <w:spacing w:line="600" w:lineRule="exact"/>
        <w:jc w:val="center"/>
        <w:rPr>
          <w:rFonts w:hint="eastAsia" w:ascii="Times New Roman" w:hAnsi="Times New Roman" w:eastAsia="方正小标宋简体"/>
          <w:color w:val="auto"/>
          <w:kern w:val="2"/>
          <w:sz w:val="40"/>
          <w:szCs w:val="40"/>
        </w:rPr>
      </w:pPr>
      <w:r>
        <w:rPr>
          <w:rFonts w:hint="eastAsia" w:ascii="Times New Roman" w:hAnsi="Times New Roman" w:eastAsia="方正小标宋简体"/>
          <w:color w:val="auto"/>
          <w:kern w:val="2"/>
          <w:sz w:val="40"/>
          <w:szCs w:val="40"/>
        </w:rPr>
        <w:t>攀枝花市仁和区同德镇人民政府</w:t>
      </w:r>
    </w:p>
    <w:p w14:paraId="7D9A60C3">
      <w:pPr>
        <w:pStyle w:val="8"/>
        <w:spacing w:line="600" w:lineRule="exact"/>
        <w:jc w:val="center"/>
        <w:rPr>
          <w:rFonts w:ascii="Times New Roman" w:hAnsi="Times New Roman" w:eastAsia="方正小标宋简体"/>
          <w:color w:val="auto"/>
          <w:kern w:val="2"/>
          <w:sz w:val="40"/>
          <w:szCs w:val="40"/>
        </w:rPr>
      </w:pPr>
      <w:r>
        <w:rPr>
          <w:rFonts w:hint="eastAsia" w:ascii="Times New Roman" w:hAnsi="Times New Roman" w:eastAsia="方正小标宋简体"/>
          <w:color w:val="auto"/>
          <w:kern w:val="2"/>
          <w:sz w:val="40"/>
          <w:szCs w:val="40"/>
          <w:lang w:eastAsia="zh-CN"/>
        </w:rPr>
        <w:t>关于</w:t>
      </w:r>
      <w:r>
        <w:rPr>
          <w:rFonts w:ascii="Times New Roman" w:hAnsi="Times New Roman" w:eastAsia="方正小标宋简体"/>
          <w:color w:val="auto"/>
          <w:kern w:val="2"/>
          <w:sz w:val="40"/>
          <w:szCs w:val="40"/>
        </w:rPr>
        <w:t>专项预算项目支出绩效自评报告</w:t>
      </w:r>
    </w:p>
    <w:p w14:paraId="6445A4F4">
      <w:pPr>
        <w:pStyle w:val="8"/>
        <w:spacing w:line="600" w:lineRule="exact"/>
        <w:jc w:val="center"/>
        <w:rPr>
          <w:rFonts w:ascii="Times New Roman" w:hAnsi="Times New Roman" w:eastAsia="仿宋_GB2312"/>
          <w:color w:val="auto"/>
          <w:kern w:val="2"/>
          <w:sz w:val="32"/>
          <w:szCs w:val="32"/>
        </w:rPr>
      </w:pPr>
      <w:r>
        <w:rPr>
          <w:rFonts w:ascii="Times New Roman" w:hAnsi="Times New Roman" w:eastAsia="仿宋_GB2312"/>
          <w:color w:val="auto"/>
          <w:kern w:val="2"/>
          <w:sz w:val="32"/>
          <w:szCs w:val="32"/>
        </w:rPr>
        <w:t>（</w:t>
      </w:r>
      <w:r>
        <w:rPr>
          <w:rFonts w:hint="eastAsia" w:ascii="Times New Roman" w:hAnsi="Times New Roman" w:eastAsia="仿宋_GB2312"/>
          <w:color w:val="auto"/>
          <w:kern w:val="2"/>
          <w:sz w:val="32"/>
          <w:szCs w:val="32"/>
        </w:rPr>
        <w:t>2023年农村综合改革转移支付预算发展新型农村集体经济</w:t>
      </w:r>
      <w:r>
        <w:rPr>
          <w:rFonts w:ascii="Times New Roman" w:hAnsi="Times New Roman" w:eastAsia="仿宋_GB2312"/>
          <w:color w:val="auto"/>
          <w:kern w:val="2"/>
          <w:sz w:val="32"/>
          <w:szCs w:val="32"/>
        </w:rPr>
        <w:t>）</w:t>
      </w:r>
    </w:p>
    <w:p w14:paraId="05272483">
      <w:pPr>
        <w:pStyle w:val="8"/>
        <w:spacing w:line="600" w:lineRule="exact"/>
        <w:ind w:firstLine="640"/>
        <w:jc w:val="center"/>
        <w:rPr>
          <w:rFonts w:ascii="Times New Roman" w:hAnsi="Times New Roman"/>
          <w:color w:val="auto"/>
          <w:kern w:val="2"/>
          <w:sz w:val="32"/>
          <w:szCs w:val="32"/>
        </w:rPr>
      </w:pPr>
    </w:p>
    <w:p w14:paraId="202FFB3F">
      <w:pPr>
        <w:adjustRightInd w:val="0"/>
        <w:snapToGrid w:val="0"/>
        <w:spacing w:line="600" w:lineRule="exact"/>
        <w:ind w:firstLine="720"/>
        <w:rPr>
          <w:rFonts w:eastAsia="黑体"/>
          <w:lang w:val="zh-CN"/>
        </w:rPr>
      </w:pPr>
      <w:r>
        <w:rPr>
          <w:rFonts w:eastAsia="黑体"/>
        </w:rPr>
        <w:t>一、</w:t>
      </w:r>
      <w:r>
        <w:rPr>
          <w:rFonts w:eastAsia="黑体"/>
          <w:lang w:val="zh-CN"/>
        </w:rPr>
        <w:t>项目概况</w:t>
      </w:r>
    </w:p>
    <w:p w14:paraId="40F8EEC6">
      <w:pPr>
        <w:adjustRightInd w:val="0"/>
        <w:snapToGrid w:val="0"/>
        <w:spacing w:line="600" w:lineRule="exact"/>
        <w:ind w:firstLine="720"/>
        <w:rPr>
          <w:rFonts w:eastAsia="楷体_GB2312"/>
          <w:b/>
          <w:lang w:val="zh-CN"/>
        </w:rPr>
      </w:pPr>
      <w:r>
        <w:rPr>
          <w:rFonts w:eastAsia="楷体_GB2312"/>
          <w:b/>
          <w:lang w:val="zh-CN"/>
        </w:rPr>
        <w:t>（一）项目基本情况。</w:t>
      </w:r>
    </w:p>
    <w:p w14:paraId="4B58ED35">
      <w:pPr>
        <w:adjustRightInd w:val="0"/>
        <w:snapToGrid w:val="0"/>
        <w:spacing w:line="600" w:lineRule="exact"/>
        <w:ind w:firstLine="720"/>
        <w:rPr>
          <w:rFonts w:hint="eastAsia" w:ascii="Times New Roman" w:hAnsi="Times New Roman" w:cs="Times New Roman"/>
          <w:lang w:val="zh-CN" w:eastAsia="zh-CN"/>
        </w:rPr>
      </w:pPr>
      <w:r>
        <w:rPr>
          <w:rFonts w:hint="eastAsia"/>
          <w:lang w:val="zh-CN" w:eastAsia="zh-CN"/>
        </w:rPr>
        <w:t>项目主管部门</w:t>
      </w:r>
      <w:r>
        <w:rPr>
          <w:rFonts w:hint="eastAsia"/>
          <w:lang w:val="zh-CN"/>
        </w:rPr>
        <w:t>攀枝花市仁和区农业农村局为项目组织实施提供必要的规划指导、技术推广、产销对接等服务支撑。</w:t>
      </w:r>
      <w:r>
        <w:rPr>
          <w:rFonts w:hint="eastAsia" w:ascii="Times New Roman" w:hAnsi="Times New Roman" w:cs="Times New Roman"/>
          <w:lang w:val="zh-CN" w:eastAsia="zh-CN"/>
        </w:rPr>
        <w:t>根据《中共四川省委组织部 四川省财政厅 四川省</w:t>
      </w:r>
      <w:r>
        <w:rPr>
          <w:rFonts w:hint="eastAsia" w:cs="Times New Roman"/>
          <w:lang w:val="zh-CN" w:eastAsia="zh-CN"/>
        </w:rPr>
        <w:t>农</w:t>
      </w:r>
      <w:r>
        <w:rPr>
          <w:rFonts w:hint="eastAsia" w:ascii="Times New Roman" w:hAnsi="Times New Roman" w:cs="Times New Roman"/>
          <w:lang w:val="zh-CN" w:eastAsia="zh-CN"/>
        </w:rPr>
        <w:t>业农村厅 四川省乡村振兴局关于推进2023年扶持发展新型农村集体经济有关具体事项的通知》（川组通〔2023〕3</w:t>
      </w:r>
      <w:r>
        <w:rPr>
          <w:rFonts w:hint="eastAsia" w:cs="Times New Roman"/>
          <w:lang w:val="en-US" w:eastAsia="zh-CN"/>
        </w:rPr>
        <w:t>0</w:t>
      </w:r>
      <w:r>
        <w:rPr>
          <w:rFonts w:hint="eastAsia" w:ascii="Times New Roman" w:hAnsi="Times New Roman" w:cs="Times New Roman"/>
          <w:lang w:val="zh-CN" w:eastAsia="zh-CN"/>
        </w:rPr>
        <w:t>号），因地制宜，结合辖区环境，科学编制治理方案申报资金。按照施工合同约定的支付方式进行资金拨付，拨付对象为施工单位，支持方式为转账。根据工程量清单进行资金分配。</w:t>
      </w:r>
    </w:p>
    <w:p w14:paraId="40C58751">
      <w:pPr>
        <w:adjustRightInd w:val="0"/>
        <w:snapToGrid w:val="0"/>
        <w:spacing w:line="600" w:lineRule="exact"/>
        <w:ind w:firstLine="720"/>
        <w:rPr>
          <w:rFonts w:eastAsia="楷体_GB2312"/>
          <w:b/>
          <w:lang w:val="zh-CN"/>
        </w:rPr>
      </w:pPr>
      <w:r>
        <w:rPr>
          <w:rFonts w:eastAsia="楷体_GB2312"/>
          <w:b/>
          <w:lang w:val="zh-CN"/>
        </w:rPr>
        <w:t>（二）项目绩效目标。</w:t>
      </w:r>
    </w:p>
    <w:p w14:paraId="17081E1D">
      <w:pPr>
        <w:adjustRightInd w:val="0"/>
        <w:snapToGrid w:val="0"/>
        <w:spacing w:line="600" w:lineRule="exact"/>
        <w:ind w:firstLine="720"/>
        <w:rPr>
          <w:rFonts w:hint="eastAsia" w:ascii="Times New Roman" w:hAnsi="Times New Roman" w:cs="Times New Roman"/>
          <w:lang w:val="zh-CN"/>
        </w:rPr>
      </w:pPr>
      <w:r>
        <w:rPr>
          <w:rFonts w:hint="eastAsia"/>
          <w:lang w:val="zh-CN"/>
        </w:rPr>
        <w:t>马拉所村新建350平方米餐娱一体接待中心；流转已挂果的果园地30亩，改良桑果、青花梨等果品，打造精品采摘园；建设露营基地，发展休闲旅游业；引进山地越野摩托，打造亲子游活动基地等。</w:t>
      </w:r>
      <w:r>
        <w:rPr>
          <w:rFonts w:hint="eastAsia" w:ascii="Times New Roman" w:hAnsi="Times New Roman" w:cs="Times New Roman"/>
          <w:lang w:val="zh-CN"/>
        </w:rPr>
        <w:t>建设露营基地</w:t>
      </w:r>
      <w:r>
        <w:rPr>
          <w:rFonts w:hint="eastAsia" w:ascii="Times New Roman" w:hAnsi="Times New Roman" w:cs="Times New Roman"/>
          <w:lang w:val="en-US" w:eastAsia="zh-CN"/>
        </w:rPr>
        <w:t>1</w:t>
      </w:r>
      <w:r>
        <w:rPr>
          <w:rFonts w:hint="eastAsia" w:cs="Times New Roman"/>
          <w:lang w:val="en-US" w:eastAsia="zh-CN"/>
        </w:rPr>
        <w:t>处</w:t>
      </w:r>
      <w:r>
        <w:rPr>
          <w:rFonts w:hint="eastAsia" w:ascii="Times New Roman" w:hAnsi="Times New Roman" w:cs="Times New Roman"/>
          <w:lang w:val="en-US" w:eastAsia="zh-CN"/>
        </w:rPr>
        <w:t>，工程验收合格率100%，完成时限</w:t>
      </w:r>
      <w:r>
        <w:rPr>
          <w:rFonts w:hint="eastAsia" w:cs="Times New Roman"/>
          <w:lang w:val="en-US" w:eastAsia="zh-CN"/>
        </w:rPr>
        <w:t>2023</w:t>
      </w:r>
      <w:r>
        <w:rPr>
          <w:rFonts w:hint="eastAsia" w:ascii="Times New Roman" w:hAnsi="Times New Roman" w:cs="Times New Roman"/>
          <w:lang w:val="en-US" w:eastAsia="zh-CN"/>
        </w:rPr>
        <w:t>年，建设露营基地年纯收益</w:t>
      </w:r>
      <w:r>
        <w:rPr>
          <w:rFonts w:hint="eastAsia" w:cs="Times New Roman"/>
          <w:lang w:val="en-US" w:eastAsia="zh-CN"/>
        </w:rPr>
        <w:t>14.175万元</w:t>
      </w:r>
      <w:r>
        <w:rPr>
          <w:rFonts w:hint="eastAsia" w:ascii="Times New Roman" w:hAnsi="Times New Roman" w:cs="Times New Roman"/>
          <w:lang w:val="en-US" w:eastAsia="zh-CN"/>
        </w:rPr>
        <w:t>，项目村基层党组织的组织力凝聚力战斗力</w:t>
      </w:r>
      <w:r>
        <w:rPr>
          <w:rFonts w:hint="eastAsia" w:cs="Times New Roman"/>
          <w:lang w:val="en-US" w:eastAsia="zh-CN"/>
        </w:rPr>
        <w:t>有所增强，农村人居环境有所增强，推动村集体经济发展，带动群众增收，</w:t>
      </w:r>
      <w:r>
        <w:rPr>
          <w:rFonts w:hint="eastAsia" w:ascii="Times New Roman" w:hAnsi="Times New Roman" w:cs="Times New Roman"/>
          <w:lang w:val="en-US" w:eastAsia="zh-CN"/>
        </w:rPr>
        <w:t>群众满意度≥95%，建设露营基地成本</w:t>
      </w:r>
      <w:r>
        <w:rPr>
          <w:rFonts w:hint="eastAsia" w:cs="Times New Roman"/>
          <w:lang w:val="en-US" w:eastAsia="zh-CN"/>
        </w:rPr>
        <w:t>10</w:t>
      </w:r>
      <w:r>
        <w:rPr>
          <w:rFonts w:hint="eastAsia" w:ascii="Times New Roman" w:hAnsi="Times New Roman" w:cs="Times New Roman"/>
          <w:lang w:val="en-US" w:eastAsia="zh-CN"/>
        </w:rPr>
        <w:t>万元。该项目已完工。</w:t>
      </w:r>
      <w:r>
        <w:rPr>
          <w:rFonts w:hint="eastAsia" w:ascii="Times New Roman" w:hAnsi="Times New Roman" w:cs="Times New Roman"/>
          <w:lang w:val="zh-CN"/>
        </w:rPr>
        <w:t>分析评价申报内容与实际相符，申报目标合理可行。</w:t>
      </w:r>
    </w:p>
    <w:p w14:paraId="5ED0F4D5">
      <w:pPr>
        <w:adjustRightInd w:val="0"/>
        <w:snapToGrid w:val="0"/>
        <w:spacing w:line="600" w:lineRule="exact"/>
        <w:ind w:firstLine="720"/>
        <w:rPr>
          <w:rFonts w:eastAsia="楷体_GB2312"/>
          <w:b/>
          <w:lang w:val="zh-CN"/>
        </w:rPr>
      </w:pPr>
      <w:r>
        <w:rPr>
          <w:rFonts w:eastAsia="楷体_GB2312"/>
          <w:b/>
          <w:lang w:val="zh-CN"/>
        </w:rPr>
        <w:t>（三）项目自评步骤及方法。</w:t>
      </w:r>
    </w:p>
    <w:p w14:paraId="7998D2EB">
      <w:pPr>
        <w:adjustRightInd w:val="0"/>
        <w:snapToGrid w:val="0"/>
        <w:spacing w:line="600" w:lineRule="exact"/>
        <w:ind w:firstLine="720"/>
        <w:rPr>
          <w:lang w:val="zh-CN"/>
        </w:rPr>
      </w:pPr>
      <w:r>
        <w:rPr>
          <w:rFonts w:hint="eastAsia"/>
          <w:lang w:val="zh-CN"/>
        </w:rPr>
        <w:t>根据资金使用效率、群众采访满意度、工程建设进度综合评分</w:t>
      </w:r>
      <w:r>
        <w:rPr>
          <w:lang w:val="zh-CN"/>
        </w:rPr>
        <w:t>。</w:t>
      </w:r>
    </w:p>
    <w:p w14:paraId="56439465">
      <w:pPr>
        <w:adjustRightInd w:val="0"/>
        <w:snapToGrid w:val="0"/>
        <w:spacing w:line="600" w:lineRule="exact"/>
        <w:ind w:firstLine="720"/>
        <w:rPr>
          <w:rFonts w:eastAsia="黑体"/>
        </w:rPr>
      </w:pPr>
      <w:r>
        <w:rPr>
          <w:rFonts w:eastAsia="黑体"/>
        </w:rPr>
        <w:t>二、项目资金申报及使用情况</w:t>
      </w:r>
    </w:p>
    <w:p w14:paraId="225995B6">
      <w:pPr>
        <w:adjustRightInd w:val="0"/>
        <w:snapToGrid w:val="0"/>
        <w:spacing w:line="600" w:lineRule="exact"/>
        <w:ind w:firstLine="720"/>
        <w:rPr>
          <w:rFonts w:eastAsia="楷体_GB2312"/>
          <w:b/>
          <w:lang w:val="zh-CN"/>
        </w:rPr>
      </w:pPr>
      <w:r>
        <w:rPr>
          <w:rFonts w:eastAsia="楷体_GB2312"/>
          <w:b/>
          <w:lang w:val="zh-CN"/>
        </w:rPr>
        <w:t>（一）项目资金申报及批复情况。</w:t>
      </w:r>
    </w:p>
    <w:p w14:paraId="47D7D751">
      <w:pPr>
        <w:adjustRightInd w:val="0"/>
        <w:snapToGrid w:val="0"/>
        <w:spacing w:line="600" w:lineRule="exact"/>
        <w:ind w:firstLine="720"/>
        <w:rPr>
          <w:lang w:val="zh-CN"/>
        </w:rPr>
      </w:pPr>
      <w:r>
        <w:rPr>
          <w:rFonts w:hint="eastAsia"/>
          <w:lang w:val="zh-CN"/>
        </w:rPr>
        <w:t>根据《中共四川省委组织部 四川省财政厅 四川省农业农村厅 四川省乡村振兴局关于推进2023年扶持发展新型农村集体经济有关具体事项的通知》（川组通〔2023〕30号），《攀枝花市仁和区人民政府关于《攀枝花市仁和区扶持发展新型农村集体经济实施方案》的批复》（攀仁府〔2023〕89号）文件，确定了我镇实施发展新型农村集体经济项目的目标任务及资金分配情况，符合资金管理办法等相关规定</w:t>
      </w:r>
      <w:r>
        <w:rPr>
          <w:lang w:val="zh-CN"/>
        </w:rPr>
        <w:t>。</w:t>
      </w:r>
    </w:p>
    <w:p w14:paraId="1CCA5F01">
      <w:pPr>
        <w:adjustRightInd w:val="0"/>
        <w:snapToGrid w:val="0"/>
        <w:spacing w:line="600" w:lineRule="exact"/>
        <w:ind w:firstLine="720"/>
        <w:rPr>
          <w:lang w:val="zh-CN"/>
        </w:rPr>
      </w:pPr>
      <w:r>
        <w:rPr>
          <w:rFonts w:eastAsia="楷体_GB2312"/>
          <w:b/>
          <w:lang w:val="zh-CN"/>
        </w:rPr>
        <w:t>（二）资金计划、到位及使用情况。</w:t>
      </w:r>
    </w:p>
    <w:p w14:paraId="42AB3607">
      <w:pPr>
        <w:adjustRightInd w:val="0"/>
        <w:snapToGrid w:val="0"/>
        <w:spacing w:line="600" w:lineRule="exact"/>
        <w:ind w:firstLine="720"/>
        <w:rPr>
          <w:rFonts w:hint="default"/>
          <w:lang w:val="en-US"/>
        </w:rPr>
      </w:pPr>
      <w:r>
        <w:rPr>
          <w:rFonts w:hint="eastAsia" w:ascii="Times New Roman" w:hAnsi="Times New Roman" w:cs="Times New Roman"/>
          <w:lang w:val="zh-CN"/>
        </w:rPr>
        <w:t>该项目属于</w:t>
      </w:r>
      <w:r>
        <w:rPr>
          <w:rFonts w:hint="default" w:ascii="Times New Roman" w:hAnsi="Times New Roman" w:cs="Times New Roman"/>
          <w:lang w:val="zh-CN"/>
        </w:rPr>
        <w:t>财政资金</w:t>
      </w:r>
      <w:r>
        <w:rPr>
          <w:rFonts w:hint="eastAsia" w:ascii="Times New Roman" w:hAnsi="Times New Roman" w:cs="Times New Roman"/>
          <w:lang w:val="zh-CN"/>
        </w:rPr>
        <w:t>，预算项目资金</w:t>
      </w:r>
      <w:r>
        <w:rPr>
          <w:rFonts w:hint="eastAsia" w:cs="Times New Roman"/>
          <w:lang w:val="en-US" w:eastAsia="zh-CN"/>
        </w:rPr>
        <w:t>10</w:t>
      </w:r>
      <w:r>
        <w:rPr>
          <w:rFonts w:hint="eastAsia" w:ascii="Times New Roman" w:hAnsi="Times New Roman" w:cs="Times New Roman"/>
          <w:lang w:val="zh-CN"/>
        </w:rPr>
        <w:t>万元</w:t>
      </w:r>
      <w:r>
        <w:rPr>
          <w:rFonts w:hint="eastAsia" w:cs="Times New Roman"/>
          <w:lang w:val="zh-CN"/>
        </w:rPr>
        <w:t>。</w:t>
      </w:r>
      <w:r>
        <w:rPr>
          <w:rFonts w:hint="eastAsia" w:ascii="Times New Roman" w:hAnsi="Times New Roman" w:eastAsia="仿宋_GB2312" w:cs="Times New Roman"/>
          <w:kern w:val="2"/>
          <w:sz w:val="32"/>
          <w:szCs w:val="32"/>
          <w:lang w:val="zh-CN" w:eastAsia="zh-CN" w:bidi="ar-SA"/>
        </w:rPr>
        <w:t>资金到位率</w:t>
      </w:r>
      <w:r>
        <w:rPr>
          <w:rFonts w:hint="eastAsia" w:cs="Times New Roman"/>
          <w:kern w:val="2"/>
          <w:sz w:val="32"/>
          <w:szCs w:val="32"/>
          <w:lang w:val="en-US" w:eastAsia="zh-CN" w:bidi="ar-SA"/>
        </w:rPr>
        <w:t>100</w:t>
      </w:r>
      <w:r>
        <w:rPr>
          <w:rFonts w:hint="eastAsia" w:ascii="Times New Roman" w:hAnsi="Times New Roman" w:eastAsia="仿宋_GB2312" w:cs="Times New Roman"/>
          <w:kern w:val="2"/>
          <w:sz w:val="32"/>
          <w:szCs w:val="32"/>
          <w:lang w:val="zh-CN" w:eastAsia="zh-CN" w:bidi="ar-SA"/>
        </w:rPr>
        <w:t>%、到位及时性</w:t>
      </w:r>
      <w:r>
        <w:rPr>
          <w:rFonts w:hint="eastAsia" w:cs="Times New Roman"/>
          <w:kern w:val="2"/>
          <w:sz w:val="32"/>
          <w:szCs w:val="32"/>
          <w:lang w:val="en-US" w:eastAsia="zh-CN" w:bidi="ar-SA"/>
        </w:rPr>
        <w:t>100</w:t>
      </w:r>
      <w:r>
        <w:rPr>
          <w:rFonts w:hint="eastAsia" w:ascii="Times New Roman" w:hAnsi="Times New Roman" w:eastAsia="仿宋_GB2312" w:cs="Times New Roman"/>
          <w:kern w:val="2"/>
          <w:sz w:val="32"/>
          <w:szCs w:val="32"/>
          <w:lang w:val="zh-CN" w:eastAsia="zh-CN" w:bidi="ar-SA"/>
        </w:rPr>
        <w:t>%。该项目资金的实际支出</w:t>
      </w:r>
      <w:r>
        <w:rPr>
          <w:rFonts w:hint="eastAsia" w:cs="Times New Roman"/>
          <w:kern w:val="2"/>
          <w:sz w:val="32"/>
          <w:szCs w:val="32"/>
          <w:lang w:val="en-US" w:eastAsia="zh-CN" w:bidi="ar-SA"/>
        </w:rPr>
        <w:t>4.75</w:t>
      </w:r>
      <w:r>
        <w:rPr>
          <w:rFonts w:hint="eastAsia" w:ascii="Times New Roman" w:hAnsi="Times New Roman" w:eastAsia="仿宋_GB2312" w:cs="Times New Roman"/>
          <w:kern w:val="2"/>
          <w:sz w:val="32"/>
          <w:szCs w:val="32"/>
          <w:lang w:val="zh-CN" w:eastAsia="zh-CN" w:bidi="ar-SA"/>
        </w:rPr>
        <w:t>万元，支付进度为</w:t>
      </w:r>
      <w:r>
        <w:rPr>
          <w:rFonts w:hint="eastAsia" w:cs="Times New Roman"/>
          <w:kern w:val="2"/>
          <w:sz w:val="32"/>
          <w:szCs w:val="32"/>
          <w:lang w:val="en-US" w:eastAsia="zh-CN" w:bidi="ar-SA"/>
        </w:rPr>
        <w:t>47.54</w:t>
      </w:r>
      <w:r>
        <w:rPr>
          <w:rFonts w:hint="eastAsia" w:ascii="Times New Roman" w:hAnsi="Times New Roman" w:eastAsia="仿宋_GB2312" w:cs="Times New Roman"/>
          <w:kern w:val="2"/>
          <w:sz w:val="32"/>
          <w:szCs w:val="32"/>
          <w:lang w:val="zh-CN" w:eastAsia="zh-CN" w:bidi="ar-SA"/>
        </w:rPr>
        <w:t>%，支付依据合规合法</w:t>
      </w:r>
      <w:r>
        <w:rPr>
          <w:rFonts w:hint="eastAsia" w:ascii="Times New Roman" w:hAnsi="Times New Roman" w:cs="Times New Roman"/>
          <w:kern w:val="2"/>
          <w:sz w:val="32"/>
          <w:szCs w:val="32"/>
          <w:lang w:val="zh-CN" w:eastAsia="zh-CN" w:bidi="ar-SA"/>
        </w:rPr>
        <w:t>。</w:t>
      </w:r>
    </w:p>
    <w:p w14:paraId="464C42CF">
      <w:pPr>
        <w:adjustRightInd w:val="0"/>
        <w:snapToGrid w:val="0"/>
        <w:spacing w:line="600" w:lineRule="exact"/>
        <w:ind w:firstLine="720"/>
        <w:rPr>
          <w:rFonts w:eastAsia="楷体_GB2312"/>
          <w:b/>
          <w:lang w:val="zh-CN"/>
        </w:rPr>
      </w:pPr>
      <w:r>
        <w:rPr>
          <w:rFonts w:eastAsia="楷体_GB2312"/>
          <w:b/>
          <w:lang w:val="zh-CN"/>
        </w:rPr>
        <w:t>（三）项目财务管理情况。</w:t>
      </w:r>
    </w:p>
    <w:p w14:paraId="0A1FD001">
      <w:pPr>
        <w:adjustRightInd w:val="0"/>
        <w:snapToGrid w:val="0"/>
        <w:spacing w:line="600" w:lineRule="exact"/>
        <w:ind w:firstLine="720"/>
        <w:rPr>
          <w:lang w:val="zh-CN"/>
        </w:rPr>
      </w:pPr>
      <w:r>
        <w:rPr>
          <w:rFonts w:hint="eastAsia"/>
          <w:lang w:val="zh-CN"/>
        </w:rPr>
        <w:t>我单位财务管理制度健全，严格执行财务管理制度，账务处理及时，会计核算规范</w:t>
      </w:r>
      <w:r>
        <w:rPr>
          <w:lang w:val="zh-CN"/>
        </w:rPr>
        <w:t>。</w:t>
      </w:r>
    </w:p>
    <w:p w14:paraId="4F0BC00E">
      <w:pPr>
        <w:adjustRightInd w:val="0"/>
        <w:snapToGrid w:val="0"/>
        <w:spacing w:line="600" w:lineRule="exact"/>
        <w:ind w:firstLine="720"/>
        <w:rPr>
          <w:lang w:val="zh-CN"/>
        </w:rPr>
      </w:pPr>
      <w:r>
        <w:rPr>
          <w:rFonts w:eastAsia="黑体"/>
        </w:rPr>
        <w:t>三、项目实施及管理情况</w:t>
      </w:r>
    </w:p>
    <w:p w14:paraId="41227326">
      <w:pPr>
        <w:adjustRightInd w:val="0"/>
        <w:snapToGrid w:val="0"/>
        <w:spacing w:line="600" w:lineRule="exact"/>
        <w:ind w:firstLine="720"/>
        <w:rPr>
          <w:rFonts w:eastAsia="楷体_GB2312"/>
          <w:b/>
          <w:lang w:val="zh-CN"/>
        </w:rPr>
      </w:pPr>
      <w:r>
        <w:rPr>
          <w:rFonts w:eastAsia="楷体_GB2312"/>
          <w:b/>
          <w:lang w:val="zh-CN"/>
        </w:rPr>
        <w:t>（一）项目组织架构及实施流程。</w:t>
      </w:r>
    </w:p>
    <w:p w14:paraId="04E1999D">
      <w:pPr>
        <w:pStyle w:val="2"/>
        <w:ind w:left="0" w:leftChars="0" w:firstLine="654" w:firstLineChars="200"/>
        <w:rPr>
          <w:lang w:val="zh-CN"/>
        </w:rPr>
      </w:pPr>
      <w:r>
        <w:rPr>
          <w:rFonts w:hint="eastAsia"/>
          <w:lang w:val="zh-CN"/>
        </w:rPr>
        <w:t>该项目由仁和区同德镇人民政府主管，同德镇项目办管理，经济发展办负责资金发放。</w:t>
      </w:r>
    </w:p>
    <w:p w14:paraId="0863D273">
      <w:pPr>
        <w:numPr>
          <w:ilvl w:val="0"/>
          <w:numId w:val="1"/>
        </w:numPr>
        <w:adjustRightInd w:val="0"/>
        <w:snapToGrid w:val="0"/>
        <w:spacing w:line="600" w:lineRule="exact"/>
        <w:ind w:firstLine="720"/>
        <w:rPr>
          <w:rFonts w:eastAsia="楷体_GB2312"/>
          <w:b/>
          <w:lang w:val="zh-CN"/>
        </w:rPr>
      </w:pPr>
      <w:r>
        <w:rPr>
          <w:rFonts w:eastAsia="楷体_GB2312"/>
          <w:b/>
          <w:lang w:val="zh-CN"/>
        </w:rPr>
        <w:t>项目管理情况。</w:t>
      </w:r>
    </w:p>
    <w:p w14:paraId="04E149CF">
      <w:pPr>
        <w:pStyle w:val="2"/>
        <w:rPr>
          <w:rFonts w:hint="eastAsia" w:ascii="Times New Roman" w:hAnsi="Times New Roman" w:cs="Times New Roman"/>
          <w:lang w:val="zh-CN"/>
        </w:rPr>
      </w:pPr>
      <w:r>
        <w:rPr>
          <w:rFonts w:hint="eastAsia" w:ascii="Times New Roman" w:hAnsi="Times New Roman" w:cs="Times New Roman"/>
          <w:lang w:val="zh-CN"/>
        </w:rPr>
        <w:t>我单位严格执行相关法律法规及项目管理制度，加强项目管理。</w:t>
      </w:r>
    </w:p>
    <w:p w14:paraId="247518BF">
      <w:pPr>
        <w:numPr>
          <w:ilvl w:val="0"/>
          <w:numId w:val="1"/>
        </w:numPr>
        <w:adjustRightInd w:val="0"/>
        <w:snapToGrid w:val="0"/>
        <w:spacing w:line="600" w:lineRule="exact"/>
        <w:ind w:left="0" w:leftChars="0" w:firstLine="720" w:firstLineChars="0"/>
        <w:rPr>
          <w:rFonts w:eastAsia="楷体_GB2312"/>
          <w:b/>
          <w:lang w:val="zh-CN"/>
        </w:rPr>
      </w:pPr>
      <w:r>
        <w:rPr>
          <w:rFonts w:eastAsia="楷体_GB2312"/>
          <w:b/>
          <w:lang w:val="zh-CN"/>
        </w:rPr>
        <w:t>项目监管情况。</w:t>
      </w:r>
    </w:p>
    <w:p w14:paraId="1C3A5100">
      <w:pPr>
        <w:pStyle w:val="2"/>
        <w:rPr>
          <w:rFonts w:hint="eastAsia" w:ascii="Times New Roman" w:hAnsi="Times New Roman" w:cs="Times New Roman"/>
          <w:lang w:val="zh-CN"/>
        </w:rPr>
      </w:pPr>
      <w:r>
        <w:rPr>
          <w:rFonts w:hint="eastAsia" w:ascii="Times New Roman" w:hAnsi="Times New Roman" w:cs="Times New Roman"/>
          <w:lang w:val="zh-CN"/>
        </w:rPr>
        <w:t>人大、纪委对村（社区）干部工作采取年终考评监督。</w:t>
      </w:r>
    </w:p>
    <w:p w14:paraId="25CB0920">
      <w:pPr>
        <w:adjustRightInd w:val="0"/>
        <w:snapToGrid w:val="0"/>
        <w:spacing w:line="600" w:lineRule="exact"/>
        <w:ind w:firstLine="720"/>
        <w:rPr>
          <w:lang w:val="zh-CN"/>
        </w:rPr>
      </w:pPr>
      <w:r>
        <w:rPr>
          <w:rFonts w:eastAsia="黑体"/>
        </w:rPr>
        <w:t>四、项目绩效情况</w:t>
      </w:r>
      <w:r>
        <w:rPr>
          <w:lang w:val="zh-CN"/>
        </w:rPr>
        <w:tab/>
      </w:r>
    </w:p>
    <w:p w14:paraId="7366DF99">
      <w:pPr>
        <w:adjustRightInd w:val="0"/>
        <w:snapToGrid w:val="0"/>
        <w:spacing w:line="600" w:lineRule="exact"/>
        <w:ind w:firstLine="720"/>
        <w:rPr>
          <w:rFonts w:eastAsia="楷体_GB2312"/>
          <w:b/>
          <w:lang w:val="zh-CN"/>
        </w:rPr>
      </w:pPr>
      <w:r>
        <w:rPr>
          <w:rFonts w:eastAsia="楷体_GB2312"/>
          <w:b/>
          <w:lang w:val="zh-CN"/>
        </w:rPr>
        <w:t>（一）项目完成情况。</w:t>
      </w:r>
    </w:p>
    <w:p w14:paraId="52EF9365">
      <w:pPr>
        <w:adjustRightInd w:val="0"/>
        <w:snapToGrid w:val="0"/>
        <w:spacing w:line="600" w:lineRule="exact"/>
        <w:ind w:firstLine="720"/>
        <w:rPr>
          <w:rFonts w:eastAsia="楷体_GB2312"/>
          <w:b/>
          <w:lang w:val="zh-CN"/>
        </w:rPr>
      </w:pPr>
      <w:r>
        <w:rPr>
          <w:rFonts w:hint="eastAsia"/>
          <w:lang w:val="zh-CN"/>
        </w:rPr>
        <w:t>马拉所村新建350平方米餐娱一体接待中心；流转已挂果的果园地30亩，改良桑果、青花梨等果品，打造精品采摘园；建设露营基地，发展休闲旅游业；引进山地越野摩托，打造亲子游活动基地等，未完成资金拨付</w:t>
      </w:r>
      <w:r>
        <w:rPr>
          <w:lang w:val="zh-CN"/>
        </w:rPr>
        <w:t>。</w:t>
      </w:r>
    </w:p>
    <w:p w14:paraId="0420148B">
      <w:pPr>
        <w:adjustRightInd w:val="0"/>
        <w:snapToGrid w:val="0"/>
        <w:spacing w:line="600" w:lineRule="exact"/>
        <w:ind w:firstLine="720"/>
        <w:rPr>
          <w:rFonts w:eastAsia="楷体_GB2312"/>
          <w:b/>
          <w:lang w:val="zh-CN"/>
        </w:rPr>
      </w:pPr>
      <w:r>
        <w:rPr>
          <w:rFonts w:eastAsia="楷体_GB2312"/>
          <w:b/>
          <w:lang w:val="zh-CN"/>
        </w:rPr>
        <w:t>（二）项目效益情况。</w:t>
      </w:r>
    </w:p>
    <w:p w14:paraId="00AA89EA">
      <w:pPr>
        <w:adjustRightInd w:val="0"/>
        <w:snapToGrid w:val="0"/>
        <w:spacing w:line="600" w:lineRule="exact"/>
        <w:ind w:firstLine="720"/>
        <w:rPr>
          <w:lang w:val="zh-CN"/>
        </w:rPr>
      </w:pPr>
      <w:r>
        <w:rPr>
          <w:rFonts w:hint="eastAsia"/>
          <w:lang w:val="zh-CN"/>
        </w:rPr>
        <w:t>已完成绩效指标建设露营基地1处，工程验收合格率100%，完成时限2023年，建设露营基地年纯收益14.175万元，项目村基层党组织的组织力凝聚力战斗力有所增强，农村人居环境有所增强，推动村集体经济发展，带动群众增收，群众满意度≥95%，建设露营基地成本</w:t>
      </w:r>
      <w:r>
        <w:rPr>
          <w:rFonts w:hint="eastAsia"/>
          <w:lang w:val="en-US" w:eastAsia="zh-CN"/>
        </w:rPr>
        <w:t>4.75</w:t>
      </w:r>
      <w:r>
        <w:rPr>
          <w:rFonts w:hint="eastAsia"/>
          <w:lang w:val="zh-CN"/>
        </w:rPr>
        <w:t>万元</w:t>
      </w:r>
      <w:r>
        <w:rPr>
          <w:lang w:val="zh-CN"/>
        </w:rPr>
        <w:t>。</w:t>
      </w:r>
    </w:p>
    <w:p w14:paraId="186579D0">
      <w:pPr>
        <w:adjustRightInd w:val="0"/>
        <w:snapToGrid w:val="0"/>
        <w:spacing w:line="600" w:lineRule="exact"/>
        <w:ind w:firstLine="720"/>
        <w:rPr>
          <w:rFonts w:eastAsia="黑体"/>
        </w:rPr>
      </w:pPr>
      <w:r>
        <w:rPr>
          <w:rFonts w:eastAsia="黑体"/>
        </w:rPr>
        <w:t>五、评价结论及建议</w:t>
      </w:r>
    </w:p>
    <w:p w14:paraId="4BBE6A3D">
      <w:pPr>
        <w:adjustRightInd w:val="0"/>
        <w:snapToGrid w:val="0"/>
        <w:spacing w:line="600" w:lineRule="exact"/>
        <w:ind w:firstLine="720"/>
        <w:rPr>
          <w:rFonts w:eastAsia="楷体_GB2312"/>
          <w:b/>
          <w:lang w:val="zh-CN"/>
        </w:rPr>
      </w:pPr>
      <w:r>
        <w:rPr>
          <w:rFonts w:eastAsia="楷体_GB2312"/>
          <w:b/>
          <w:lang w:val="zh-CN"/>
        </w:rPr>
        <w:t>（一）评价结论。</w:t>
      </w:r>
    </w:p>
    <w:p w14:paraId="6F6E44D9">
      <w:pPr>
        <w:adjustRightInd w:val="0"/>
        <w:snapToGrid w:val="0"/>
        <w:spacing w:line="600" w:lineRule="exact"/>
        <w:ind w:firstLine="654" w:firstLineChars="200"/>
        <w:rPr>
          <w:bdr w:val="single" w:color="auto" w:sz="4" w:space="0"/>
          <w:lang w:val="zh-CN"/>
        </w:rPr>
      </w:pPr>
      <w:r>
        <w:rPr>
          <w:rFonts w:hint="eastAsia"/>
          <w:lang w:val="zh-CN"/>
        </w:rPr>
        <w:t>项目综合得分</w:t>
      </w:r>
      <w:r>
        <w:rPr>
          <w:rFonts w:hint="eastAsia"/>
          <w:lang w:val="en-US" w:eastAsia="zh-CN"/>
        </w:rPr>
        <w:t>91</w:t>
      </w:r>
      <w:r>
        <w:rPr>
          <w:rFonts w:hint="eastAsia"/>
          <w:lang w:val="zh-CN"/>
        </w:rPr>
        <w:t>分（满分100），等级“优”，资金使用规范，目标计划完成，社会效益显著</w:t>
      </w:r>
      <w:r>
        <w:rPr>
          <w:lang w:val="zh-CN"/>
        </w:rPr>
        <w:t>。</w:t>
      </w:r>
    </w:p>
    <w:p w14:paraId="3FB06C40">
      <w:pPr>
        <w:adjustRightInd w:val="0"/>
        <w:snapToGrid w:val="0"/>
        <w:spacing w:line="600" w:lineRule="exact"/>
        <w:ind w:firstLine="720"/>
        <w:rPr>
          <w:rFonts w:eastAsia="楷体_GB2312"/>
          <w:b/>
          <w:lang w:val="zh-CN"/>
        </w:rPr>
      </w:pPr>
      <w:r>
        <w:rPr>
          <w:rFonts w:eastAsia="楷体_GB2312"/>
          <w:b/>
          <w:lang w:val="zh-CN"/>
        </w:rPr>
        <w:t>（二）存在的问题。</w:t>
      </w:r>
    </w:p>
    <w:p w14:paraId="74F3E4D3">
      <w:pPr>
        <w:adjustRightInd w:val="0"/>
        <w:snapToGrid w:val="0"/>
        <w:spacing w:line="600" w:lineRule="exact"/>
        <w:ind w:firstLine="654" w:firstLineChars="200"/>
        <w:rPr>
          <w:lang w:val="zh-CN"/>
        </w:rPr>
      </w:pPr>
      <w:r>
        <w:rPr>
          <w:rFonts w:hint="eastAsia"/>
          <w:lang w:val="zh-CN"/>
        </w:rPr>
        <w:t>无</w:t>
      </w:r>
      <w:r>
        <w:rPr>
          <w:lang w:val="zh-CN"/>
        </w:rPr>
        <w:t>。</w:t>
      </w:r>
      <w:r>
        <w:rPr>
          <w:lang w:val="zh-CN"/>
        </w:rPr>
        <w:tab/>
      </w:r>
    </w:p>
    <w:p w14:paraId="3499FDCA">
      <w:pPr>
        <w:adjustRightInd w:val="0"/>
        <w:snapToGrid w:val="0"/>
        <w:spacing w:line="600" w:lineRule="exact"/>
        <w:ind w:firstLine="720"/>
        <w:rPr>
          <w:rFonts w:eastAsia="楷体_GB2312"/>
          <w:b/>
          <w:lang w:val="zh-CN"/>
        </w:rPr>
      </w:pPr>
      <w:r>
        <w:rPr>
          <w:rFonts w:eastAsia="楷体_GB2312"/>
          <w:b/>
          <w:lang w:val="zh-CN"/>
        </w:rPr>
        <w:t>（三）相关建议。</w:t>
      </w:r>
    </w:p>
    <w:p w14:paraId="64EDFF8E">
      <w:pPr>
        <w:adjustRightInd w:val="0"/>
        <w:snapToGrid w:val="0"/>
        <w:spacing w:line="600" w:lineRule="exact"/>
        <w:ind w:firstLine="654" w:firstLineChars="200"/>
        <w:rPr>
          <w:lang w:val="zh-CN"/>
        </w:rPr>
      </w:pPr>
      <w:r>
        <w:rPr>
          <w:rFonts w:hint="eastAsia"/>
          <w:lang w:val="zh-CN"/>
        </w:rPr>
        <w:t>无</w:t>
      </w:r>
      <w:r>
        <w:rPr>
          <w:lang w:val="zh-CN"/>
        </w:rPr>
        <w:t>。</w:t>
      </w:r>
    </w:p>
    <w:p w14:paraId="31975212"/>
    <w:p w14:paraId="12D132E7">
      <w:pPr>
        <w:pStyle w:val="2"/>
      </w:pPr>
    </w:p>
    <w:p w14:paraId="61A0B74F"/>
    <w:p w14:paraId="48759B0F">
      <w:pPr>
        <w:pStyle w:val="2"/>
      </w:pPr>
    </w:p>
    <w:p w14:paraId="49735CC1">
      <w:pPr>
        <w:adjustRightInd w:val="0"/>
        <w:snapToGrid w:val="0"/>
        <w:spacing w:line="560" w:lineRule="exact"/>
        <w:ind w:firstLine="3924" w:firstLineChars="1200"/>
        <w:rPr>
          <w:rFonts w:hint="eastAsia" w:cs="Times New Roman"/>
          <w:kern w:val="2"/>
          <w:sz w:val="32"/>
          <w:szCs w:val="32"/>
          <w:lang w:val="zh-CN" w:eastAsia="zh-CN" w:bidi="ar-SA"/>
        </w:rPr>
      </w:pPr>
      <w:r>
        <w:rPr>
          <w:rFonts w:hint="eastAsia" w:cs="Times New Roman"/>
          <w:kern w:val="2"/>
          <w:sz w:val="32"/>
          <w:szCs w:val="32"/>
          <w:lang w:val="zh-CN" w:eastAsia="zh-CN" w:bidi="ar-SA"/>
        </w:rPr>
        <w:t>攀枝花市仁和区同德镇人民政府</w:t>
      </w:r>
    </w:p>
    <w:p w14:paraId="5CBDE61A">
      <w:pPr>
        <w:ind w:firstLine="4905" w:firstLineChars="1500"/>
        <w:rPr>
          <w:rFonts w:hint="eastAsia" w:cs="Times New Roman"/>
          <w:kern w:val="2"/>
          <w:sz w:val="32"/>
          <w:szCs w:val="32"/>
          <w:lang w:val="en-US" w:eastAsia="zh-CN" w:bidi="ar-SA"/>
        </w:rPr>
      </w:pPr>
      <w:bookmarkStart w:id="0" w:name="_GoBack"/>
      <w:bookmarkEnd w:id="0"/>
      <w:r>
        <w:rPr>
          <w:rFonts w:hint="eastAsia" w:cs="Times New Roman"/>
          <w:kern w:val="2"/>
          <w:sz w:val="32"/>
          <w:szCs w:val="32"/>
          <w:lang w:val="en-US" w:eastAsia="zh-CN" w:bidi="ar-SA"/>
        </w:rPr>
        <w:t>2025年5月16日</w:t>
      </w:r>
    </w:p>
    <w:p w14:paraId="475B4A12">
      <w:pPr>
        <w:pStyle w:val="2"/>
      </w:pPr>
      <w:r>
        <w:rPr>
          <w:rFonts w:hint="default" w:ascii="Times New Roman" w:hAnsi="Times New Roman" w:eastAsia="仿宋_GB2312" w:cs="Times New Roman"/>
          <w:kern w:val="2"/>
          <w:sz w:val="32"/>
          <w:szCs w:val="32"/>
          <w:lang w:val="zh-CN" w:eastAsia="zh-CN" w:bidi="ar-SA"/>
        </w:rPr>
        <mc:AlternateContent>
          <mc:Choice Requires="wpg">
            <w:drawing>
              <wp:anchor distT="0" distB="0" distL="114300" distR="114300" simplePos="0" relativeHeight="251660288" behindDoc="0" locked="0" layoutInCell="1" allowOverlap="1">
                <wp:simplePos x="0" y="0"/>
                <wp:positionH relativeFrom="column">
                  <wp:posOffset>121920</wp:posOffset>
                </wp:positionH>
                <wp:positionV relativeFrom="paragraph">
                  <wp:posOffset>1036320</wp:posOffset>
                </wp:positionV>
                <wp:extent cx="5486400" cy="60960"/>
                <wp:effectExtent l="0" t="4445" r="0" b="29845"/>
                <wp:wrapNone/>
                <wp:docPr id="10"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11"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2"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9.6pt;margin-top:81.6pt;height:4.8pt;width:432pt;rotation:11796480f;z-index:251660288;mso-width-relative:page;mso-height-relative:page;" coordorigin="1620,2532" coordsize="8640,156" o:gfxdata="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F3Gx+HXAAAACgEAAA8AAAAA&#10;AAAAAQAgAAAAIgAAAGRycy9kb3ducmV2LnhtbFBLAQIUABQAAAAIAIdO4kB3afN8hwIAACEHAAAO&#10;AAAAAAAAAAEAIAAAACYBAABkcnMvZTJvRG9jLnhtbFBLBQYAAAAABgAGAFkBAAAfBgAAAAA=&#10;">
                <o:lock v:ext="edit" aspectratio="f"/>
                <v:line id="直线 30" o:spid="_x0000_s1026" o:spt="20" style="position:absolute;left:1620;top:2532;height:0;width:8640;" filled="f" stroked="t" coordsize="21600,21600" o:gfxdata="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S2YCvQAA&#10;ANs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z82U87wAAADa&#10;AAAADwAAAGRycy9kb3ducmV2LnhtbEWPQWvCQBSE7wX/w/KE3upuPISSuoqIhdKeakXo7ZF9JjHZ&#10;tzH7Gu2/7wpCj8PMfMMsVlffqZGG2AS2kM0MKOIyuIYrC/uv16dnUFGQHXaBycIvRVgtJw8LLFy4&#10;8CeNO6lUgnAs0EIt0hdax7Imj3EWeuLkHcPgUZIcKu0GvCS47/TcmFx7bDgt1NjTpqay3f14C5Kf&#10;5ODy83ub7dvDt/kwo1lvrX2cZuYFlNBV/sP39puzMIfblXQD9P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lPO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sectPr>
      <w:pgSz w:w="11906" w:h="16838"/>
      <w:pgMar w:top="2098" w:right="1474" w:bottom="1984" w:left="1587" w:header="851" w:footer="1701" w:gutter="0"/>
      <w:cols w:space="0" w:num="1"/>
      <w:rtlGutter w:val="0"/>
      <w:docGrid w:type="linesAndChars" w:linePitch="579" w:charSpace="1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2010601030101010101"/>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5B5056"/>
    <w:multiLevelType w:val="singleLevel"/>
    <w:tmpl w:val="335B505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HorizontalSpacing w:val="164"/>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1D4D51"/>
    <w:rsid w:val="002043DE"/>
    <w:rsid w:val="003E0697"/>
    <w:rsid w:val="007E5142"/>
    <w:rsid w:val="009137C6"/>
    <w:rsid w:val="00993141"/>
    <w:rsid w:val="00A51A86"/>
    <w:rsid w:val="00B04AD2"/>
    <w:rsid w:val="00EB3EED"/>
    <w:rsid w:val="1C25106F"/>
    <w:rsid w:val="22AD555F"/>
    <w:rsid w:val="29F142C2"/>
    <w:rsid w:val="2AF86ED7"/>
    <w:rsid w:val="2B385C88"/>
    <w:rsid w:val="35874596"/>
    <w:rsid w:val="459E6608"/>
    <w:rsid w:val="478B74F2"/>
    <w:rsid w:val="48E97A46"/>
    <w:rsid w:val="60595138"/>
    <w:rsid w:val="74A708C5"/>
    <w:rsid w:val="771D4D51"/>
    <w:rsid w:val="F1F64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lang w:val="zh-CN"/>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1343</Words>
  <Characters>1418</Characters>
  <Lines>9</Lines>
  <Paragraphs>2</Paragraphs>
  <TotalTime>0</TotalTime>
  <ScaleCrop>false</ScaleCrop>
  <LinksUpToDate>false</LinksUpToDate>
  <CharactersWithSpaces>1426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2020-07-01T00:13:00Z</dcterms:created>
  <dc:creator>Administrator</dc:creator>
  <cp:lastModifiedBy>叶臣洁</cp:lastModifiedBy>
  <dcterms:modified xsi:type="dcterms:W3CDTF">2025-05-16T03:21:09Z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eyJoZGlkIjoiMDc4MTA2NzJiZWFkMDhlMjVhZmFmZWYzNzRkNzZiOWIiLCJ1c2VySWQiOiIxNjU1MDIyNjc0In0=</vt:lpwstr>
  </property>
  <property fmtid="{D5CDD505-2E9C-101B-9397-08002B2CF9AE}" pid="4" name="ICV">
    <vt:lpwstr>BF82CB58B5C14D948E9D3612C70A90E5_12</vt:lpwstr>
  </property>
</Properties>
</file>