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250"/>
        <w:rPr>
          <w:rFonts w:hint="default" w:ascii="Times New Roman" w:hAnsi="Times New Roman" w:eastAsia="方正仿宋_GBK" w:cs="Times New Roman"/>
          <w:b/>
          <w:sz w:val="31"/>
          <w:szCs w:val="33"/>
        </w:rPr>
      </w:pPr>
    </w:p>
    <w:p>
      <w:pPr>
        <w:pStyle w:val="3"/>
        <w:rPr>
          <w:rFonts w:hint="default" w:ascii="Times New Roman" w:hAnsi="Times New Roman" w:eastAsia="方正仿宋_GBK" w:cs="Times New Roman"/>
          <w:b/>
          <w:sz w:val="33"/>
          <w:szCs w:val="33"/>
        </w:rPr>
      </w:pPr>
    </w:p>
    <w:p>
      <w:pPr>
        <w:pStyle w:val="3"/>
        <w:rPr>
          <w:rFonts w:hint="default" w:ascii="Times New Roman" w:hAnsi="Times New Roman" w:eastAsia="方正仿宋_GBK" w:cs="Times New Roman"/>
          <w:b/>
          <w:sz w:val="33"/>
          <w:szCs w:val="33"/>
        </w:rPr>
      </w:pPr>
    </w:p>
    <w:p>
      <w:pPr>
        <w:tabs>
          <w:tab w:val="left" w:pos="2233"/>
        </w:tabs>
        <w:jc w:val="center"/>
        <w:textAlignment w:val="baseline"/>
        <w:rPr>
          <w:rFonts w:hint="default" w:ascii="Times New Roman" w:hAnsi="Times New Roman" w:eastAsia="方正小标宋_GBK" w:cs="Times New Roman"/>
          <w:b/>
          <w:snapToGrid w:val="0"/>
          <w:color w:val="FF0000"/>
          <w:spacing w:val="20"/>
          <w:w w:val="66"/>
          <w:sz w:val="104"/>
          <w:szCs w:val="104"/>
        </w:rPr>
      </w:pPr>
    </w:p>
    <w:p>
      <w:pPr>
        <w:spacing w:line="720" w:lineRule="exact"/>
        <w:jc w:val="center"/>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68"/>
          <w:szCs w:val="68"/>
        </w:rPr>
        <mc:AlternateContent>
          <mc:Choice Requires="wps">
            <w:drawing>
              <wp:anchor distT="0" distB="0" distL="114300" distR="114300" simplePos="0" relativeHeight="251661312" behindDoc="1" locked="1" layoutInCell="1" allowOverlap="1">
                <wp:simplePos x="0" y="0"/>
                <wp:positionH relativeFrom="column">
                  <wp:posOffset>-61595</wp:posOffset>
                </wp:positionH>
                <wp:positionV relativeFrom="page">
                  <wp:posOffset>2423795</wp:posOffset>
                </wp:positionV>
                <wp:extent cx="5906135" cy="1167130"/>
                <wp:effectExtent l="5080" t="4445" r="13335" b="9525"/>
                <wp:wrapNone/>
                <wp:docPr id="21" name="文本框 21"/>
                <wp:cNvGraphicFramePr/>
                <a:graphic xmlns:a="http://schemas.openxmlformats.org/drawingml/2006/main">
                  <a:graphicData uri="http://schemas.microsoft.com/office/word/2010/wordprocessingShape">
                    <wps:wsp>
                      <wps:cNvSpPr txBox="1"/>
                      <wps:spPr>
                        <a:xfrm>
                          <a:off x="0" y="0"/>
                          <a:ext cx="5906135" cy="11671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extAlignment w:val="baseline"/>
                              <w:rPr>
                                <w:rFonts w:ascii="方正小标宋_GBK" w:hAnsi="方正小标宋简体" w:eastAsia="方正小标宋_GBK"/>
                                <w:b/>
                                <w:snapToGrid w:val="0"/>
                                <w:color w:val="FF0000"/>
                                <w:w w:val="66"/>
                                <w:sz w:val="72"/>
                                <w:szCs w:val="72"/>
                              </w:rPr>
                            </w:pPr>
                            <w:r>
                              <w:rPr>
                                <w:rFonts w:hint="eastAsia" w:ascii="方正小标宋_GBK" w:hAnsi="方正小标宋简体" w:eastAsia="方正小标宋_GBK"/>
                                <w:snapToGrid w:val="0"/>
                                <w:color w:val="FF0000"/>
                                <w:w w:val="75"/>
                                <w:kern w:val="21"/>
                                <w:sz w:val="72"/>
                                <w:szCs w:val="72"/>
                              </w:rPr>
                              <w:t>攀枝花市仁和区人民政府办公室文件</w:t>
                            </w:r>
                          </w:p>
                        </w:txbxContent>
                      </wps:txbx>
                      <wps:bodyPr upright="1"/>
                    </wps:wsp>
                  </a:graphicData>
                </a:graphic>
              </wp:anchor>
            </w:drawing>
          </mc:Choice>
          <mc:Fallback>
            <w:pict>
              <v:shape id="_x0000_s1026" o:spid="_x0000_s1026" o:spt="202" type="#_x0000_t202" style="position:absolute;left:0pt;margin-left:-4.85pt;margin-top:190.85pt;height:91.9pt;width:465.05pt;mso-position-vertical-relative:page;z-index:-251655168;mso-width-relative:page;mso-height-relative:page;" fillcolor="#FFFFFF" filled="t" stroked="t" coordsize="21600,21600" o:gfxdata="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WtrX2QAAAAoBAAAPAAAAAAAAAAEAIAAA&#10;ACIAAABkcnMvZG93bnJldi54bWxQSwECFAAUAAAACACHTuJASlnQ8wsCAAA5BAAADgAAAAAAAAAB&#10;ACAAAAAoAQAAZHJzL2Uyb0RvYy54bWxQSwUGAAAAAAYABgBZAQAApQUAAAAA&#10;">
                <v:fill on="t" focussize="0,0"/>
                <v:stroke color="#FFFFFF" joinstyle="miter"/>
                <v:imagedata o:title=""/>
                <o:lock v:ext="edit" aspectratio="f"/>
                <v:textbox>
                  <w:txbxContent>
                    <w:p>
                      <w:pPr>
                        <w:textAlignment w:val="baseline"/>
                        <w:rPr>
                          <w:rFonts w:ascii="方正小标宋_GBK" w:hAnsi="方正小标宋简体" w:eastAsia="方正小标宋_GBK"/>
                          <w:b/>
                          <w:snapToGrid w:val="0"/>
                          <w:color w:val="FF0000"/>
                          <w:w w:val="66"/>
                          <w:sz w:val="72"/>
                          <w:szCs w:val="72"/>
                        </w:rPr>
                      </w:pPr>
                      <w:r>
                        <w:rPr>
                          <w:rFonts w:hint="eastAsia" w:ascii="方正小标宋_GBK" w:hAnsi="方正小标宋简体" w:eastAsia="方正小标宋_GBK"/>
                          <w:snapToGrid w:val="0"/>
                          <w:color w:val="FF0000"/>
                          <w:w w:val="75"/>
                          <w:kern w:val="21"/>
                          <w:sz w:val="72"/>
                          <w:szCs w:val="72"/>
                        </w:rPr>
                        <w:t>攀枝花市仁和区人民政府办公室文件</w:t>
                      </w:r>
                    </w:p>
                  </w:txbxContent>
                </v:textbox>
                <w10:anchorlock/>
              </v:shape>
            </w:pict>
          </mc:Fallback>
        </mc:AlternateContent>
      </w:r>
      <w:r>
        <w:rPr>
          <w:rFonts w:hint="default" w:ascii="Times New Roman" w:hAnsi="Times New Roman" w:eastAsia="方正仿宋_GBK" w:cs="Times New Roman"/>
          <w:sz w:val="32"/>
        </w:rPr>
        <w:t>攀仁府办〔</w:t>
      </w:r>
      <w:r>
        <w:rPr>
          <w:rFonts w:hint="default" w:ascii="Times New Roman" w:hAnsi="Times New Roman" w:eastAsia="方正仿宋_GBK" w:cs="Times New Roman"/>
          <w:sz w:val="32"/>
          <w:lang w:eastAsia="zh-CN"/>
        </w:rPr>
        <w:t>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w:t>
      </w:r>
      <w:r>
        <w:rPr>
          <w:rFonts w:hint="eastAsia" w:eastAsia="方正仿宋_GBK" w:cs="Times New Roman"/>
          <w:sz w:val="32"/>
          <w:lang w:val="en-US" w:eastAsia="zh-CN"/>
        </w:rPr>
        <w:t>14</w:t>
      </w:r>
      <w:r>
        <w:rPr>
          <w:rFonts w:hint="default" w:ascii="Times New Roman" w:hAnsi="Times New Roman" w:eastAsia="方正仿宋_GBK" w:cs="Times New Roman"/>
          <w:sz w:val="32"/>
        </w:rPr>
        <w:t>号</w:t>
      </w:r>
    </w:p>
    <w:p>
      <w:pPr>
        <w:tabs>
          <w:tab w:val="left" w:pos="540"/>
          <w:tab w:val="left" w:pos="720"/>
        </w:tabs>
        <w:spacing w:line="400" w:lineRule="exact"/>
        <w:rPr>
          <w:rFonts w:hint="default" w:ascii="Times New Roman" w:hAnsi="Times New Roman" w:eastAsia="仿宋_GB2312" w:cs="Times New Roman"/>
          <w:color w:val="000000"/>
          <w:kern w:val="0"/>
          <w:sz w:val="32"/>
          <w:szCs w:val="32"/>
        </w:rPr>
      </w:pPr>
      <w:r>
        <w:rPr>
          <w:rFonts w:hint="default" w:ascii="Times New Roman" w:hAnsi="Times New Roman" w:eastAsia="方正小标宋_GBK" w:cs="Times New Roman"/>
          <w:b/>
          <w:color w:val="FF0000"/>
          <w:spacing w:val="20"/>
          <w:sz w:val="104"/>
          <w:szCs w:val="10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14605</wp:posOffset>
                </wp:positionV>
                <wp:extent cx="5598160" cy="0"/>
                <wp:effectExtent l="0" t="19050" r="2540" b="19050"/>
                <wp:wrapNone/>
                <wp:docPr id="22" name="直接连接符 22"/>
                <wp:cNvGraphicFramePr/>
                <a:graphic xmlns:a="http://schemas.openxmlformats.org/drawingml/2006/main">
                  <a:graphicData uri="http://schemas.microsoft.com/office/word/2010/wordprocessingShape">
                    <wps:wsp>
                      <wps:cNvCnPr/>
                      <wps:spPr>
                        <a:xfrm>
                          <a:off x="0" y="0"/>
                          <a:ext cx="55981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5pt;height:0pt;width:440.8pt;z-index:251662336;mso-width-relative:page;mso-height-relative:page;" filled="f" stroked="t" coordsize="21600,21600" o:gfxdata="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6MN3LWAAAABAEAAA8AAAAAAAAAAQAgAAAAIgAAAGRycy9kb3ducmV2LnhtbFBL&#10;AQIUABQAAAAIAIdO4kB97pNr+AEAAOcDAAAOAAAAAAAAAAEAIAAAACUBAABkcnMvZTJvRG9jLnht&#10;bFBLBQYAAAAABgAGAFkBAACPBQAAAAA=&#10;">
                <v:fill on="f" focussize="0,0"/>
                <v:stroke weight="3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方正小标宋_GBK" w:cs="Times New Roman"/>
          <w:b/>
          <w:bCs/>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攀枝花市仁和区人民政府办公室</w:t>
      </w: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关于公布《2025年度攀枝花市仁和区人民</w:t>
      </w: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政府重大行政决策事项目录》的通知</w:t>
      </w:r>
    </w:p>
    <w:p>
      <w:pPr>
        <w:keepNext w:val="0"/>
        <w:keepLines w:val="0"/>
        <w:pageBreakBefore w:val="0"/>
        <w:widowControl w:val="0"/>
        <w:kinsoku/>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各乡镇（街道），区政府各部门、省市驻区各单位，各企事业单位：</w:t>
      </w:r>
    </w:p>
    <w:p>
      <w:pPr>
        <w:keepNext w:val="0"/>
        <w:keepLines w:val="0"/>
        <w:pageBreakBefore w:val="0"/>
        <w:widowControl w:val="0"/>
        <w:kinsoku/>
        <w:wordWrap/>
        <w:overflowPunct/>
        <w:topLinePunct w:val="0"/>
        <w:autoSpaceDE w:val="0"/>
        <w:autoSpaceDN w:val="0"/>
        <w:bidi w:val="0"/>
        <w:adjustRightInd/>
        <w:snapToGrid/>
        <w:ind w:firstLine="6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为规范区政府重大行政决策行为，促进依法、科学、民主决策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提高决策质量和效率，根据《重大行政决策程序暂行条例》《攀枝花市人民政府关于印发&lt;攀枝花市重大行政决策程序实施细则&gt;的通知》（攀府规〔2022〕4号）要求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经区委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区政府同意，现将《2025年度攀枝花市仁和区人民政府重大行政决策事项目录》（以下简称《目录》）印发给你们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并就有关工作通知如下：</w:t>
      </w:r>
    </w:p>
    <w:p>
      <w:pPr>
        <w:keepNext w:val="0"/>
        <w:keepLines w:val="0"/>
        <w:pageBreakBefore w:val="0"/>
        <w:widowControl w:val="0"/>
        <w:kinsoku/>
        <w:wordWrap/>
        <w:overflowPunct/>
        <w:topLinePunct w:val="0"/>
        <w:autoSpaceDE w:val="0"/>
        <w:autoSpaceDN w:val="0"/>
        <w:bidi w:val="0"/>
        <w:adjustRightInd/>
        <w:snapToGrid/>
        <w:ind w:firstLine="6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一、请各承办单位认真起草决策草案，严格按照重大行政决策的法定程序和时间节点要求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认真落实公众参与、专家论证、风险评估、公平竞争审查、合法性审查、集体讨论决定等相应程序。</w:t>
      </w:r>
    </w:p>
    <w:p>
      <w:pPr>
        <w:keepNext w:val="0"/>
        <w:keepLines w:val="0"/>
        <w:pageBreakBefore w:val="0"/>
        <w:widowControl w:val="0"/>
        <w:kinsoku/>
        <w:wordWrap/>
        <w:overflowPunct/>
        <w:topLinePunct w:val="0"/>
        <w:autoSpaceDE w:val="0"/>
        <w:autoSpaceDN w:val="0"/>
        <w:bidi w:val="0"/>
        <w:adjustRightInd/>
        <w:snapToGrid/>
        <w:ind w:firstLine="6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二、承办单位要建立重大行政决策档案管理制度，对决策立项和决策论证过程中形成的法定程序证明材料及时整理归档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实现重大行政决策全过程记录。</w:t>
      </w:r>
    </w:p>
    <w:p>
      <w:pPr>
        <w:keepNext w:val="0"/>
        <w:keepLines w:val="0"/>
        <w:pageBreakBefore w:val="0"/>
        <w:widowControl w:val="0"/>
        <w:kinsoku/>
        <w:wordWrap/>
        <w:overflowPunct/>
        <w:topLinePunct w:val="0"/>
        <w:autoSpaceDE w:val="0"/>
        <w:autoSpaceDN w:val="0"/>
        <w:bidi w:val="0"/>
        <w:adjustRightInd/>
        <w:snapToGrid/>
        <w:ind w:firstLine="6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三、《目录》实行动态管理，根据实际情况，确需调整或新增的重大行政决策事项，承办单位要认真研究论证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提出调整建议，按程序报批后执行。</w:t>
      </w:r>
    </w:p>
    <w:p>
      <w:pPr>
        <w:keepNext w:val="0"/>
        <w:keepLines w:val="0"/>
        <w:pageBreakBefore w:val="0"/>
        <w:widowControl w:val="0"/>
        <w:kinsoku w:val="0"/>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adjustRightInd/>
        <w:snapToGrid/>
        <w:ind w:firstLine="684"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附件：2025年度攀枝花市仁和区人民政府重大行政决策</w:t>
      </w:r>
    </w:p>
    <w:p>
      <w:pPr>
        <w:keepNext w:val="0"/>
        <w:keepLines w:val="0"/>
        <w:pageBreakBefore w:val="0"/>
        <w:widowControl w:val="0"/>
        <w:kinsoku w:val="0"/>
        <w:wordWrap/>
        <w:overflowPunct/>
        <w:topLinePunct w:val="0"/>
        <w:autoSpaceDE w:val="0"/>
        <w:autoSpaceDN w:val="0"/>
        <w:bidi w:val="0"/>
        <w:adjustRightInd/>
        <w:snapToGrid/>
        <w:ind w:firstLine="1539" w:firstLineChars="45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事项目录</w:t>
      </w:r>
    </w:p>
    <w:p>
      <w:pPr>
        <w:keepNext w:val="0"/>
        <w:keepLines w:val="0"/>
        <w:pageBreakBefore w:val="0"/>
        <w:widowControl w:val="0"/>
        <w:kinsoku w:val="0"/>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pPr>
    </w:p>
    <w:p>
      <w:pPr>
        <w:keepNext w:val="0"/>
        <w:keepLines w:val="0"/>
        <w:pageBreakBefore w:val="0"/>
        <w:widowControl w:val="0"/>
        <w:tabs>
          <w:tab w:val="left" w:pos="7447"/>
        </w:tabs>
        <w:kinsoku w:val="0"/>
        <w:wordWrap/>
        <w:overflowPunct/>
        <w:topLinePunct w:val="0"/>
        <w:autoSpaceDE w:val="0"/>
        <w:autoSpaceDN w:val="0"/>
        <w:bidi w:val="0"/>
        <w:adjustRightInd/>
        <w:snapToGrid/>
        <w:ind w:firstLine="3078" w:firstLineChars="9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攀枝花市仁和区人民政府办公室</w:t>
      </w:r>
    </w:p>
    <w:p>
      <w:pPr>
        <w:keepNext w:val="0"/>
        <w:keepLines w:val="0"/>
        <w:pageBreakBefore w:val="0"/>
        <w:widowControl w:val="0"/>
        <w:kinsoku w:val="0"/>
        <w:wordWrap/>
        <w:overflowPunct/>
        <w:topLinePunct w:val="0"/>
        <w:autoSpaceDE w:val="0"/>
        <w:autoSpaceDN w:val="0"/>
        <w:bidi w:val="0"/>
        <w:adjustRightInd/>
        <w:snapToGrid/>
        <w:jc w:val="both"/>
        <w:textAlignment w:val="baseline"/>
        <w:rPr>
          <w:rFonts w:hint="default" w:ascii="Times New Roman" w:hAnsi="Times New Roman" w:eastAsia="方正仿宋_GBK" w:cs="Times New Roman"/>
          <w:sz w:val="32"/>
          <w:szCs w:val="32"/>
        </w:rPr>
        <w:sectPr>
          <w:footerReference r:id="rId3" w:type="default"/>
          <w:pgSz w:w="11906" w:h="16838"/>
          <w:pgMar w:top="2098" w:right="1474" w:bottom="1984" w:left="1588" w:header="907" w:footer="1644" w:gutter="0"/>
          <w:pgNumType w:fmt="decimal"/>
          <w:cols w:space="0" w:num="1"/>
          <w:rtlGutter w:val="0"/>
          <w:docGrid w:type="linesAndChars" w:linePitch="579" w:charSpace="4656"/>
        </w:sect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年4月</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left="-464" w:leftChars="-20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spacing w:val="0"/>
          <w:sz w:val="40"/>
          <w:szCs w:val="40"/>
          <w:lang w:val="en-US" w:eastAsia="zh-CN"/>
        </w:rPr>
      </w:pPr>
      <w:r>
        <w:rPr>
          <w:rFonts w:hint="default" w:ascii="Times New Roman" w:hAnsi="Times New Roman" w:eastAsia="方正小标宋_GBK" w:cs="Times New Roman"/>
          <w:spacing w:val="0"/>
          <w:sz w:val="40"/>
          <w:szCs w:val="40"/>
          <w:lang w:val="en-US" w:eastAsia="zh-CN"/>
        </w:rPr>
        <w:t>2025年度攀枝花市仁和区人民政府重大行政决策事项目录</w:t>
      </w:r>
    </w:p>
    <w:tbl>
      <w:tblPr>
        <w:tblStyle w:val="8"/>
        <w:tblW w:w="1327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615"/>
        <w:gridCol w:w="2250"/>
        <w:gridCol w:w="459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eastAsia" w:ascii="方正黑体_GBK" w:hAnsi="方正黑体_GBK" w:eastAsia="方正黑体_GBK" w:cs="方正黑体_GBK"/>
                <w:bCs/>
                <w:color w:val="auto"/>
                <w:kern w:val="2"/>
                <w:sz w:val="22"/>
                <w:szCs w:val="22"/>
                <w:lang w:bidi="ar-SA"/>
              </w:rPr>
            </w:pPr>
            <w:r>
              <w:rPr>
                <w:rFonts w:hint="eastAsia" w:ascii="方正黑体_GBK" w:hAnsi="方正黑体_GBK" w:eastAsia="方正黑体_GBK" w:cs="方正黑体_GBK"/>
                <w:bCs/>
                <w:color w:val="auto"/>
                <w:kern w:val="2"/>
                <w:sz w:val="22"/>
                <w:szCs w:val="22"/>
                <w:lang w:bidi="ar-SA"/>
              </w:rPr>
              <w:t>序号</w:t>
            </w:r>
          </w:p>
        </w:tc>
        <w:tc>
          <w:tcPr>
            <w:tcW w:w="3615" w:type="dxa"/>
            <w:noWrap w:val="0"/>
            <w:vAlign w:val="center"/>
          </w:tcPr>
          <w:p>
            <w:pPr>
              <w:suppressAutoHyphens/>
              <w:wordWrap w:val="0"/>
              <w:topLinePunct/>
              <w:bidi w:val="0"/>
              <w:spacing w:line="360" w:lineRule="exact"/>
              <w:ind w:firstLine="0" w:firstLineChars="0"/>
              <w:jc w:val="center"/>
              <w:rPr>
                <w:rFonts w:hint="eastAsia" w:ascii="方正黑体_GBK" w:hAnsi="方正黑体_GBK" w:eastAsia="方正黑体_GBK" w:cs="方正黑体_GBK"/>
                <w:bCs/>
                <w:color w:val="auto"/>
                <w:kern w:val="2"/>
                <w:sz w:val="22"/>
                <w:szCs w:val="22"/>
                <w:lang w:bidi="ar-SA"/>
              </w:rPr>
            </w:pPr>
            <w:r>
              <w:rPr>
                <w:rFonts w:hint="eastAsia" w:ascii="方正黑体_GBK" w:hAnsi="方正黑体_GBK" w:eastAsia="方正黑体_GBK" w:cs="方正黑体_GBK"/>
                <w:bCs/>
                <w:color w:val="auto"/>
                <w:kern w:val="2"/>
                <w:sz w:val="22"/>
                <w:szCs w:val="22"/>
                <w:lang w:bidi="ar-SA"/>
              </w:rPr>
              <w:t>重大行政决策事项名称</w:t>
            </w:r>
          </w:p>
        </w:tc>
        <w:tc>
          <w:tcPr>
            <w:tcW w:w="2250" w:type="dxa"/>
            <w:noWrap w:val="0"/>
            <w:vAlign w:val="center"/>
          </w:tcPr>
          <w:p>
            <w:pPr>
              <w:suppressAutoHyphens/>
              <w:wordWrap w:val="0"/>
              <w:topLinePunct/>
              <w:bidi w:val="0"/>
              <w:spacing w:line="360" w:lineRule="exact"/>
              <w:ind w:firstLine="0" w:firstLineChars="0"/>
              <w:jc w:val="center"/>
              <w:rPr>
                <w:rFonts w:hint="eastAsia" w:ascii="方正黑体_GBK" w:hAnsi="方正黑体_GBK" w:eastAsia="方正黑体_GBK" w:cs="方正黑体_GBK"/>
                <w:bCs/>
                <w:color w:val="auto"/>
                <w:kern w:val="2"/>
                <w:sz w:val="22"/>
                <w:szCs w:val="22"/>
                <w:lang w:bidi="ar-SA"/>
              </w:rPr>
            </w:pPr>
            <w:r>
              <w:rPr>
                <w:rFonts w:hint="eastAsia" w:ascii="方正黑体_GBK" w:hAnsi="方正黑体_GBK" w:eastAsia="方正黑体_GBK" w:cs="方正黑体_GBK"/>
                <w:bCs/>
                <w:color w:val="auto"/>
                <w:kern w:val="2"/>
                <w:sz w:val="22"/>
                <w:szCs w:val="22"/>
                <w:lang w:bidi="ar-SA"/>
              </w:rPr>
              <w:t>决策承办单位</w:t>
            </w:r>
          </w:p>
        </w:tc>
        <w:tc>
          <w:tcPr>
            <w:tcW w:w="4590" w:type="dxa"/>
            <w:noWrap w:val="0"/>
            <w:vAlign w:val="center"/>
          </w:tcPr>
          <w:p>
            <w:pPr>
              <w:suppressAutoHyphens/>
              <w:wordWrap w:val="0"/>
              <w:topLinePunct/>
              <w:bidi w:val="0"/>
              <w:spacing w:line="360" w:lineRule="exact"/>
              <w:ind w:firstLine="0" w:firstLineChars="0"/>
              <w:jc w:val="center"/>
              <w:rPr>
                <w:rFonts w:hint="eastAsia" w:ascii="方正黑体_GBK" w:hAnsi="方正黑体_GBK" w:eastAsia="方正黑体_GBK" w:cs="方正黑体_GBK"/>
                <w:bCs/>
                <w:color w:val="auto"/>
                <w:kern w:val="2"/>
                <w:sz w:val="22"/>
                <w:szCs w:val="22"/>
                <w:lang w:bidi="ar-SA"/>
              </w:rPr>
            </w:pPr>
            <w:r>
              <w:rPr>
                <w:rFonts w:hint="eastAsia" w:ascii="方正黑体_GBK" w:hAnsi="方正黑体_GBK" w:eastAsia="方正黑体_GBK" w:cs="方正黑体_GBK"/>
                <w:bCs/>
                <w:color w:val="auto"/>
                <w:kern w:val="2"/>
                <w:sz w:val="22"/>
                <w:szCs w:val="22"/>
                <w:lang w:eastAsia="zh-CN" w:bidi="ar-SA"/>
              </w:rPr>
              <w:t>需履行的</w:t>
            </w:r>
            <w:r>
              <w:rPr>
                <w:rFonts w:hint="eastAsia" w:ascii="方正黑体_GBK" w:hAnsi="方正黑体_GBK" w:eastAsia="方正黑体_GBK" w:cs="方正黑体_GBK"/>
                <w:bCs/>
                <w:color w:val="auto"/>
                <w:kern w:val="2"/>
                <w:sz w:val="22"/>
                <w:szCs w:val="22"/>
                <w:lang w:bidi="ar-SA"/>
              </w:rPr>
              <w:t>程序</w:t>
            </w:r>
          </w:p>
        </w:tc>
        <w:tc>
          <w:tcPr>
            <w:tcW w:w="1980" w:type="dxa"/>
            <w:noWrap w:val="0"/>
            <w:vAlign w:val="center"/>
          </w:tcPr>
          <w:p>
            <w:pPr>
              <w:suppressAutoHyphens/>
              <w:wordWrap w:val="0"/>
              <w:topLinePunct/>
              <w:bidi w:val="0"/>
              <w:spacing w:line="360" w:lineRule="exact"/>
              <w:ind w:firstLine="0" w:firstLineChars="0"/>
              <w:jc w:val="center"/>
              <w:rPr>
                <w:rFonts w:hint="eastAsia" w:ascii="方正黑体_GBK" w:hAnsi="方正黑体_GBK" w:eastAsia="方正黑体_GBK" w:cs="方正黑体_GBK"/>
                <w:bCs/>
                <w:color w:val="auto"/>
                <w:kern w:val="2"/>
                <w:sz w:val="22"/>
                <w:szCs w:val="22"/>
                <w:lang w:bidi="ar-SA"/>
              </w:rPr>
            </w:pPr>
            <w:r>
              <w:rPr>
                <w:rFonts w:hint="eastAsia" w:ascii="方正黑体_GBK" w:hAnsi="方正黑体_GBK" w:eastAsia="方正黑体_GBK" w:cs="方正黑体_GBK"/>
                <w:bCs/>
                <w:color w:val="auto"/>
                <w:kern w:val="2"/>
                <w:sz w:val="22"/>
                <w:szCs w:val="22"/>
                <w:lang w:eastAsia="zh-CN" w:bidi="ar-SA"/>
              </w:rPr>
              <w:t>计划完成</w:t>
            </w:r>
            <w:r>
              <w:rPr>
                <w:rFonts w:hint="eastAsia" w:ascii="方正黑体_GBK" w:hAnsi="方正黑体_GBK" w:eastAsia="方正黑体_GBK" w:cs="方正黑体_GBK"/>
                <w:bCs/>
                <w:color w:val="auto"/>
                <w:kern w:val="2"/>
                <w:sz w:val="22"/>
                <w:szCs w:val="22"/>
                <w:lang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1</w:t>
            </w:r>
          </w:p>
        </w:tc>
        <w:tc>
          <w:tcPr>
            <w:tcW w:w="3615"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snapToGrid w:val="0"/>
                <w:color w:val="000000"/>
                <w:spacing w:val="8"/>
                <w:kern w:val="0"/>
                <w:sz w:val="24"/>
                <w:szCs w:val="24"/>
                <w:lang w:val="en-US" w:eastAsia="zh-CN" w:bidi="ar-SA"/>
              </w:rPr>
              <w:t>《攀枝花市仁和区</w:t>
            </w:r>
            <w:r>
              <w:rPr>
                <w:rFonts w:hint="default" w:ascii="Times New Roman" w:hAnsi="Times New Roman" w:eastAsia="方正仿宋_GBK" w:cs="Times New Roman"/>
                <w:snapToGrid w:val="0"/>
                <w:color w:val="000000"/>
                <w:spacing w:val="8"/>
                <w:kern w:val="0"/>
                <w:sz w:val="24"/>
                <w:szCs w:val="24"/>
                <w:lang w:val="en-US" w:eastAsia="en-US" w:bidi="ar-SA"/>
              </w:rPr>
              <w:t>陆生野生动物致害补偿实施细则</w:t>
            </w:r>
            <w:r>
              <w:rPr>
                <w:rFonts w:hint="default" w:ascii="Times New Roman" w:hAnsi="Times New Roman" w:eastAsia="方正仿宋_GBK" w:cs="Times New Roman"/>
                <w:snapToGrid w:val="0"/>
                <w:color w:val="000000"/>
                <w:spacing w:val="8"/>
                <w:kern w:val="0"/>
                <w:sz w:val="24"/>
                <w:szCs w:val="24"/>
                <w:lang w:val="en-US" w:eastAsia="zh-CN" w:bidi="ar-SA"/>
              </w:rPr>
              <w:t>》</w:t>
            </w:r>
          </w:p>
        </w:tc>
        <w:tc>
          <w:tcPr>
            <w:tcW w:w="225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Cs/>
                <w:color w:val="auto"/>
                <w:kern w:val="2"/>
                <w:sz w:val="24"/>
                <w:szCs w:val="24"/>
                <w:lang w:val="en-US" w:eastAsia="zh-CN" w:bidi="ar-SA"/>
              </w:rPr>
              <w:t>区林业局</w:t>
            </w:r>
          </w:p>
        </w:tc>
        <w:tc>
          <w:tcPr>
            <w:tcW w:w="459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 w:eastAsia="zh-CN" w:bidi="ar-SA"/>
              </w:rPr>
              <w:t>公众参与、专家论证、风险评估、公平竞争审查、合法性审查、集体讨论决定等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
              </w:rPr>
            </w:pPr>
            <w:r>
              <w:rPr>
                <w:rFonts w:hint="default" w:ascii="Times New Roman" w:hAnsi="Times New Roman" w:eastAsia="方正仿宋_GBK" w:cs="Times New Roman"/>
                <w:bCs/>
                <w:color w:val="auto"/>
                <w:sz w:val="24"/>
                <w:szCs w:val="24"/>
                <w:highlight w:val="none"/>
                <w:lang w:val="en-US" w:eastAsia="zh-CN"/>
              </w:rPr>
              <w:t>2025年1季度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2</w:t>
            </w:r>
          </w:p>
        </w:tc>
        <w:tc>
          <w:tcPr>
            <w:tcW w:w="3615"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sz w:val="24"/>
                <w:szCs w:val="24"/>
              </w:rPr>
              <w:t>《</w:t>
            </w:r>
            <w:bookmarkStart w:id="0" w:name="_Hlk144484199"/>
            <w:r>
              <w:rPr>
                <w:rFonts w:hint="default" w:ascii="Times New Roman" w:hAnsi="Times New Roman" w:eastAsia="方正仿宋_GBK" w:cs="Times New Roman"/>
                <w:sz w:val="24"/>
                <w:szCs w:val="24"/>
              </w:rPr>
              <w:t>攀枝花市仁和区国土空间生态修复规划（2021年</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2035年</w:t>
            </w:r>
            <w:bookmarkEnd w:id="0"/>
            <w:r>
              <w:rPr>
                <w:rFonts w:hint="default" w:ascii="Times New Roman" w:hAnsi="Times New Roman" w:eastAsia="方正仿宋_GBK" w:cs="Times New Roman"/>
                <w:sz w:val="24"/>
                <w:szCs w:val="24"/>
              </w:rPr>
              <w:t>》</w:t>
            </w:r>
          </w:p>
        </w:tc>
        <w:tc>
          <w:tcPr>
            <w:tcW w:w="225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市自然资源和规划局仁和区分局</w:t>
            </w:r>
          </w:p>
        </w:tc>
        <w:tc>
          <w:tcPr>
            <w:tcW w:w="459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 w:eastAsia="zh-CN" w:bidi="ar-SA"/>
              </w:rPr>
              <w:t>公众参与、</w:t>
            </w:r>
            <w:r>
              <w:rPr>
                <w:rFonts w:hint="default" w:ascii="Times New Roman" w:hAnsi="Times New Roman" w:eastAsia="方正仿宋_GBK" w:cs="Times New Roman"/>
                <w:bCs/>
                <w:color w:val="auto"/>
                <w:kern w:val="2"/>
                <w:sz w:val="24"/>
                <w:szCs w:val="24"/>
                <w:lang w:val="en-US" w:eastAsia="zh-CN" w:bidi="ar-SA"/>
              </w:rPr>
              <w:t>风险评估、公平竞争审查、</w:t>
            </w:r>
            <w:r>
              <w:rPr>
                <w:rFonts w:hint="default" w:ascii="Times New Roman" w:hAnsi="Times New Roman" w:eastAsia="方正仿宋_GBK" w:cs="Times New Roman"/>
                <w:bCs/>
                <w:color w:val="auto"/>
                <w:kern w:val="2"/>
                <w:sz w:val="24"/>
                <w:szCs w:val="24"/>
                <w:lang w:val="en" w:eastAsia="zh-CN" w:bidi="ar-SA"/>
              </w:rPr>
              <w:t>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2025年2季度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3</w:t>
            </w:r>
          </w:p>
        </w:tc>
        <w:tc>
          <w:tcPr>
            <w:tcW w:w="3615"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 w:eastAsia="zh-CN" w:bidi="ar-SA"/>
              </w:rPr>
              <w:t>《攀枝花市仁和区</w:t>
            </w:r>
            <w:r>
              <w:rPr>
                <w:rFonts w:hint="default" w:ascii="Times New Roman" w:hAnsi="Times New Roman" w:eastAsia="方正仿宋_GBK" w:cs="Times New Roman"/>
                <w:i w:val="0"/>
                <w:iCs w:val="0"/>
                <w:snapToGrid w:val="0"/>
                <w:color w:val="000000"/>
                <w:kern w:val="0"/>
                <w:sz w:val="24"/>
                <w:szCs w:val="24"/>
                <w:u w:val="none"/>
                <w:lang w:val="en-US" w:eastAsia="zh-CN" w:bidi="ar"/>
              </w:rPr>
              <w:t>乡镇镇区（集镇）详细规划</w:t>
            </w:r>
            <w:r>
              <w:rPr>
                <w:rFonts w:hint="default" w:ascii="Times New Roman" w:hAnsi="Times New Roman" w:eastAsia="方正仿宋_GBK" w:cs="Times New Roman"/>
                <w:bCs/>
                <w:color w:val="auto"/>
                <w:kern w:val="2"/>
                <w:sz w:val="24"/>
                <w:szCs w:val="24"/>
                <w:lang w:val="en" w:eastAsia="zh-CN" w:bidi="ar-SA"/>
              </w:rPr>
              <w:t>》</w:t>
            </w:r>
          </w:p>
        </w:tc>
        <w:tc>
          <w:tcPr>
            <w:tcW w:w="225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sz w:val="24"/>
                <w:szCs w:val="24"/>
              </w:rPr>
              <w:t>市自然资源和规划局仁和区分局</w:t>
            </w:r>
          </w:p>
        </w:tc>
        <w:tc>
          <w:tcPr>
            <w:tcW w:w="459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 w:eastAsia="zh-CN" w:bidi="ar-SA"/>
              </w:rPr>
              <w:t>公众参与、</w:t>
            </w:r>
            <w:r>
              <w:rPr>
                <w:rFonts w:hint="default" w:ascii="Times New Roman" w:hAnsi="Times New Roman" w:eastAsia="方正仿宋_GBK" w:cs="Times New Roman"/>
                <w:bCs/>
                <w:color w:val="auto"/>
                <w:kern w:val="2"/>
                <w:sz w:val="24"/>
                <w:szCs w:val="24"/>
                <w:lang w:val="en-US" w:eastAsia="zh-CN" w:bidi="ar-SA"/>
              </w:rPr>
              <w:t>风险评估、公平竞争审查、</w:t>
            </w:r>
            <w:r>
              <w:rPr>
                <w:rFonts w:hint="default" w:ascii="Times New Roman" w:hAnsi="Times New Roman" w:eastAsia="方正仿宋_GBK" w:cs="Times New Roman"/>
                <w:bCs/>
                <w:color w:val="auto"/>
                <w:kern w:val="2"/>
                <w:sz w:val="24"/>
                <w:szCs w:val="24"/>
                <w:lang w:val="en" w:eastAsia="zh-CN" w:bidi="ar-SA"/>
              </w:rPr>
              <w:t>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
              </w:rPr>
            </w:pPr>
            <w:r>
              <w:rPr>
                <w:rFonts w:hint="default" w:ascii="Times New Roman" w:hAnsi="Times New Roman" w:eastAsia="方正仿宋_GBK" w:cs="Times New Roman"/>
                <w:bCs/>
                <w:color w:val="auto"/>
                <w:sz w:val="24"/>
                <w:szCs w:val="24"/>
                <w:lang w:val="en-US" w:eastAsia="zh-CN"/>
              </w:rPr>
              <w:t>2025年3季度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US" w:eastAsia="zh-CN" w:bidi="ar-SA"/>
              </w:rPr>
              <w:t>4</w:t>
            </w:r>
          </w:p>
        </w:tc>
        <w:tc>
          <w:tcPr>
            <w:tcW w:w="3615"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000000"/>
                <w:kern w:val="2"/>
                <w:sz w:val="24"/>
                <w:szCs w:val="24"/>
                <w:lang w:val="en" w:eastAsia="zh-CN" w:bidi="ar-SA"/>
              </w:rPr>
              <w:t>《攀枝花市</w:t>
            </w:r>
            <w:r>
              <w:rPr>
                <w:rFonts w:hint="default" w:ascii="Times New Roman" w:hAnsi="Times New Roman" w:eastAsia="方正仿宋_GBK" w:cs="Times New Roman"/>
                <w:i w:val="0"/>
                <w:iCs w:val="0"/>
                <w:snapToGrid w:val="0"/>
                <w:color w:val="000000"/>
                <w:kern w:val="0"/>
                <w:sz w:val="24"/>
                <w:szCs w:val="24"/>
                <w:u w:val="none"/>
                <w:lang w:val="en-US" w:eastAsia="zh-CN" w:bidi="ar"/>
              </w:rPr>
              <w:t>仁和区“通则式”规划管理规定</w:t>
            </w:r>
            <w:r>
              <w:rPr>
                <w:rFonts w:hint="default" w:ascii="Times New Roman" w:hAnsi="Times New Roman" w:eastAsia="方正仿宋_GBK" w:cs="Times New Roman"/>
                <w:bCs/>
                <w:color w:val="000000"/>
                <w:kern w:val="2"/>
                <w:sz w:val="24"/>
                <w:szCs w:val="24"/>
                <w:lang w:val="en" w:eastAsia="zh-CN" w:bidi="ar-SA"/>
              </w:rPr>
              <w:t>》</w:t>
            </w:r>
          </w:p>
        </w:tc>
        <w:tc>
          <w:tcPr>
            <w:tcW w:w="225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sz w:val="24"/>
                <w:szCs w:val="24"/>
              </w:rPr>
              <w:t>市自然资源和规划局仁和区分局</w:t>
            </w:r>
          </w:p>
        </w:tc>
        <w:tc>
          <w:tcPr>
            <w:tcW w:w="4590" w:type="dxa"/>
            <w:tcBorders>
              <w:top w:val="single" w:color="auto" w:sz="4" w:space="0"/>
              <w:left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 w:eastAsia="zh-CN" w:bidi="ar-SA"/>
              </w:rPr>
              <w:t>公众参与、合法性审查、集体讨论决定等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2025年3季度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5</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US" w:eastAsia="zh-CN" w:bidi="ar-SA"/>
              </w:rPr>
              <w:t>《攀枝花市仁和区同德镇中心卫生院县域医疗次中心建设项目》</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US" w:eastAsia="zh-CN" w:bidi="ar-SA"/>
              </w:rPr>
              <w:t>区卫生健康局</w:t>
            </w:r>
          </w:p>
        </w:tc>
        <w:tc>
          <w:tcPr>
            <w:tcW w:w="459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 w:eastAsia="zh-CN" w:bidi="ar-SA"/>
              </w:rPr>
              <w:t>公众参与、风险评估、公平竞争审查、合法性审查、集体讨论决定等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US" w:eastAsia="zh-CN"/>
              </w:rPr>
              <w:t>2025年3季度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36" w:type="dxa"/>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6</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center"/>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《攀枝花市</w:t>
            </w:r>
            <w:r>
              <w:rPr>
                <w:rFonts w:hint="default" w:ascii="Times New Roman" w:hAnsi="Times New Roman" w:eastAsia="方正仿宋_GBK" w:cs="Times New Roman"/>
                <w:i w:val="0"/>
                <w:iCs w:val="0"/>
                <w:snapToGrid w:val="0"/>
                <w:color w:val="000000"/>
                <w:kern w:val="0"/>
                <w:sz w:val="24"/>
                <w:szCs w:val="24"/>
                <w:u w:val="none"/>
                <w:lang w:val="en-US" w:eastAsia="zh-CN" w:bidi="ar"/>
              </w:rPr>
              <w:t>仁和区村级（片区）规划</w:t>
            </w:r>
            <w:r>
              <w:rPr>
                <w:rFonts w:hint="default" w:ascii="Times New Roman" w:hAnsi="Times New Roman" w:eastAsia="方正仿宋_GBK" w:cs="Times New Roman"/>
                <w:bCs/>
                <w:color w:val="auto"/>
                <w:kern w:val="2"/>
                <w:sz w:val="24"/>
                <w:szCs w:val="24"/>
                <w:lang w:val="en-US" w:eastAsia="zh-CN" w:bidi="ar-SA"/>
              </w:rPr>
              <w:t>》</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sz w:val="24"/>
                <w:szCs w:val="24"/>
              </w:rPr>
              <w:t>市自然资源和规划局仁和区分局</w:t>
            </w:r>
          </w:p>
        </w:tc>
        <w:tc>
          <w:tcPr>
            <w:tcW w:w="459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topLinePunct/>
              <w:bidi w:val="0"/>
              <w:spacing w:line="360" w:lineRule="exact"/>
              <w:ind w:firstLine="0" w:firstLineChars="0"/>
              <w:jc w:val="both"/>
              <w:rPr>
                <w:rFonts w:hint="default" w:ascii="Times New Roman" w:hAnsi="Times New Roman" w:eastAsia="方正仿宋_GBK" w:cs="Times New Roman"/>
                <w:bCs/>
                <w:color w:val="auto"/>
                <w:kern w:val="2"/>
                <w:sz w:val="24"/>
                <w:szCs w:val="24"/>
                <w:lang w:val="en" w:eastAsia="zh-CN" w:bidi="ar-SA"/>
              </w:rPr>
            </w:pPr>
            <w:r>
              <w:rPr>
                <w:rFonts w:hint="default" w:ascii="Times New Roman" w:hAnsi="Times New Roman" w:eastAsia="方正仿宋_GBK" w:cs="Times New Roman"/>
                <w:bCs/>
                <w:color w:val="auto"/>
                <w:kern w:val="2"/>
                <w:sz w:val="24"/>
                <w:szCs w:val="24"/>
                <w:lang w:val="en-US" w:eastAsia="zh-CN" w:bidi="ar-SA"/>
              </w:rPr>
              <w:t>公众参与、专家论证、风险评估、公平竞争审查、合法性审查、集体讨论决定等</w:t>
            </w:r>
          </w:p>
        </w:tc>
        <w:tc>
          <w:tcPr>
            <w:tcW w:w="1980" w:type="dxa"/>
            <w:noWrap w:val="0"/>
            <w:vAlign w:val="center"/>
          </w:tcPr>
          <w:p>
            <w:pPr>
              <w:wordWrap/>
              <w:topLinePunct/>
              <w:spacing w:line="360" w:lineRule="exact"/>
              <w:ind w:left="0" w:leftChars="0" w:firstLine="0" w:firstLineChars="0"/>
              <w:jc w:val="center"/>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val="en"/>
              </w:rPr>
              <w:t>2025</w:t>
            </w:r>
            <w:r>
              <w:rPr>
                <w:rFonts w:hint="default" w:ascii="Times New Roman" w:hAnsi="Times New Roman" w:eastAsia="方正仿宋_GBK" w:cs="Times New Roman"/>
                <w:bCs/>
                <w:color w:val="auto"/>
                <w:sz w:val="24"/>
                <w:szCs w:val="24"/>
                <w:highlight w:val="none"/>
                <w:lang w:val="en"/>
              </w:rPr>
              <w:t>年</w:t>
            </w:r>
            <w:r>
              <w:rPr>
                <w:rFonts w:hint="default" w:ascii="Times New Roman" w:hAnsi="Times New Roman" w:eastAsia="方正仿宋_GBK" w:cs="Times New Roman"/>
                <w:bCs/>
                <w:color w:val="auto"/>
                <w:sz w:val="24"/>
                <w:szCs w:val="24"/>
                <w:highlight w:val="none"/>
                <w:lang w:val="en-US" w:eastAsia="zh-CN"/>
              </w:rPr>
              <w:t>4季度</w:t>
            </w:r>
          </w:p>
        </w:tc>
      </w:tr>
    </w:tbl>
    <w:p>
      <w:pPr>
        <w:pStyle w:val="2"/>
        <w:rPr>
          <w:rFonts w:hint="default"/>
        </w:rPr>
        <w:sectPr>
          <w:footerReference r:id="rId4" w:type="default"/>
          <w:pgSz w:w="16838" w:h="11906" w:orient="landscape"/>
          <w:pgMar w:top="1588" w:right="2041" w:bottom="1474" w:left="1984" w:header="907" w:footer="1644" w:gutter="0"/>
          <w:pgNumType w:fmt="decimal"/>
          <w:cols w:space="0" w:num="1"/>
          <w:rtlGutter w:val="0"/>
          <w:docGrid w:type="linesAndChars" w:linePitch="579" w:charSpace="4656"/>
        </w:sect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pStyle w:val="7"/>
        <w:ind w:left="0" w:leftChars="0" w:firstLine="0" w:firstLineChars="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ind w:firstLine="232" w:firstLineChars="100"/>
      </w:pPr>
      <w:r>
        <w:rPr>
          <w:rFonts w:hint="default"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85pt;height:0pt;width:441pt;z-index:251659264;mso-width-relative:page;mso-height-relative:page;" filled="f" stroked="t" coordsize="21600,21600" o:gfxdata="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ucBI9MAAAAGAQAADwAAAAAAAAABACAAAAAiAAAAZHJzL2Rvd25yZXYueG1sUEsB&#10;AhQAFAAAAAgAh07iQAABYMb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pt;height:0pt;width:441pt;z-index:251660288;mso-width-relative:page;mso-height-relative:page;" filled="f" stroked="t" coordsize="21600,21600" o:gfxdata="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cKLTtEAAAAEAQAADwAAAAAAAAABACAAAAAiAAAAZHJzL2Rvd25yZXYueG1sUEsBAhQA&#10;FAAAAAgAh07iQLBapPr5AQAA8gMAAA4AAAAAAAAAAQAgAAAAI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0"/>
          <w:sz w:val="28"/>
          <w:szCs w:val="28"/>
        </w:rPr>
        <w:t xml:space="preserve">攀枝花市仁和区人民政府办公室        </w:t>
      </w:r>
      <w:r>
        <w:rPr>
          <w:rFonts w:hint="default" w:ascii="Times New Roman" w:hAnsi="Times New Roman" w:eastAsia="方正仿宋_GBK" w:cs="Times New Roman"/>
          <w:kern w:val="0"/>
          <w:sz w:val="28"/>
          <w:szCs w:val="28"/>
          <w:lang w:eastAsia="zh-CN"/>
        </w:rPr>
        <w:t>202</w:t>
      </w:r>
      <w:r>
        <w:rPr>
          <w:rFonts w:hint="default"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30</w:t>
      </w:r>
      <w:bookmarkStart w:id="1" w:name="_GoBack"/>
      <w:bookmarkEnd w:id="1"/>
      <w:r>
        <w:rPr>
          <w:rFonts w:hint="default" w:ascii="Times New Roman" w:hAnsi="Times New Roman" w:eastAsia="方正仿宋_GBK" w:cs="Times New Roman"/>
          <w:kern w:val="0"/>
          <w:sz w:val="28"/>
          <w:szCs w:val="28"/>
        </w:rPr>
        <w:t>日印发</w:t>
      </w:r>
    </w:p>
    <w:sectPr>
      <w:footerReference r:id="rId5" w:type="default"/>
      <w:pgSz w:w="11906" w:h="16838"/>
      <w:pgMar w:top="2098" w:right="1474" w:bottom="1984" w:left="1588" w:header="907" w:footer="1644" w:gutter="0"/>
      <w:cols w:space="0" w:num="1"/>
      <w:rtlGutter w:val="0"/>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2"/>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2"/>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53C4B"/>
    <w:rsid w:val="05E53C4B"/>
    <w:rsid w:val="23FA254A"/>
    <w:rsid w:val="27AB15E7"/>
    <w:rsid w:val="354D4D01"/>
    <w:rsid w:val="5D0A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宋体"/>
      <w:snapToGrid/>
      <w:color w:val="auto"/>
      <w:spacing w:val="0"/>
      <w:w w:val="100"/>
      <w:kern w:val="2"/>
      <w:position w:val="0"/>
      <w:sz w:val="21"/>
      <w:szCs w:val="21"/>
      <w:u w:val="none" w:color="auto"/>
      <w:vertAlign w:val="baseline"/>
      <w:lang w:val="en-US" w:eastAsia="zh-CN"/>
    </w:rPr>
  </w:style>
  <w:style w:type="paragraph" w:styleId="3">
    <w:name w:val="Body Text"/>
    <w:basedOn w:val="1"/>
    <w:next w:val="1"/>
    <w:qFormat/>
    <w:uiPriority w:val="0"/>
    <w:rPr>
      <w:rFonts w:ascii="Calibri" w:hAnsi="Calibri"/>
      <w:sz w:val="32"/>
      <w:szCs w:val="24"/>
    </w:rPr>
  </w:style>
  <w:style w:type="paragraph" w:styleId="4">
    <w:name w:val="Body Text Indent"/>
    <w:basedOn w:val="1"/>
    <w:next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2025-04-21T07:24:00Z</dcterms:created>
  <dc:creator>杨肖明</dc:creator>
  <cp:lastModifiedBy>杨肖明</cp:lastModifiedBy>
  <cp:lastPrinted>2025-04-21T07:32:00Z</cp:lastPrinted>
  <dcterms:modified xsi:type="dcterms:W3CDTF">2025-05-14T08:33:11Z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544C02387C38457DB234B595F5850E22</vt:lpwstr>
  </property>
</Properties>
</file>