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755"/>
        <w:gridCol w:w="1327"/>
        <w:gridCol w:w="2922"/>
        <w:gridCol w:w="3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9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</w:t>
            </w:r>
            <w:r>
              <w:rPr>
                <w:rStyle w:val="4"/>
                <w:rFonts w:hint="eastAsia" w:eastAsia="宋体"/>
                <w:lang w:val="en-US" w:eastAsia="zh-CN" w:bidi="ar"/>
              </w:rPr>
              <w:t>5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生均公用经费（学前教育）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5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攀枝花市仁和区务本乡中心学校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5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5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5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普及学前教育、维持学校正常运转，保障适龄儿童、少年接受学前教育的权利，提高全民科学文化族素质。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辖区内学前教育阶段学生人数  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学校专任教师数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生均公用经费标准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师生比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适龄儿童、少年入学率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预计完成时效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学前生均公用经费总额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适龄儿童、少年入学率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受群众满意度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3"/>
        <w:tblW w:w="8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717"/>
        <w:gridCol w:w="1260"/>
        <w:gridCol w:w="2774"/>
        <w:gridCol w:w="34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义务教育生均公用经费（小学）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攀枝花市仁和区务本乡中心学校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4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1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普及义务教育、维持学校正常运转，保障适龄儿童、少年接受义务教育的权利，提高全民科学文化族素质。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辖区内义务教育阶段小学生人数  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学校专任教师数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生均公用经费标准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16元/人.年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师生比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1:8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适龄儿童、少年入学率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预计完成时效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义务教育生均公用经费总额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3616元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适龄儿童、少年入学率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受群众满意度</w:t>
            </w:r>
          </w:p>
        </w:tc>
        <w:tc>
          <w:tcPr>
            <w:tcW w:w="3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3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714"/>
        <w:gridCol w:w="1254"/>
        <w:gridCol w:w="2759"/>
        <w:gridCol w:w="3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少年宫运转经费项目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攀枝花市仁和区务本乡中心学校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4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4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4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1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践行素质教育理念，充分利用和挖掘潜在教育资源，增长学生艺术特长，促进学生德智体美劳全面发展，促进校外教育、学校教育、家庭教育的紧密联系与融合。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聘请有资质的外聘教师数量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开展校园体育和艺术活动项目数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学生参与度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预计完成时效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外聘教师劳务费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体育、艺术活动费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践行素质教育理念 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推动基础教育改革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受群众满意度</w:t>
            </w:r>
          </w:p>
        </w:tc>
        <w:tc>
          <w:tcPr>
            <w:tcW w:w="3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</w:tbl>
    <w:p>
      <w:r>
        <w:br w:type="page"/>
      </w:r>
    </w:p>
    <w:tbl>
      <w:tblPr>
        <w:tblStyle w:val="3"/>
        <w:tblW w:w="8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704"/>
        <w:gridCol w:w="1239"/>
        <w:gridCol w:w="2971"/>
        <w:gridCol w:w="3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中小学（幼儿园）保安工资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6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攀枝花市仁和区务本乡中心学校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9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39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8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保障师生的生命财产安全，提升学校安全防范水平，维护校园保安队伍的稳定，保障2025年度学校教育教学工作正常运转。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聘请保安人数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保障师生的生命财产安全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保安工资标准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1700元/人.月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维护校园保安队伍的稳定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预计完成时效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2025年1月-12月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聘请保安劳务费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4.08万元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保障师生的生命财产安全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提升学校安全防范水平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受群众满意度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≥95%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60690"/>
    <w:rsid w:val="0585006F"/>
    <w:rsid w:val="0EB60690"/>
    <w:rsid w:val="439F1CE6"/>
    <w:rsid w:val="6B954DFD"/>
    <w:rsid w:val="77482BE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2024-01-31T06:59:00Z</dcterms:created>
  <dc:creator>何英</dc:creator>
  <cp:lastModifiedBy>Administrator</cp:lastModifiedBy>
  <dcterms:modified xsi:type="dcterms:W3CDTF">2025-03-21T08:02:16Z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  <property fmtid="{D5CDD505-2E9C-101B-9397-08002B2CF9AE}" pid="3" name="ICV">
    <vt:lpwstr>87D8A06E015A4D6AA891BFC85C0A014C</vt:lpwstr>
  </property>
</Properties>
</file>