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525" w:after="375"/>
        <w:jc w:val="center"/>
        <w:outlineLvl w:val="0"/>
        <w:rPr>
          <w:rFonts w:hint="eastAsia" w:ascii="黑体" w:hAnsi="黑体" w:eastAsia="黑体" w:cs="黑体"/>
          <w:color w:val="000000" w:themeColor="text1"/>
          <w:kern w:val="36"/>
          <w:sz w:val="52"/>
          <w:szCs w:val="5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36"/>
          <w:sz w:val="52"/>
          <w:szCs w:val="52"/>
          <w14:textFill>
            <w14:solidFill>
              <w14:schemeClr w14:val="tx1"/>
            </w14:solidFill>
          </w14:textFill>
        </w:rPr>
        <w:t>攀枝花市仁和区</w:t>
      </w:r>
      <w:r>
        <w:rPr>
          <w:rFonts w:hint="eastAsia" w:ascii="黑体" w:hAnsi="黑体" w:eastAsia="黑体" w:cs="黑体"/>
          <w:color w:val="000000" w:themeColor="text1"/>
          <w:kern w:val="36"/>
          <w:sz w:val="52"/>
          <w:szCs w:val="52"/>
          <w:lang w:eastAsia="zh-CN"/>
          <w14:textFill>
            <w14:solidFill>
              <w14:schemeClr w14:val="tx1"/>
            </w14:solidFill>
          </w14:textFill>
        </w:rPr>
        <w:t>太平乡卫生院</w:t>
      </w:r>
    </w:p>
    <w:p>
      <w:pPr>
        <w:widowControl/>
        <w:shd w:val="clear" w:color="auto" w:fill="FFFFFF"/>
        <w:spacing w:before="525" w:after="375"/>
        <w:jc w:val="center"/>
        <w:outlineLvl w:val="0"/>
        <w:rPr>
          <w:rFonts w:hint="eastAsia" w:ascii="黑体" w:hAnsi="黑体" w:eastAsia="黑体" w:cs="黑体"/>
          <w:color w:val="000000" w:themeColor="text1"/>
          <w:kern w:val="36"/>
          <w:sz w:val="52"/>
          <w:szCs w:val="5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36"/>
          <w:sz w:val="52"/>
          <w:szCs w:val="52"/>
          <w14:textFill>
            <w14:solidFill>
              <w14:schemeClr w14:val="tx1"/>
            </w14:solidFill>
          </w14:textFill>
        </w:rPr>
        <w:t>关于202</w:t>
      </w:r>
      <w:r>
        <w:rPr>
          <w:rFonts w:hint="eastAsia" w:ascii="黑体" w:hAnsi="黑体" w:eastAsia="黑体" w:cs="黑体"/>
          <w:color w:val="000000" w:themeColor="text1"/>
          <w:kern w:val="36"/>
          <w:sz w:val="52"/>
          <w:szCs w:val="5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黑体" w:hAnsi="黑体" w:eastAsia="黑体" w:cs="黑体"/>
          <w:color w:val="000000" w:themeColor="text1"/>
          <w:kern w:val="36"/>
          <w:sz w:val="52"/>
          <w:szCs w:val="52"/>
          <w14:textFill>
            <w14:solidFill>
              <w14:schemeClr w14:val="tx1"/>
            </w14:solidFill>
          </w14:textFill>
        </w:rPr>
        <w:t>年部门预算编制的说明</w:t>
      </w:r>
    </w:p>
    <w:p>
      <w:pPr>
        <w:widowControl/>
        <w:shd w:val="clear" w:color="auto" w:fill="FFFFFF"/>
        <w:spacing w:before="525" w:after="375"/>
        <w:jc w:val="center"/>
        <w:outlineLvl w:val="0"/>
        <w:rPr>
          <w:rFonts w:hint="eastAsia" w:ascii="微软雅黑" w:hAnsi="微软雅黑" w:eastAsia="微软雅黑" w:cs="宋体"/>
          <w:color w:val="000000" w:themeColor="text1"/>
          <w:kern w:val="36"/>
          <w:sz w:val="45"/>
          <w:szCs w:val="45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before="525" w:after="375"/>
        <w:jc w:val="center"/>
        <w:outlineLvl w:val="0"/>
        <w:rPr>
          <w:rFonts w:hint="eastAsia" w:ascii="微软雅黑" w:hAnsi="微软雅黑" w:eastAsia="微软雅黑" w:cs="宋体"/>
          <w:color w:val="000000" w:themeColor="text1"/>
          <w:kern w:val="36"/>
          <w:sz w:val="45"/>
          <w:szCs w:val="45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before="525" w:after="375"/>
        <w:jc w:val="center"/>
        <w:outlineLvl w:val="0"/>
        <w:rPr>
          <w:rFonts w:hint="eastAsia" w:ascii="微软雅黑" w:hAnsi="微软雅黑" w:eastAsia="微软雅黑" w:cs="宋体"/>
          <w:color w:val="000000" w:themeColor="text1"/>
          <w:kern w:val="36"/>
          <w:sz w:val="45"/>
          <w:szCs w:val="45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before="525" w:after="375"/>
        <w:jc w:val="center"/>
        <w:outlineLvl w:val="0"/>
        <w:rPr>
          <w:rFonts w:hint="eastAsia" w:ascii="微软雅黑" w:hAnsi="微软雅黑" w:eastAsia="微软雅黑" w:cs="宋体"/>
          <w:color w:val="000000" w:themeColor="text1"/>
          <w:kern w:val="36"/>
          <w:sz w:val="45"/>
          <w:szCs w:val="45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before="525" w:after="375"/>
        <w:jc w:val="center"/>
        <w:outlineLvl w:val="0"/>
        <w:rPr>
          <w:rFonts w:hint="eastAsia" w:ascii="微软雅黑" w:hAnsi="微软雅黑" w:eastAsia="微软雅黑" w:cs="宋体"/>
          <w:color w:val="000000" w:themeColor="text1"/>
          <w:kern w:val="36"/>
          <w:sz w:val="45"/>
          <w:szCs w:val="45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before="525" w:after="375"/>
        <w:jc w:val="center"/>
        <w:outlineLvl w:val="0"/>
        <w:rPr>
          <w:rFonts w:hint="eastAsia" w:ascii="微软雅黑" w:hAnsi="微软雅黑" w:eastAsia="微软雅黑" w:cs="宋体"/>
          <w:color w:val="000000" w:themeColor="text1"/>
          <w:kern w:val="36"/>
          <w:sz w:val="45"/>
          <w:szCs w:val="45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before="525" w:after="375"/>
        <w:jc w:val="center"/>
        <w:outlineLvl w:val="0"/>
        <w:rPr>
          <w:rFonts w:hint="eastAsia" w:ascii="微软雅黑" w:hAnsi="微软雅黑" w:eastAsia="微软雅黑" w:cs="宋体"/>
          <w:color w:val="000000" w:themeColor="text1"/>
          <w:kern w:val="36"/>
          <w:sz w:val="45"/>
          <w:szCs w:val="45"/>
          <w14:textFill>
            <w14:solidFill>
              <w14:schemeClr w14:val="tx1"/>
            </w14:solidFill>
          </w14:textFill>
        </w:rPr>
      </w:pPr>
    </w:p>
    <w:p>
      <w:pPr>
        <w:spacing w:before="0" w:beforeLines="0" w:after="0" w:afterLines="0" w:line="240" w:lineRule="auto"/>
        <w:ind w:left="0" w:leftChars="0" w:right="0" w:rightChars="0" w:firstLine="0" w:firstLineChars="0"/>
        <w:jc w:val="center"/>
        <w:rPr>
          <w:rFonts w:hint="eastAsia" w:ascii="黑体" w:hAnsi="黑体" w:eastAsia="黑体" w:cs="黑体"/>
          <w:color w:val="000000" w:themeColor="text1"/>
          <w:sz w:val="44"/>
          <w:szCs w:val="52"/>
          <w14:textFill>
            <w14:solidFill>
              <w14:schemeClr w14:val="tx1"/>
            </w14:solidFill>
          </w14:textFill>
        </w:rPr>
      </w:pPr>
    </w:p>
    <w:p>
      <w:pPr>
        <w:spacing w:before="0" w:beforeLines="0" w:after="0" w:afterLines="0" w:line="240" w:lineRule="auto"/>
        <w:ind w:left="0" w:leftChars="0" w:right="0" w:rightChars="0" w:firstLine="0" w:firstLineChars="0"/>
        <w:jc w:val="center"/>
        <w:rPr>
          <w:rFonts w:hint="eastAsia" w:ascii="黑体" w:hAnsi="黑体" w:eastAsia="黑体" w:cs="黑体"/>
          <w:color w:val="000000" w:themeColor="text1"/>
          <w:sz w:val="44"/>
          <w:szCs w:val="5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44"/>
          <w:szCs w:val="52"/>
          <w14:textFill>
            <w14:solidFill>
              <w14:schemeClr w14:val="tx1"/>
            </w14:solidFill>
          </w14:textFill>
        </w:rPr>
        <w:t>目录</w:t>
      </w:r>
    </w:p>
    <w:p>
      <w:pPr>
        <w:pStyle w:val="19"/>
        <w:tabs>
          <w:tab w:val="right" w:leader="dot" w:pos="8844"/>
        </w:tabs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instrText xml:space="preserve">TOC \o "1-3" \h \u </w:instrText>
      </w:r>
      <w:r>
        <w:rPr>
          <w:rFonts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fldChar w:fldCharType="separate"/>
      </w:r>
    </w:p>
    <w:p>
      <w:pPr>
        <w:pStyle w:val="19"/>
        <w:tabs>
          <w:tab w:val="right" w:leader="dot" w:pos="8844"/>
        </w:tabs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eastAsia="方正小标宋简体"/>
          <w:color w:val="000000" w:themeColor="text1"/>
          <w:szCs w:val="4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eastAsia="方正小标宋简体"/>
          <w:color w:val="000000" w:themeColor="text1"/>
          <w:szCs w:val="44"/>
          <w14:textFill>
            <w14:solidFill>
              <w14:schemeClr w14:val="tx1"/>
            </w14:solidFill>
          </w14:textFill>
        </w:rPr>
        <w:instrText xml:space="preserve"> HYPERLINK \l _Toc28650 </w:instrText>
      </w:r>
      <w:r>
        <w:rPr>
          <w:rFonts w:eastAsia="方正小标宋简体"/>
          <w:color w:val="000000" w:themeColor="text1"/>
          <w:szCs w:val="4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eastAsia="黑体"/>
          <w:color w:val="000000" w:themeColor="text1"/>
          <w:szCs w:val="32"/>
          <w14:textFill>
            <w14:solidFill>
              <w14:schemeClr w14:val="tx1"/>
            </w14:solidFill>
          </w14:textFill>
        </w:rPr>
        <w:t>一、基本职能及主要工作</w:t>
      </w:r>
      <w:r>
        <w:rPr>
          <w:rFonts w:hint="eastAsia" w:eastAsia="黑体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.....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eastAsia="方正小标宋简体"/>
          <w:color w:val="000000" w:themeColor="text1"/>
          <w:szCs w:val="44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20"/>
        <w:tabs>
          <w:tab w:val="right" w:leader="dot" w:pos="8844"/>
        </w:tabs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eastAsia="方正小标宋简体"/>
          <w:color w:val="000000" w:themeColor="text1"/>
          <w:szCs w:val="4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eastAsia="方正小标宋简体"/>
          <w:color w:val="000000" w:themeColor="text1"/>
          <w:szCs w:val="44"/>
          <w14:textFill>
            <w14:solidFill>
              <w14:schemeClr w14:val="tx1"/>
            </w14:solidFill>
          </w14:textFill>
        </w:rPr>
        <w:instrText xml:space="preserve"> HYPERLINK \l _Toc26953 </w:instrText>
      </w:r>
      <w:r>
        <w:rPr>
          <w:rFonts w:eastAsia="方正小标宋简体"/>
          <w:color w:val="000000" w:themeColor="text1"/>
          <w:szCs w:val="4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楷体" w:hAnsi="楷体" w:eastAsia="楷体" w:cs="楷体"/>
          <w:bCs/>
          <w:color w:val="000000" w:themeColor="text1"/>
          <w:szCs w:val="32"/>
          <w14:textFill>
            <w14:solidFill>
              <w14:schemeClr w14:val="tx1"/>
            </w14:solidFill>
          </w14:textFill>
        </w:rPr>
        <w:t>（一）职能简介。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eastAsia="方正小标宋简体"/>
          <w:color w:val="000000" w:themeColor="text1"/>
          <w:szCs w:val="44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20"/>
        <w:tabs>
          <w:tab w:val="right" w:leader="dot" w:pos="8844"/>
        </w:tabs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eastAsia="方正小标宋简体"/>
          <w:color w:val="000000" w:themeColor="text1"/>
          <w:szCs w:val="4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eastAsia="方正小标宋简体"/>
          <w:color w:val="000000" w:themeColor="text1"/>
          <w:szCs w:val="44"/>
          <w14:textFill>
            <w14:solidFill>
              <w14:schemeClr w14:val="tx1"/>
            </w14:solidFill>
          </w14:textFill>
        </w:rPr>
        <w:instrText xml:space="preserve"> HYPERLINK \l _Toc12420 </w:instrText>
      </w:r>
      <w:r>
        <w:rPr>
          <w:rFonts w:eastAsia="方正小标宋简体"/>
          <w:color w:val="000000" w:themeColor="text1"/>
          <w:szCs w:val="4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楷体" w:hAnsi="楷体" w:eastAsia="楷体" w:cs="楷体"/>
          <w:bCs/>
          <w:color w:val="000000" w:themeColor="text1"/>
          <w:szCs w:val="32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楷体" w:hAnsi="楷体" w:eastAsia="楷体" w:cs="楷体"/>
          <w:bCs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2025</w:t>
      </w:r>
      <w:r>
        <w:rPr>
          <w:rFonts w:hint="eastAsia" w:ascii="楷体" w:hAnsi="楷体" w:eastAsia="楷体" w:cs="楷体"/>
          <w:bCs/>
          <w:color w:val="000000" w:themeColor="text1"/>
          <w:szCs w:val="32"/>
          <w14:textFill>
            <w14:solidFill>
              <w14:schemeClr w14:val="tx1"/>
            </w14:solidFill>
          </w14:textFill>
        </w:rPr>
        <w:t>年重点工作任务介绍。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eastAsia="方正小标宋简体"/>
          <w:color w:val="000000" w:themeColor="text1"/>
          <w:szCs w:val="44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19"/>
        <w:tabs>
          <w:tab w:val="right" w:leader="dot" w:pos="8844"/>
        </w:tabs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eastAsia="方正小标宋简体"/>
          <w:color w:val="000000" w:themeColor="text1"/>
          <w:szCs w:val="4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eastAsia="方正小标宋简体"/>
          <w:color w:val="000000" w:themeColor="text1"/>
          <w:szCs w:val="44"/>
          <w14:textFill>
            <w14:solidFill>
              <w14:schemeClr w14:val="tx1"/>
            </w14:solidFill>
          </w14:textFill>
        </w:rPr>
        <w:instrText xml:space="preserve"> HYPERLINK \l _Toc2365 </w:instrText>
      </w:r>
      <w:r>
        <w:rPr>
          <w:rFonts w:eastAsia="方正小标宋简体"/>
          <w:color w:val="000000" w:themeColor="text1"/>
          <w:szCs w:val="4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eastAsia="黑体"/>
          <w:color w:val="000000" w:themeColor="text1"/>
          <w:szCs w:val="32"/>
          <w14:textFill>
            <w14:solidFill>
              <w14:schemeClr w14:val="tx1"/>
            </w14:solidFill>
          </w14:textFill>
        </w:rPr>
        <w:t>二、基本情况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eastAsia="方正小标宋简体"/>
          <w:color w:val="000000" w:themeColor="text1"/>
          <w:szCs w:val="44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20"/>
        <w:tabs>
          <w:tab w:val="right" w:leader="dot" w:pos="8844"/>
        </w:tabs>
        <w:rPr>
          <w:rFonts w:eastAsia="方正小标宋简体"/>
          <w:color w:val="000000" w:themeColor="text1"/>
          <w:szCs w:val="44"/>
          <w14:textFill>
            <w14:solidFill>
              <w14:schemeClr w14:val="tx1"/>
            </w14:solidFill>
          </w14:textFill>
        </w:rPr>
      </w:pPr>
      <w:r>
        <w:rPr>
          <w:rFonts w:eastAsia="方正小标宋简体"/>
          <w:color w:val="000000" w:themeColor="text1"/>
          <w:szCs w:val="4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eastAsia="方正小标宋简体"/>
          <w:color w:val="000000" w:themeColor="text1"/>
          <w:szCs w:val="44"/>
          <w14:textFill>
            <w14:solidFill>
              <w14:schemeClr w14:val="tx1"/>
            </w14:solidFill>
          </w14:textFill>
        </w:rPr>
        <w:instrText xml:space="preserve"> HYPERLINK \l _Toc23171 </w:instrText>
      </w:r>
      <w:r>
        <w:rPr>
          <w:rFonts w:eastAsia="方正小标宋简体"/>
          <w:color w:val="000000" w:themeColor="text1"/>
          <w:szCs w:val="4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Times New Roman" w:hAnsi="Times New Roman" w:eastAsia="仿宋_GB2312" w:cs="Times New Roman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楷体" w:hAnsi="楷体" w:eastAsia="楷体" w:cs="楷体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单位构成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eastAsia="方正小标宋简体"/>
          <w:color w:val="000000" w:themeColor="text1"/>
          <w:szCs w:val="44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20"/>
        <w:tabs>
          <w:tab w:val="right" w:leader="dot" w:pos="8844"/>
        </w:tabs>
        <w:rPr>
          <w:rFonts w:ascii="Times New Roman" w:hAnsi="Times New Roman" w:eastAsia="方正小标宋简体" w:cs="Times New Roman"/>
          <w:color w:val="000000" w:themeColor="text1"/>
          <w:szCs w:val="4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小标宋简体" w:cs="Times New Roman"/>
          <w:color w:val="000000" w:themeColor="text1"/>
          <w:szCs w:val="4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方正小标宋简体" w:cs="Times New Roman"/>
          <w:color w:val="000000" w:themeColor="text1"/>
          <w:szCs w:val="44"/>
          <w14:textFill>
            <w14:solidFill>
              <w14:schemeClr w14:val="tx1"/>
            </w14:solidFill>
          </w14:textFill>
        </w:rPr>
        <w:instrText xml:space="preserve"> HYPERLINK \l _Toc24650 </w:instrText>
      </w:r>
      <w:r>
        <w:rPr>
          <w:rFonts w:ascii="Times New Roman" w:hAnsi="Times New Roman" w:eastAsia="方正小标宋简体" w:cs="Times New Roman"/>
          <w:color w:val="000000" w:themeColor="text1"/>
          <w:szCs w:val="4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仿宋_GB2312" w:eastAsia="仿宋_GB2312" w:cs="仿宋_GB2312"/>
          <w:color w:val="000000" w:themeColor="text1"/>
          <w:szCs w:val="44"/>
          <w:lang w:val="en-US" w:eastAsia="zh-CN"/>
          <w14:textFill>
            <w14:solidFill>
              <w14:schemeClr w14:val="tx1"/>
            </w14:solidFill>
          </w14:textFill>
        </w:rPr>
        <w:t>(二）</w:t>
      </w:r>
      <w:r>
        <w:rPr>
          <w:rFonts w:hint="eastAsia" w:ascii="楷体" w:hAnsi="楷体" w:eastAsia="楷体" w:cs="楷体"/>
          <w:color w:val="000000" w:themeColor="text1"/>
          <w:szCs w:val="44"/>
          <w:lang w:eastAsia="zh-CN"/>
          <w14:textFill>
            <w14:solidFill>
              <w14:schemeClr w14:val="tx1"/>
            </w14:solidFill>
          </w14:textFill>
        </w:rPr>
        <w:t>单位人员编制、实有人数情况</w:t>
      </w:r>
      <w:r>
        <w:rPr>
          <w:rFonts w:ascii="Times New Roman" w:hAnsi="Times New Roman" w:eastAsia="方正小标宋简体" w:cs="Times New Roman"/>
          <w:color w:val="000000" w:themeColor="text1"/>
          <w:szCs w:val="44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方正小标宋简体" w:cs="Times New Roman"/>
          <w:color w:val="000000" w:themeColor="text1"/>
          <w:szCs w:val="44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ascii="Times New Roman" w:hAnsi="Times New Roman" w:eastAsia="方正小标宋简体" w:cs="Times New Roman"/>
          <w:color w:val="000000" w:themeColor="text1"/>
          <w:szCs w:val="44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20"/>
        <w:tabs>
          <w:tab w:val="right" w:leader="dot" w:pos="8844"/>
        </w:tabs>
        <w:ind w:left="0" w:leftChars="0" w:firstLine="400" w:firstLineChars="2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eastAsia="方正小标宋简体"/>
          <w:color w:val="000000" w:themeColor="text1"/>
          <w:szCs w:val="4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eastAsia="方正小标宋简体"/>
          <w:color w:val="000000" w:themeColor="text1"/>
          <w:szCs w:val="44"/>
          <w14:textFill>
            <w14:solidFill>
              <w14:schemeClr w14:val="tx1"/>
            </w14:solidFill>
          </w14:textFill>
        </w:rPr>
        <w:instrText xml:space="preserve"> HYPERLINK \l _Toc32346 </w:instrText>
      </w:r>
      <w:r>
        <w:rPr>
          <w:rFonts w:eastAsia="方正小标宋简体"/>
          <w:color w:val="000000" w:themeColor="text1"/>
          <w:szCs w:val="4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Times New Roman" w:hAnsi="Times New Roman" w:eastAsia="仿宋_GB2312" w:cs="Times New Roman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（三）</w:t>
      </w:r>
      <w:r>
        <w:rPr>
          <w:rFonts w:hint="eastAsia" w:ascii="楷体" w:hAnsi="楷体" w:eastAsia="楷体" w:cs="楷体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固定资产情况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eastAsia="方正小标宋简体"/>
          <w:color w:val="000000" w:themeColor="text1"/>
          <w:szCs w:val="44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19"/>
        <w:tabs>
          <w:tab w:val="right" w:leader="dot" w:pos="8844"/>
        </w:tabs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eastAsia="方正小标宋简体"/>
          <w:color w:val="000000" w:themeColor="text1"/>
          <w:szCs w:val="4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eastAsia="方正小标宋简体"/>
          <w:color w:val="000000" w:themeColor="text1"/>
          <w:szCs w:val="44"/>
          <w14:textFill>
            <w14:solidFill>
              <w14:schemeClr w14:val="tx1"/>
            </w14:solidFill>
          </w14:textFill>
        </w:rPr>
        <w:instrText xml:space="preserve"> HYPERLINK \l _Toc368 </w:instrText>
      </w:r>
      <w:r>
        <w:rPr>
          <w:rFonts w:eastAsia="方正小标宋简体"/>
          <w:color w:val="000000" w:themeColor="text1"/>
          <w:szCs w:val="4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eastAsia="黑体"/>
          <w:color w:val="000000" w:themeColor="text1"/>
          <w:szCs w:val="32"/>
          <w14:textFill>
            <w14:solidFill>
              <w14:schemeClr w14:val="tx1"/>
            </w14:solidFill>
          </w14:textFill>
        </w:rPr>
        <w:t>三、收支预算总体情况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eastAsia="方正小标宋简体"/>
          <w:color w:val="000000" w:themeColor="text1"/>
          <w:szCs w:val="44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20"/>
        <w:tabs>
          <w:tab w:val="right" w:leader="dot" w:pos="8844"/>
        </w:tabs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eastAsia="方正小标宋简体"/>
          <w:color w:val="000000" w:themeColor="text1"/>
          <w:szCs w:val="4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eastAsia="方正小标宋简体"/>
          <w:color w:val="000000" w:themeColor="text1"/>
          <w:szCs w:val="44"/>
          <w14:textFill>
            <w14:solidFill>
              <w14:schemeClr w14:val="tx1"/>
            </w14:solidFill>
          </w14:textFill>
        </w:rPr>
        <w:instrText xml:space="preserve"> HYPERLINK \l _Toc24083 </w:instrText>
      </w:r>
      <w:r>
        <w:rPr>
          <w:rFonts w:eastAsia="方正小标宋简体"/>
          <w:color w:val="000000" w:themeColor="text1"/>
          <w:szCs w:val="4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楷体_GB2312" w:eastAsia="楷体_GB2312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楷体" w:hAnsi="楷体" w:eastAsia="楷体" w:cs="楷体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收入预算情况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eastAsia="方正小标宋简体"/>
          <w:color w:val="000000" w:themeColor="text1"/>
          <w:szCs w:val="44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20"/>
        <w:tabs>
          <w:tab w:val="right" w:leader="dot" w:pos="8844"/>
        </w:tabs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eastAsia="方正小标宋简体"/>
          <w:color w:val="000000" w:themeColor="text1"/>
          <w:szCs w:val="4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eastAsia="方正小标宋简体"/>
          <w:color w:val="000000" w:themeColor="text1"/>
          <w:szCs w:val="44"/>
          <w14:textFill>
            <w14:solidFill>
              <w14:schemeClr w14:val="tx1"/>
            </w14:solidFill>
          </w14:textFill>
        </w:rPr>
        <w:instrText xml:space="preserve"> HYPERLINK \l _Toc23914 </w:instrText>
      </w:r>
      <w:r>
        <w:rPr>
          <w:rFonts w:eastAsia="方正小标宋简体"/>
          <w:color w:val="000000" w:themeColor="text1"/>
          <w:szCs w:val="4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ascii="楷体_GB2312" w:eastAsia="楷体_GB2312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楷体" w:hAnsi="楷体" w:eastAsia="楷体" w:cs="楷体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支出预算情况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eastAsia="方正小标宋简体"/>
          <w:color w:val="000000" w:themeColor="text1"/>
          <w:szCs w:val="44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19"/>
        <w:tabs>
          <w:tab w:val="right" w:leader="dot" w:pos="8844"/>
        </w:tabs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eastAsia="方正小标宋简体"/>
          <w:color w:val="000000" w:themeColor="text1"/>
          <w:szCs w:val="4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eastAsia="方正小标宋简体"/>
          <w:color w:val="000000" w:themeColor="text1"/>
          <w:szCs w:val="44"/>
          <w14:textFill>
            <w14:solidFill>
              <w14:schemeClr w14:val="tx1"/>
            </w14:solidFill>
          </w14:textFill>
        </w:rPr>
        <w:instrText xml:space="preserve"> HYPERLINK \l _Toc2770 </w:instrText>
      </w:r>
      <w:r>
        <w:rPr>
          <w:rFonts w:eastAsia="方正小标宋简体"/>
          <w:color w:val="000000" w:themeColor="text1"/>
          <w:szCs w:val="4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Ansi="黑体" w:eastAsia="黑体"/>
          <w:color w:val="000000" w:themeColor="text1"/>
          <w:szCs w:val="32"/>
          <w14:textFill>
            <w14:solidFill>
              <w14:schemeClr w14:val="tx1"/>
            </w14:solidFill>
          </w14:textFill>
        </w:rPr>
        <w:t>四、一般公共预算当年拨款情况说明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eastAsia="方正小标宋简体"/>
          <w:color w:val="000000" w:themeColor="text1"/>
          <w:szCs w:val="44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20"/>
        <w:tabs>
          <w:tab w:val="right" w:leader="dot" w:pos="8844"/>
        </w:tabs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eastAsia="方正小标宋简体"/>
          <w:color w:val="000000" w:themeColor="text1"/>
          <w:szCs w:val="4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eastAsia="方正小标宋简体"/>
          <w:color w:val="000000" w:themeColor="text1"/>
          <w:szCs w:val="44"/>
          <w14:textFill>
            <w14:solidFill>
              <w14:schemeClr w14:val="tx1"/>
            </w14:solidFill>
          </w14:textFill>
        </w:rPr>
        <w:instrText xml:space="preserve"> HYPERLINK \l _Toc32451 </w:instrText>
      </w:r>
      <w:r>
        <w:rPr>
          <w:rFonts w:eastAsia="方正小标宋简体"/>
          <w:color w:val="000000" w:themeColor="text1"/>
          <w:szCs w:val="4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楷体_GB2312" w:hAnsi="黑体" w:eastAsia="楷体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楷体" w:hAnsi="楷体" w:eastAsia="楷体" w:cs="楷体"/>
          <w:color w:val="000000" w:themeColor="text1"/>
          <w:szCs w:val="32"/>
          <w14:textFill>
            <w14:solidFill>
              <w14:schemeClr w14:val="tx1"/>
            </w14:solidFill>
          </w14:textFill>
        </w:rPr>
        <w:t>一般公共预算当年拨款规模变化情况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..8</w:t>
      </w:r>
      <w:r>
        <w:rPr>
          <w:rFonts w:eastAsia="方正小标宋简体"/>
          <w:color w:val="000000" w:themeColor="text1"/>
          <w:szCs w:val="44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20"/>
        <w:tabs>
          <w:tab w:val="right" w:leader="dot" w:pos="8844"/>
        </w:tabs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eastAsia="方正小标宋简体"/>
          <w:color w:val="000000" w:themeColor="text1"/>
          <w:szCs w:val="4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eastAsia="方正小标宋简体"/>
          <w:color w:val="000000" w:themeColor="text1"/>
          <w:szCs w:val="44"/>
          <w14:textFill>
            <w14:solidFill>
              <w14:schemeClr w14:val="tx1"/>
            </w14:solidFill>
          </w14:textFill>
        </w:rPr>
        <w:instrText xml:space="preserve"> HYPERLINK \l _Toc29477 </w:instrText>
      </w:r>
      <w:r>
        <w:rPr>
          <w:rFonts w:eastAsia="方正小标宋简体"/>
          <w:color w:val="000000" w:themeColor="text1"/>
          <w:szCs w:val="4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ascii="楷体_GB2312" w:hAnsi="黑体" w:eastAsia="楷体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楷体" w:hAnsi="楷体" w:eastAsia="楷体" w:cs="楷体"/>
          <w:color w:val="000000" w:themeColor="text1"/>
          <w:szCs w:val="32"/>
          <w14:textFill>
            <w14:solidFill>
              <w14:schemeClr w14:val="tx1"/>
            </w14:solidFill>
          </w14:textFill>
        </w:rPr>
        <w:t>一般公共预算当年拨款结构情况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eastAsia="方正小标宋简体"/>
          <w:color w:val="000000" w:themeColor="text1"/>
          <w:szCs w:val="44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19"/>
        <w:tabs>
          <w:tab w:val="right" w:leader="dot" w:pos="8844"/>
        </w:tabs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eastAsia="方正小标宋简体"/>
          <w:color w:val="000000" w:themeColor="text1"/>
          <w:szCs w:val="4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eastAsia="方正小标宋简体"/>
          <w:color w:val="000000" w:themeColor="text1"/>
          <w:szCs w:val="44"/>
          <w14:textFill>
            <w14:solidFill>
              <w14:schemeClr w14:val="tx1"/>
            </w14:solidFill>
          </w14:textFill>
        </w:rPr>
        <w:instrText xml:space="preserve"> HYPERLINK \l _Toc5972 </w:instrText>
      </w:r>
      <w:r>
        <w:rPr>
          <w:rFonts w:eastAsia="方正小标宋简体"/>
          <w:color w:val="000000" w:themeColor="text1"/>
          <w:szCs w:val="4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Ansi="黑体" w:eastAsia="黑体"/>
          <w:color w:val="000000" w:themeColor="text1"/>
          <w:szCs w:val="32"/>
          <w14:textFill>
            <w14:solidFill>
              <w14:schemeClr w14:val="tx1"/>
            </w14:solidFill>
          </w14:textFill>
        </w:rPr>
        <w:t>五、一般公共预算基本支出情况说明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eastAsia="方正小标宋简体"/>
          <w:color w:val="000000" w:themeColor="text1"/>
          <w:szCs w:val="44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19"/>
        <w:tabs>
          <w:tab w:val="right" w:leader="dot" w:pos="8844"/>
        </w:tabs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eastAsia="方正小标宋简体"/>
          <w:color w:val="000000" w:themeColor="text1"/>
          <w:szCs w:val="4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eastAsia="方正小标宋简体"/>
          <w:color w:val="000000" w:themeColor="text1"/>
          <w:szCs w:val="44"/>
          <w14:textFill>
            <w14:solidFill>
              <w14:schemeClr w14:val="tx1"/>
            </w14:solidFill>
          </w14:textFill>
        </w:rPr>
        <w:instrText xml:space="preserve"> HYPERLINK \l _Toc4344 </w:instrText>
      </w:r>
      <w:r>
        <w:rPr>
          <w:rFonts w:eastAsia="方正小标宋简体"/>
          <w:color w:val="000000" w:themeColor="text1"/>
          <w:szCs w:val="4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Ansi="黑体" w:eastAsia="黑体"/>
          <w:color w:val="000000" w:themeColor="text1"/>
          <w:szCs w:val="32"/>
          <w14:textFill>
            <w14:solidFill>
              <w14:schemeClr w14:val="tx1"/>
            </w14:solidFill>
          </w14:textFill>
        </w:rPr>
        <w:t>六、</w:t>
      </w:r>
      <w:r>
        <w:rPr>
          <w:rFonts w:eastAsia="黑体"/>
          <w:color w:val="000000" w:themeColor="text1"/>
          <w:szCs w:val="32"/>
          <w14:textFill>
            <w14:solidFill>
              <w14:schemeClr w14:val="tx1"/>
            </w14:solidFill>
          </w14:textFill>
        </w:rPr>
        <w:t>“</w:t>
      </w:r>
      <w:r>
        <w:rPr>
          <w:rFonts w:hAnsi="黑体" w:eastAsia="黑体"/>
          <w:color w:val="000000" w:themeColor="text1"/>
          <w:szCs w:val="32"/>
          <w14:textFill>
            <w14:solidFill>
              <w14:schemeClr w14:val="tx1"/>
            </w14:solidFill>
          </w14:textFill>
        </w:rPr>
        <w:t>三公</w:t>
      </w:r>
      <w:r>
        <w:rPr>
          <w:rFonts w:eastAsia="黑体"/>
          <w:color w:val="000000" w:themeColor="text1"/>
          <w:szCs w:val="32"/>
          <w14:textFill>
            <w14:solidFill>
              <w14:schemeClr w14:val="tx1"/>
            </w14:solidFill>
          </w14:textFill>
        </w:rPr>
        <w:t>”</w:t>
      </w:r>
      <w:r>
        <w:rPr>
          <w:rFonts w:hAnsi="黑体" w:eastAsia="黑体"/>
          <w:color w:val="000000" w:themeColor="text1"/>
          <w:szCs w:val="32"/>
          <w14:textFill>
            <w14:solidFill>
              <w14:schemeClr w14:val="tx1"/>
            </w14:solidFill>
          </w14:textFill>
        </w:rPr>
        <w:t>经费财政拨款预算安排情况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eastAsia="方正小标宋简体"/>
          <w:color w:val="000000" w:themeColor="text1"/>
          <w:szCs w:val="44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20"/>
        <w:tabs>
          <w:tab w:val="right" w:leader="dot" w:pos="8844"/>
        </w:tabs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eastAsia="方正小标宋简体"/>
          <w:color w:val="000000" w:themeColor="text1"/>
          <w:szCs w:val="4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eastAsia="方正小标宋简体"/>
          <w:color w:val="000000" w:themeColor="text1"/>
          <w:szCs w:val="44"/>
          <w14:textFill>
            <w14:solidFill>
              <w14:schemeClr w14:val="tx1"/>
            </w14:solidFill>
          </w14:textFill>
        </w:rPr>
        <w:instrText xml:space="preserve"> HYPERLINK \l _Toc29415 </w:instrText>
      </w:r>
      <w:r>
        <w:rPr>
          <w:rFonts w:eastAsia="方正小标宋简体"/>
          <w:color w:val="000000" w:themeColor="text1"/>
          <w:szCs w:val="4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eastAsia="楷体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楷体" w:hAnsi="楷体" w:eastAsia="楷体" w:cs="楷体"/>
          <w:color w:val="000000" w:themeColor="text1"/>
          <w:szCs w:val="32"/>
          <w14:textFill>
            <w14:solidFill>
              <w14:schemeClr w14:val="tx1"/>
            </w14:solidFill>
          </w14:textFill>
        </w:rPr>
        <w:t>因公出国（境）经费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eastAsia="方正小标宋简体"/>
          <w:color w:val="000000" w:themeColor="text1"/>
          <w:szCs w:val="44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20"/>
        <w:tabs>
          <w:tab w:val="right" w:leader="dot" w:pos="8844"/>
        </w:tabs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eastAsia="方正小标宋简体"/>
          <w:color w:val="000000" w:themeColor="text1"/>
          <w:szCs w:val="4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eastAsia="方正小标宋简体"/>
          <w:color w:val="000000" w:themeColor="text1"/>
          <w:szCs w:val="44"/>
          <w14:textFill>
            <w14:solidFill>
              <w14:schemeClr w14:val="tx1"/>
            </w14:solidFill>
          </w14:textFill>
        </w:rPr>
        <w:instrText xml:space="preserve"> HYPERLINK \l _Toc7222 </w:instrText>
      </w:r>
      <w:r>
        <w:rPr>
          <w:rFonts w:eastAsia="方正小标宋简体"/>
          <w:color w:val="000000" w:themeColor="text1"/>
          <w:szCs w:val="4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eastAsia="楷体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楷体" w:hAnsi="楷体" w:eastAsia="楷体" w:cs="楷体"/>
          <w:color w:val="000000" w:themeColor="text1"/>
          <w:szCs w:val="32"/>
          <w14:textFill>
            <w14:solidFill>
              <w14:schemeClr w14:val="tx1"/>
            </w14:solidFill>
          </w14:textFill>
        </w:rPr>
        <w:t>公务接待费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eastAsia="方正小标宋简体"/>
          <w:color w:val="000000" w:themeColor="text1"/>
          <w:szCs w:val="44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20"/>
        <w:tabs>
          <w:tab w:val="right" w:leader="dot" w:pos="8844"/>
        </w:tabs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eastAsia="方正小标宋简体"/>
          <w:color w:val="000000" w:themeColor="text1"/>
          <w:szCs w:val="4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eastAsia="方正小标宋简体"/>
          <w:color w:val="000000" w:themeColor="text1"/>
          <w:szCs w:val="44"/>
          <w14:textFill>
            <w14:solidFill>
              <w14:schemeClr w14:val="tx1"/>
            </w14:solidFill>
          </w14:textFill>
        </w:rPr>
        <w:instrText xml:space="preserve"> HYPERLINK \l _Toc16350 </w:instrText>
      </w:r>
      <w:r>
        <w:rPr>
          <w:rFonts w:eastAsia="方正小标宋简体"/>
          <w:color w:val="000000" w:themeColor="text1"/>
          <w:szCs w:val="4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eastAsia="楷体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（三）</w:t>
      </w:r>
      <w:r>
        <w:rPr>
          <w:rFonts w:hint="eastAsia" w:ascii="楷体" w:hAnsi="楷体" w:eastAsia="楷体" w:cs="楷体"/>
          <w:color w:val="000000" w:themeColor="text1"/>
          <w:szCs w:val="32"/>
          <w14:textFill>
            <w14:solidFill>
              <w14:schemeClr w14:val="tx1"/>
            </w14:solidFill>
          </w14:textFill>
        </w:rPr>
        <w:t>公务用车购置及运行维护费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eastAsia="方正小标宋简体"/>
          <w:color w:val="000000" w:themeColor="text1"/>
          <w:szCs w:val="44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19"/>
        <w:tabs>
          <w:tab w:val="right" w:leader="dot" w:pos="8844"/>
        </w:tabs>
        <w:rPr>
          <w:rFonts w:eastAsia="方正小标宋简体"/>
          <w:color w:val="000000" w:themeColor="text1"/>
          <w:szCs w:val="44"/>
          <w14:textFill>
            <w14:solidFill>
              <w14:schemeClr w14:val="tx1"/>
            </w14:solidFill>
          </w14:textFill>
        </w:rPr>
      </w:pPr>
      <w:r>
        <w:rPr>
          <w:rFonts w:eastAsia="方正小标宋简体"/>
          <w:color w:val="000000" w:themeColor="text1"/>
          <w:szCs w:val="4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eastAsia="方正小标宋简体"/>
          <w:color w:val="000000" w:themeColor="text1"/>
          <w:szCs w:val="44"/>
          <w14:textFill>
            <w14:solidFill>
              <w14:schemeClr w14:val="tx1"/>
            </w14:solidFill>
          </w14:textFill>
        </w:rPr>
        <w:instrText xml:space="preserve"> HYPERLINK \l _Toc3929 </w:instrText>
      </w:r>
      <w:r>
        <w:rPr>
          <w:rFonts w:eastAsia="方正小标宋简体"/>
          <w:color w:val="000000" w:themeColor="text1"/>
          <w:szCs w:val="4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hAnsi="黑体" w:eastAsia="黑体"/>
          <w:color w:val="000000" w:themeColor="text1"/>
          <w:szCs w:val="32"/>
          <w14:textFill>
            <w14:solidFill>
              <w14:schemeClr w14:val="tx1"/>
            </w14:solidFill>
          </w14:textFill>
        </w:rPr>
        <w:t>七、</w:t>
      </w:r>
      <w:r>
        <w:rPr>
          <w:rFonts w:hint="eastAsia" w:hAnsi="黑体" w:eastAsia="黑体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非财政拨款预算安排“三公”经费情况说明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eastAsia="方正小标宋简体"/>
          <w:color w:val="000000" w:themeColor="text1"/>
          <w:szCs w:val="44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19"/>
        <w:tabs>
          <w:tab w:val="right" w:leader="dot" w:pos="8844"/>
        </w:tabs>
        <w:rPr>
          <w:rFonts w:hint="eastAsia" w:ascii="Times New Roman" w:hAnsi="Times New Roman" w:eastAsia="方正小标宋简体" w:cs="Times New Roman"/>
          <w:color w:val="000000" w:themeColor="text1"/>
          <w:sz w:val="20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方正小标宋简体"/>
          <w:color w:val="000000" w:themeColor="text1"/>
          <w:szCs w:val="44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楷体_GB2312" w:hAnsi="楷体_GB2312" w:eastAsia="楷体_GB2312" w:cs="楷体_GB2312"/>
          <w:color w:val="000000" w:themeColor="text1"/>
          <w:sz w:val="20"/>
          <w:szCs w:val="44"/>
          <w:lang w:val="en-US"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楷体" w:hAnsi="楷体" w:eastAsia="楷体" w:cs="楷体"/>
          <w:color w:val="000000" w:themeColor="text1"/>
          <w:sz w:val="20"/>
          <w:szCs w:val="44"/>
          <w:lang w:val="en-US" w:eastAsia="zh-CN"/>
          <w14:textFill>
            <w14:solidFill>
              <w14:schemeClr w14:val="tx1"/>
            </w14:solidFill>
          </w14:textFill>
        </w:rPr>
        <w:t>非财政拨款安排公务接待费情况说明</w:t>
      </w:r>
      <w:r>
        <w:rPr>
          <w:rFonts w:ascii="Times New Roman" w:hAnsi="Times New Roman" w:eastAsia="方正小标宋简体" w:cs="Times New Roman"/>
          <w:color w:val="000000" w:themeColor="text1"/>
          <w:sz w:val="20"/>
          <w:szCs w:val="44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方正小标宋简体" w:cs="Times New Roman"/>
          <w:color w:val="000000" w:themeColor="text1"/>
          <w:sz w:val="20"/>
          <w:szCs w:val="44"/>
          <w:lang w:val="en-US" w:eastAsia="zh-CN"/>
          <w14:textFill>
            <w14:solidFill>
              <w14:schemeClr w14:val="tx1"/>
            </w14:solidFill>
          </w14:textFill>
        </w:rPr>
        <w:t>9</w:t>
      </w:r>
    </w:p>
    <w:p>
      <w:pPr>
        <w:pStyle w:val="20"/>
        <w:tabs>
          <w:tab w:val="right" w:leader="dot" w:pos="8844"/>
        </w:tabs>
        <w:rPr>
          <w:rFonts w:hint="eastAsia" w:eastAsia="方正小标宋简体"/>
          <w:color w:val="000000" w:themeColor="text1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Cs w:val="44"/>
          <w:lang w:eastAsia="zh-CN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楷体" w:hAnsi="楷体" w:eastAsia="楷体" w:cs="楷体"/>
          <w:color w:val="000000" w:themeColor="text1"/>
          <w:szCs w:val="44"/>
          <w:lang w:eastAsia="zh-CN"/>
          <w14:textFill>
            <w14:solidFill>
              <w14:schemeClr w14:val="tx1"/>
            </w14:solidFill>
          </w14:textFill>
        </w:rPr>
        <w:t>非财政拨款安排公务用车购置及运行维护费情况说明</w:t>
      </w:r>
      <w:r>
        <w:rPr>
          <w:rFonts w:eastAsia="方正小标宋简体"/>
          <w:color w:val="000000" w:themeColor="text1"/>
          <w:szCs w:val="44"/>
          <w14:textFill>
            <w14:solidFill>
              <w14:schemeClr w14:val="tx1"/>
            </w14:solidFill>
          </w14:textFill>
        </w:rPr>
        <w:tab/>
      </w:r>
      <w:r>
        <w:rPr>
          <w:rFonts w:hint="eastAsia" w:eastAsia="方正小标宋简体"/>
          <w:color w:val="000000" w:themeColor="text1"/>
          <w:szCs w:val="44"/>
          <w:lang w:val="en-US" w:eastAsia="zh-CN"/>
          <w14:textFill>
            <w14:solidFill>
              <w14:schemeClr w14:val="tx1"/>
            </w14:solidFill>
          </w14:textFill>
        </w:rPr>
        <w:t>9</w:t>
      </w:r>
    </w:p>
    <w:p>
      <w:pPr>
        <w:pStyle w:val="19"/>
        <w:tabs>
          <w:tab w:val="right" w:leader="dot" w:pos="8844"/>
        </w:tabs>
        <w:rPr>
          <w:rFonts w:hint="eastAsia" w:eastAsia="方正小标宋简体"/>
          <w:color w:val="000000" w:themeColor="text1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eastAsia="方正小标宋简体"/>
          <w:color w:val="000000" w:themeColor="text1"/>
          <w:szCs w:val="4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eastAsia="方正小标宋简体"/>
          <w:color w:val="000000" w:themeColor="text1"/>
          <w:szCs w:val="44"/>
          <w14:textFill>
            <w14:solidFill>
              <w14:schemeClr w14:val="tx1"/>
            </w14:solidFill>
          </w14:textFill>
        </w:rPr>
        <w:instrText xml:space="preserve"> HYPERLINK \l _Toc26114 </w:instrText>
      </w:r>
      <w:r>
        <w:rPr>
          <w:rFonts w:eastAsia="方正小标宋简体"/>
          <w:color w:val="000000" w:themeColor="text1"/>
          <w:szCs w:val="4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Ansi="黑体" w:eastAsia="黑体"/>
          <w:color w:val="000000" w:themeColor="text1"/>
          <w:szCs w:val="32"/>
          <w14:textFill>
            <w14:solidFill>
              <w14:schemeClr w14:val="tx1"/>
            </w14:solidFill>
          </w14:textFill>
        </w:rPr>
        <w:t>八、</w:t>
      </w:r>
      <w:r>
        <w:rPr>
          <w:rFonts w:hint="eastAsia" w:hAnsi="黑体" w:eastAsia="黑体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政府性基金预算支出情况说明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eastAsia="方正小标宋简体"/>
          <w:color w:val="000000" w:themeColor="text1"/>
          <w:szCs w:val="4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eastAsia="方正小标宋简体"/>
          <w:color w:val="000000" w:themeColor="text1"/>
          <w:szCs w:val="44"/>
          <w:lang w:val="en-US" w:eastAsia="zh-CN"/>
          <w14:textFill>
            <w14:solidFill>
              <w14:schemeClr w14:val="tx1"/>
            </w14:solidFill>
          </w14:textFill>
        </w:rPr>
        <w:t>0</w:t>
      </w:r>
    </w:p>
    <w:p>
      <w:pPr>
        <w:pStyle w:val="19"/>
        <w:tabs>
          <w:tab w:val="right" w:leader="dot" w:pos="8844"/>
        </w:tabs>
        <w:rPr>
          <w:rFonts w:hint="default" w:eastAsia="方正小标宋简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eastAsia="方正小标宋简体"/>
          <w:color w:val="000000" w:themeColor="text1"/>
          <w:szCs w:val="4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eastAsia="方正小标宋简体"/>
          <w:color w:val="000000" w:themeColor="text1"/>
          <w:szCs w:val="44"/>
          <w14:textFill>
            <w14:solidFill>
              <w14:schemeClr w14:val="tx1"/>
            </w14:solidFill>
          </w14:textFill>
        </w:rPr>
        <w:instrText xml:space="preserve"> HYPERLINK \l _Toc26114 </w:instrText>
      </w:r>
      <w:r>
        <w:rPr>
          <w:rFonts w:eastAsia="方正小标宋简体"/>
          <w:color w:val="000000" w:themeColor="text1"/>
          <w:szCs w:val="4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hAnsi="黑体" w:eastAsia="黑体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九</w:t>
      </w:r>
      <w:r>
        <w:rPr>
          <w:rFonts w:hAnsi="黑体" w:eastAsia="黑体"/>
          <w:color w:val="000000" w:themeColor="text1"/>
          <w:szCs w:val="32"/>
          <w14:textFill>
            <w14:solidFill>
              <w14:schemeClr w14:val="tx1"/>
            </w14:solidFill>
          </w14:textFill>
        </w:rPr>
        <w:t>、国有资本经营预算支出情况说明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eastAsia="方正小标宋简体"/>
          <w:color w:val="000000" w:themeColor="text1"/>
          <w:szCs w:val="4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eastAsia="方正小标宋简体"/>
          <w:color w:val="000000" w:themeColor="text1"/>
          <w:szCs w:val="44"/>
          <w:lang w:val="en-US" w:eastAsia="zh-CN"/>
          <w14:textFill>
            <w14:solidFill>
              <w14:schemeClr w14:val="tx1"/>
            </w14:solidFill>
          </w14:textFill>
        </w:rPr>
        <w:t>10</w:t>
      </w:r>
    </w:p>
    <w:p>
      <w:pPr>
        <w:pStyle w:val="19"/>
        <w:tabs>
          <w:tab w:val="right" w:leader="dot" w:pos="8844"/>
        </w:tabs>
        <w:rPr>
          <w:rFonts w:hint="eastAsia" w:eastAsia="方正小标宋简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eastAsia="方正小标宋简体"/>
          <w:color w:val="000000" w:themeColor="text1"/>
          <w:szCs w:val="4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eastAsia="方正小标宋简体"/>
          <w:color w:val="000000" w:themeColor="text1"/>
          <w:szCs w:val="44"/>
          <w14:textFill>
            <w14:solidFill>
              <w14:schemeClr w14:val="tx1"/>
            </w14:solidFill>
          </w14:textFill>
        </w:rPr>
        <w:instrText xml:space="preserve"> HYPERLINK \l _Toc30061 </w:instrText>
      </w:r>
      <w:r>
        <w:rPr>
          <w:rFonts w:eastAsia="方正小标宋简体"/>
          <w:color w:val="000000" w:themeColor="text1"/>
          <w:szCs w:val="4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hAnsi="黑体" w:eastAsia="黑体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十</w:t>
      </w:r>
      <w:r>
        <w:rPr>
          <w:rFonts w:hAnsi="黑体" w:eastAsia="黑体"/>
          <w:color w:val="000000" w:themeColor="text1"/>
          <w:szCs w:val="32"/>
          <w14:textFill>
            <w14:solidFill>
              <w14:schemeClr w14:val="tx1"/>
            </w14:solidFill>
          </w14:textFill>
        </w:rPr>
        <w:t>、其他重要事项的情况说明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eastAsia="方正小标宋简体"/>
          <w:color w:val="000000" w:themeColor="text1"/>
          <w:szCs w:val="4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eastAsia="方正小标宋简体"/>
          <w:color w:val="000000" w:themeColor="text1"/>
          <w:szCs w:val="44"/>
          <w:lang w:val="en-US" w:eastAsia="zh-CN"/>
          <w14:textFill>
            <w14:solidFill>
              <w14:schemeClr w14:val="tx1"/>
            </w14:solidFill>
          </w14:textFill>
        </w:rPr>
        <w:t>0</w:t>
      </w:r>
    </w:p>
    <w:p>
      <w:pPr>
        <w:pStyle w:val="20"/>
        <w:tabs>
          <w:tab w:val="right" w:leader="dot" w:pos="8844"/>
        </w:tabs>
        <w:rPr>
          <w:rFonts w:hint="default" w:eastAsia="方正小标宋简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eastAsia="方正小标宋简体"/>
          <w:color w:val="000000" w:themeColor="text1"/>
          <w:szCs w:val="4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eastAsia="方正小标宋简体"/>
          <w:color w:val="000000" w:themeColor="text1"/>
          <w:szCs w:val="44"/>
          <w14:textFill>
            <w14:solidFill>
              <w14:schemeClr w14:val="tx1"/>
            </w14:solidFill>
          </w14:textFill>
        </w:rPr>
        <w:instrText xml:space="preserve"> HYPERLINK \l _Toc9452 </w:instrText>
      </w:r>
      <w:r>
        <w:rPr>
          <w:rFonts w:eastAsia="方正小标宋简体"/>
          <w:color w:val="000000" w:themeColor="text1"/>
          <w:szCs w:val="4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楷体_GB2312" w:hAnsi="黑体" w:eastAsia="楷体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楷体" w:hAnsi="楷体" w:eastAsia="楷体" w:cs="楷体"/>
          <w:color w:val="000000" w:themeColor="text1"/>
          <w:szCs w:val="32"/>
          <w14:textFill>
            <w14:solidFill>
              <w14:schemeClr w14:val="tx1"/>
            </w14:solidFill>
          </w14:textFill>
        </w:rPr>
        <w:t>业务运行经费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eastAsia="方正小标宋简体"/>
          <w:color w:val="000000" w:themeColor="text1"/>
          <w:szCs w:val="4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eastAsia="方正小标宋简体"/>
          <w:color w:val="000000" w:themeColor="text1"/>
          <w:szCs w:val="44"/>
          <w:lang w:val="en-US" w:eastAsia="zh-CN"/>
          <w14:textFill>
            <w14:solidFill>
              <w14:schemeClr w14:val="tx1"/>
            </w14:solidFill>
          </w14:textFill>
        </w:rPr>
        <w:t>10</w:t>
      </w:r>
    </w:p>
    <w:p>
      <w:pPr>
        <w:pStyle w:val="20"/>
        <w:keepNext w:val="0"/>
        <w:keepLines w:val="0"/>
        <w:pageBreakBefore w:val="0"/>
        <w:widowControl/>
        <w:tabs>
          <w:tab w:val="right" w:leader="dot" w:pos="8844"/>
        </w:tabs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eastAsia="方正小标宋简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eastAsia="方正小标宋简体"/>
          <w:color w:val="000000" w:themeColor="text1"/>
          <w:szCs w:val="4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eastAsia="方正小标宋简体"/>
          <w:color w:val="000000" w:themeColor="text1"/>
          <w:szCs w:val="44"/>
          <w14:textFill>
            <w14:solidFill>
              <w14:schemeClr w14:val="tx1"/>
            </w14:solidFill>
          </w14:textFill>
        </w:rPr>
        <w:instrText xml:space="preserve"> HYPERLINK \l _Toc30045 </w:instrText>
      </w:r>
      <w:r>
        <w:rPr>
          <w:rFonts w:eastAsia="方正小标宋简体"/>
          <w:color w:val="000000" w:themeColor="text1"/>
          <w:szCs w:val="4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ascii="楷体_GB2312" w:hAnsi="黑体" w:eastAsia="楷体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楷体" w:hAnsi="楷体" w:eastAsia="楷体" w:cs="楷体"/>
          <w:color w:val="000000" w:themeColor="text1"/>
          <w:szCs w:val="32"/>
          <w14:textFill>
            <w14:solidFill>
              <w14:schemeClr w14:val="tx1"/>
            </w14:solidFill>
          </w14:textFill>
        </w:rPr>
        <w:t>国有资产占有使用情况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eastAsia="方正小标宋简体"/>
          <w:color w:val="000000" w:themeColor="text1"/>
          <w:szCs w:val="4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eastAsia="方正小标宋简体"/>
          <w:color w:val="000000" w:themeColor="text1"/>
          <w:szCs w:val="44"/>
          <w:lang w:val="en-US" w:eastAsia="zh-CN"/>
          <w14:textFill>
            <w14:solidFill>
              <w14:schemeClr w14:val="tx1"/>
            </w14:solidFill>
          </w14:textFill>
        </w:rPr>
        <w:t>0</w:t>
      </w:r>
    </w:p>
    <w:p>
      <w:pPr>
        <w:pStyle w:val="20"/>
        <w:tabs>
          <w:tab w:val="right" w:leader="dot" w:pos="8844"/>
        </w:tabs>
        <w:rPr>
          <w:rFonts w:hint="eastAsia" w:eastAsia="方正小标宋简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eastAsia="方正小标宋简体"/>
          <w:color w:val="000000" w:themeColor="text1"/>
          <w:szCs w:val="4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eastAsia="方正小标宋简体"/>
          <w:color w:val="000000" w:themeColor="text1"/>
          <w:szCs w:val="44"/>
          <w14:textFill>
            <w14:solidFill>
              <w14:schemeClr w14:val="tx1"/>
            </w14:solidFill>
          </w14:textFill>
        </w:rPr>
        <w:instrText xml:space="preserve"> HYPERLINK \l _Toc16045 </w:instrText>
      </w:r>
      <w:r>
        <w:rPr>
          <w:rFonts w:eastAsia="方正小标宋简体"/>
          <w:color w:val="000000" w:themeColor="text1"/>
          <w:szCs w:val="4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ascii="楷体_GB2312" w:hAnsi="黑体" w:eastAsia="楷体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（三）</w:t>
      </w:r>
      <w:r>
        <w:rPr>
          <w:rFonts w:hint="eastAsia" w:ascii="楷体" w:hAnsi="楷体" w:eastAsia="楷体" w:cs="楷体"/>
          <w:color w:val="000000" w:themeColor="text1"/>
          <w:szCs w:val="32"/>
          <w14:textFill>
            <w14:solidFill>
              <w14:schemeClr w14:val="tx1"/>
            </w14:solidFill>
          </w14:textFill>
        </w:rPr>
        <w:t>政府采购情况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eastAsia="方正小标宋简体"/>
          <w:color w:val="000000" w:themeColor="text1"/>
          <w:szCs w:val="4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eastAsia="方正小标宋简体"/>
          <w:color w:val="000000" w:themeColor="text1"/>
          <w:szCs w:val="44"/>
          <w:lang w:val="en-US" w:eastAsia="zh-CN"/>
          <w14:textFill>
            <w14:solidFill>
              <w14:schemeClr w14:val="tx1"/>
            </w14:solidFill>
          </w14:textFill>
        </w:rPr>
        <w:t>0</w:t>
      </w:r>
    </w:p>
    <w:p>
      <w:pPr>
        <w:pStyle w:val="20"/>
        <w:tabs>
          <w:tab w:val="right" w:leader="dot" w:pos="8844"/>
        </w:tabs>
        <w:rPr>
          <w:rFonts w:hint="eastAsia" w:eastAsia="方正小标宋简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eastAsia="方正小标宋简体"/>
          <w:color w:val="000000" w:themeColor="text1"/>
          <w:szCs w:val="4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eastAsia="方正小标宋简体"/>
          <w:color w:val="000000" w:themeColor="text1"/>
          <w:szCs w:val="44"/>
          <w14:textFill>
            <w14:solidFill>
              <w14:schemeClr w14:val="tx1"/>
            </w14:solidFill>
          </w14:textFill>
        </w:rPr>
        <w:instrText xml:space="preserve"> HYPERLINK \l _Toc27782 </w:instrText>
      </w:r>
      <w:r>
        <w:rPr>
          <w:rFonts w:eastAsia="方正小标宋简体"/>
          <w:color w:val="000000" w:themeColor="text1"/>
          <w:szCs w:val="4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ascii="楷体_GB2312" w:hAnsi="黑体" w:eastAsia="楷体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（四）</w:t>
      </w:r>
      <w:r>
        <w:rPr>
          <w:rFonts w:hint="eastAsia" w:ascii="楷体" w:hAnsi="楷体" w:eastAsia="楷体" w:cs="楷体"/>
          <w:color w:val="000000" w:themeColor="text1"/>
          <w:szCs w:val="32"/>
          <w14:textFill>
            <w14:solidFill>
              <w14:schemeClr w14:val="tx1"/>
            </w14:solidFill>
          </w14:textFill>
        </w:rPr>
        <w:t>绩效目标设置情况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eastAsia="方正小标宋简体"/>
          <w:color w:val="000000" w:themeColor="text1"/>
          <w:szCs w:val="4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eastAsia="方正小标宋简体"/>
          <w:color w:val="000000" w:themeColor="text1"/>
          <w:szCs w:val="44"/>
          <w:lang w:val="en-US" w:eastAsia="zh-CN"/>
          <w14:textFill>
            <w14:solidFill>
              <w14:schemeClr w14:val="tx1"/>
            </w14:solidFill>
          </w14:textFill>
        </w:rPr>
        <w:t>0</w:t>
      </w:r>
    </w:p>
    <w:p>
      <w:pPr>
        <w:widowControl/>
        <w:shd w:val="clear" w:color="auto" w:fill="FFFFFF"/>
        <w:spacing w:before="525" w:after="375"/>
        <w:jc w:val="center"/>
        <w:outlineLvl w:val="0"/>
        <w:rPr>
          <w:rFonts w:hint="eastAsia" w:ascii="微软雅黑" w:hAnsi="微软雅黑" w:eastAsia="微软雅黑" w:cs="宋体"/>
          <w:color w:val="000000" w:themeColor="text1"/>
          <w:kern w:val="36"/>
          <w:sz w:val="45"/>
          <w:szCs w:val="45"/>
          <w14:textFill>
            <w14:solidFill>
              <w14:schemeClr w14:val="tx1"/>
            </w14:solidFill>
          </w14:textFill>
        </w:rPr>
      </w:pPr>
      <w:r>
        <w:rPr>
          <w:rFonts w:eastAsia="方正小标宋简体"/>
          <w:color w:val="000000" w:themeColor="text1"/>
          <w:szCs w:val="44"/>
          <w14:textFill>
            <w14:solidFill>
              <w14:schemeClr w14:val="tx1"/>
            </w14:solidFill>
          </w14:textFill>
        </w:rPr>
        <w:fldChar w:fldCharType="end"/>
      </w:r>
    </w:p>
    <w:p>
      <w:pPr>
        <w:widowControl/>
        <w:shd w:val="clear" w:color="auto" w:fill="FFFFFF"/>
        <w:spacing w:before="255" w:after="255" w:line="560" w:lineRule="atLeast"/>
        <w:ind w:firstLine="640"/>
        <w:jc w:val="left"/>
        <w:rPr>
          <w:rFonts w:ascii="Times New Roman" w:hAnsi="Times New Roman" w:eastAsia="宋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before="255" w:after="255" w:line="560" w:lineRule="atLeast"/>
        <w:ind w:firstLine="640"/>
        <w:jc w:val="left"/>
        <w:rPr>
          <w:rFonts w:ascii="Times New Roman" w:hAnsi="Times New Roman" w:eastAsia="宋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firstLine="640" w:firstLineChars="200"/>
        <w:jc w:val="left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spacing w:line="560" w:lineRule="exact"/>
        <w:ind w:firstLine="640" w:firstLineChars="200"/>
        <w:jc w:val="left"/>
        <w:rPr>
          <w:rFonts w:eastAsia="仿宋_GB2312"/>
          <w:b/>
          <w:color w:val="FF0000"/>
          <w:sz w:val="32"/>
          <w:szCs w:val="32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2025</w:t>
      </w:r>
      <w:r>
        <w:rPr>
          <w:rFonts w:eastAsia="仿宋_GB2312"/>
          <w:bCs/>
          <w:sz w:val="32"/>
          <w:szCs w:val="32"/>
        </w:rPr>
        <w:t>年部门预算经区第十</w:t>
      </w:r>
      <w:r>
        <w:rPr>
          <w:rFonts w:hint="eastAsia" w:eastAsia="仿宋_GB2312"/>
          <w:bCs/>
          <w:sz w:val="32"/>
          <w:szCs w:val="32"/>
          <w:lang w:eastAsia="zh-CN"/>
        </w:rPr>
        <w:t>三</w:t>
      </w:r>
      <w:r>
        <w:rPr>
          <w:rFonts w:eastAsia="仿宋_GB2312"/>
          <w:bCs/>
          <w:sz w:val="32"/>
          <w:szCs w:val="32"/>
        </w:rPr>
        <w:t>届人民代表大会第</w:t>
      </w:r>
      <w:r>
        <w:rPr>
          <w:rFonts w:hint="eastAsia" w:eastAsia="仿宋_GB2312"/>
          <w:bCs/>
          <w:sz w:val="32"/>
          <w:szCs w:val="32"/>
          <w:lang w:eastAsia="zh-CN"/>
        </w:rPr>
        <w:t>五</w:t>
      </w:r>
      <w:r>
        <w:rPr>
          <w:rFonts w:eastAsia="仿宋_GB2312"/>
          <w:bCs/>
          <w:sz w:val="32"/>
          <w:szCs w:val="32"/>
        </w:rPr>
        <w:t>次会议审议通过，按照《预算法》</w:t>
      </w:r>
      <w:r>
        <w:rPr>
          <w:rFonts w:hint="eastAsia" w:eastAsia="仿宋_GB2312"/>
          <w:bCs/>
          <w:sz w:val="32"/>
          <w:szCs w:val="32"/>
        </w:rPr>
        <w:t>及《预算法实施条例》</w:t>
      </w:r>
      <w:r>
        <w:rPr>
          <w:rFonts w:eastAsia="仿宋_GB2312"/>
          <w:bCs/>
          <w:sz w:val="32"/>
          <w:szCs w:val="32"/>
        </w:rPr>
        <w:t>要求，现将我单位</w:t>
      </w:r>
      <w:r>
        <w:rPr>
          <w:rFonts w:hint="eastAsia" w:eastAsia="仿宋_GB2312"/>
          <w:bCs/>
          <w:sz w:val="32"/>
          <w:szCs w:val="32"/>
          <w:lang w:eastAsia="zh-CN"/>
        </w:rPr>
        <w:t>2025</w:t>
      </w:r>
      <w:r>
        <w:rPr>
          <w:rFonts w:eastAsia="仿宋_GB2312"/>
          <w:bCs/>
          <w:sz w:val="32"/>
          <w:szCs w:val="32"/>
        </w:rPr>
        <w:t>年部门预算说明如下: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afterAutospacing="0" w:line="520" w:lineRule="exact"/>
        <w:ind w:firstLine="640"/>
        <w:jc w:val="left"/>
        <w:textAlignment w:val="auto"/>
        <w:rPr>
          <w:rFonts w:hint="eastAsia" w:ascii="黑体" w:hAnsi="黑体" w:eastAsia="黑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一、基本职能及主要工作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Autospacing="0" w:line="520" w:lineRule="exact"/>
        <w:ind w:firstLine="672" w:firstLineChars="210"/>
        <w:textAlignment w:val="auto"/>
        <w:rPr>
          <w:rFonts w:ascii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（一）职能简介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Autospacing="0" w:line="520" w:lineRule="exact"/>
        <w:ind w:firstLine="672" w:firstLineChars="210"/>
        <w:textAlignment w:val="auto"/>
        <w:rPr>
          <w:rFonts w:hint="eastAsia" w:ascii="Times New Roman" w:eastAsia="仿宋_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攀枝花市</w:t>
      </w:r>
      <w:r>
        <w:rPr>
          <w:rFonts w:hint="eastAsia" w:ascii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仁和区</w:t>
      </w:r>
      <w:r>
        <w:rPr>
          <w:rFonts w:hint="eastAsia" w:ascii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太平乡</w:t>
      </w:r>
      <w:r>
        <w:rPr>
          <w:rFonts w:hint="eastAsia" w:ascii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卫生院坐落于仁和区</w:t>
      </w:r>
      <w:r>
        <w:rPr>
          <w:rFonts w:hint="eastAsia" w:ascii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太平乡花山村</w:t>
      </w:r>
      <w:r>
        <w:rPr>
          <w:rFonts w:hint="eastAsia" w:ascii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1组108</w:t>
      </w:r>
      <w:r>
        <w:rPr>
          <w:rFonts w:hint="eastAsia" w:ascii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号，我院属财政补助事业单位，设内科、外科、</w:t>
      </w:r>
      <w:r>
        <w:rPr>
          <w:rFonts w:hint="eastAsia" w:ascii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妇科、儿科、全科、</w:t>
      </w:r>
      <w:r>
        <w:rPr>
          <w:rFonts w:hint="eastAsia" w:ascii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中医科等科室。我单位核定编制</w:t>
      </w:r>
      <w:r>
        <w:rPr>
          <w:rFonts w:hint="eastAsia" w:ascii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13</w:t>
      </w:r>
      <w:r>
        <w:rPr>
          <w:rFonts w:hint="eastAsia" w:ascii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人，现有职工</w:t>
      </w:r>
      <w:r>
        <w:rPr>
          <w:rFonts w:hint="eastAsia" w:ascii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19</w:t>
      </w:r>
      <w:r>
        <w:rPr>
          <w:rFonts w:hint="eastAsia" w:ascii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人，其中在编</w:t>
      </w:r>
      <w:r>
        <w:rPr>
          <w:rFonts w:hint="eastAsia" w:ascii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</w:t>
      </w:r>
      <w:r>
        <w:rPr>
          <w:rFonts w:hint="eastAsia" w:ascii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临聘</w:t>
      </w:r>
      <w:r>
        <w:rPr>
          <w:rFonts w:hint="eastAsia" w:ascii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人；退休职工</w:t>
      </w:r>
      <w:r>
        <w:rPr>
          <w:rFonts w:hint="eastAsia" w:ascii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人。编制床位数</w:t>
      </w:r>
      <w:r>
        <w:rPr>
          <w:rFonts w:hint="eastAsia" w:ascii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张，</w:t>
      </w:r>
      <w:r>
        <w:rPr>
          <w:rFonts w:hint="eastAsia" w:ascii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实有床位数</w:t>
      </w:r>
      <w:r>
        <w:rPr>
          <w:rFonts w:hint="eastAsia" w:ascii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10张，</w:t>
      </w:r>
      <w:r>
        <w:rPr>
          <w:rFonts w:hint="eastAsia" w:ascii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主要承担辖区居民的基本医疗和公共卫生服务任务</w:t>
      </w:r>
      <w:r>
        <w:rPr>
          <w:rFonts w:hint="eastAsia" w:ascii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1、提供公共卫生服务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（1）承担本辖区农村居民健康档案规范建档指导、管理及服务。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（2）普及卫生保健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知识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，在重点人群和重点场所开展健康教育，帮助居民形成有利于维护和增进健康的行为方式;指导开展爱国卫生工作。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（3）提供并组织实施本辖区预防接种服务，落实国家免疫规划。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（4）及时发现、登记并报告本辖区内发现的传染病病例和疑似病例，参与现场疫情处理。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（5）开展新生儿访视及儿童保健系统管理，进行体格检查和生长发育监测及评价，开展健康指导。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（6）开展孕产妇保健系统管理和产后访视，进行一般体格检查及孕期营养、心理等健康指导。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（7）对本辖区65岁及以上老年人进行登记管理，免费进行每年一次健康体检，开展健康指导。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（8）对高血压、糖尿病等慢性病高危人群进行健康指导，对确诊高血压、糖尿病等慢性病病例进行登记管理、定期随访和健康指导。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（9）对本辖区重性精神疾病患者进行登记管理、治疗随访和康复指导。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（10）对本辖区结核病患者进行登记管理、治疗随访和康复指导。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（11）负责本辖区内突发公共卫生事件的报告并协助处理。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（12）做好卫生行政部门规定的其他公共卫生服务。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（13）做好本辖区内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法定传染病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防控。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2、提供基本医疗服务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（1）使用农村适宜医疗技术和中医药技术，正确处理常见病、多发病。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（2）健全消毒、隔离制度，遵守无菌操作规程，加强医疗质量管理。做好医疗废物处理和污水、污物无害化处理。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（3）执行国家基本药物制度药品集中采购、零差率销售等政策，实施一体化管理的村卫生室统一代购药品。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（4）提供政府卫生行政部门批准的其他适宜的医疗服务。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3、承担公共卫生管理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（1）对本辖区内传染病防治、学校卫生、食品卫生、饮水卫生、职业卫生，以及村级预防保健工作进行指导、培训、考核与监督。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（2）严格执行医保政策规定，履行定点医疗机构职责，做好有关的政策宣传、监督及服务工作。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（3）深入推进乡村卫生服务一体化管理，对村卫生室实行以行政、人员、业务、药品等规范管理;负责村卫生室的技术指导和乡村医生培训等工作。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4、卫生行政管理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（1）在当地政府和上级卫生行政部门领导下，依据当地社会经济发展规划，协助制定和实施社区的初级卫生规划。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（2）配合有关部门动员组织群众开展爱国卫生活动，逐步改善本本辖区卫生状况。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（3）贯彻执行国家各种卫生法规，对辖区内有关行业实行监督管理。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（4）负责本辖内村卫生室的管理和培训工作。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afterAutospacing="0"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2025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年重点工作任务介绍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afterAutospacing="0" w:line="520" w:lineRule="exact"/>
        <w:ind w:firstLine="672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1.基本医疗方面：加强医疗质量管理，保证医疗安全。争取门诊人次在202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基础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上增加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住院人次在2024年基础上增加3%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afterAutospacing="0" w:line="520" w:lineRule="exact"/>
        <w:ind w:firstLine="672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2.基本公共卫生工作方面：着力做好基本公共卫生工作。严格执行疫情监测、报告制度，突发重点疾病防控及突发公共卫生事件处置和救灾防病工作。抓好重点人群管理工作。高血压管理率达90%、糖尿病管理率达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0%、老年人管理率达90%、孕产妇管理率达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100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%、儿童管理率达9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%。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afterAutospacing="0" w:line="520" w:lineRule="exact"/>
        <w:ind w:firstLine="640"/>
        <w:jc w:val="left"/>
        <w:textAlignment w:val="auto"/>
        <w:rPr>
          <w:rFonts w:ascii="Arial" w:hAnsi="Arial" w:eastAsia="宋体" w:cs="Arial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二、基本情况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afterAutospacing="0" w:line="520" w:lineRule="exact"/>
        <w:ind w:firstLine="672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（一）单位构成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afterAutospacing="0" w:line="520" w:lineRule="exact"/>
        <w:ind w:firstLine="672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仁和区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太平乡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卫生院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2025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年度部门预算编报的单位共1个。无下属二级单位。其中：行政单位0个，事业单位1个，其他单位0个。属财政全额补助事业单位，主管部门攀枝花市仁和区卫生健康局。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afterAutospacing="0" w:line="520" w:lineRule="exact"/>
        <w:ind w:firstLine="672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（二）单位人员编制、实有人数情况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afterAutospacing="0" w:line="520" w:lineRule="exact"/>
        <w:ind w:firstLine="672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我单位人员编制数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人，实际在编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人，实有人数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19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（在编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12人、临聘7人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。内设机构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个（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办公室、全科医疗科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公共卫生科、中医科、护理部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）。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afterAutospacing="0" w:line="520" w:lineRule="exact"/>
        <w:ind w:firstLine="672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（三）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固定资产情况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afterAutospacing="0" w:line="52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卫生院占地面积约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2902.7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m2，其中现有业务用房面积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1850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余m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vertAlign w:val="superscript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，现设科室为：临床、护理、公卫、城乡医保等科室，固定资产总值达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412.86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万元，卫生院现有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心电图机、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低频电子脉冲治疗仪等设备。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afterAutospacing="0" w:line="520" w:lineRule="exact"/>
        <w:ind w:firstLine="672"/>
        <w:jc w:val="left"/>
        <w:textAlignment w:val="auto"/>
        <w:rPr>
          <w:rFonts w:hint="eastAsia" w:ascii="Arial" w:hAnsi="Arial" w:eastAsia="仿宋_GB2312" w:cs="Arial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我单位车辆编制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1辆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其中一般公务用车一辆，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车牌号：川D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J7306（型号：猎豹CFA6470L3）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车辆类型为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越野车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主要用</w:t>
      </w:r>
      <w:r>
        <w:rPr>
          <w:rFonts w:hint="eastAsia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于卫生院基本公共卫生服务下乡体检、健康宣传、入户随访、贫困人口健康体检、</w:t>
      </w:r>
      <w:r>
        <w:rPr>
          <w:rFonts w:hint="eastAsia" w:eastAsia="仿宋_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疫情防控</w:t>
      </w:r>
      <w:r>
        <w:rPr>
          <w:rFonts w:hint="eastAsia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及医疗用品运送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afterAutospacing="0" w:line="520" w:lineRule="exact"/>
        <w:ind w:firstLine="640"/>
        <w:jc w:val="left"/>
        <w:textAlignment w:val="auto"/>
        <w:rPr>
          <w:rFonts w:ascii="Arial" w:hAnsi="Arial" w:eastAsia="宋体" w:cs="Arial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三、收支预算总体情况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afterAutospacing="0" w:line="520" w:lineRule="exact"/>
        <w:ind w:firstLine="640"/>
        <w:jc w:val="left"/>
        <w:textAlignment w:val="auto"/>
        <w:rPr>
          <w:rFonts w:ascii="Arial" w:hAnsi="Arial" w:eastAsia="宋体" w:cs="Arial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按照综合预算的原则，攀枝花市仁和区</w:t>
      </w:r>
      <w:r>
        <w:rPr>
          <w:rFonts w:hint="eastAsia" w:ascii="仿宋_GB2312" w:hAnsi="Arial" w:eastAsia="仿宋_GB2312" w:cs="Arial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太平乡卫生院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所有收入和支出均纳入部门预算管理。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2025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年攀枝花市仁和区</w:t>
      </w:r>
      <w:r>
        <w:rPr>
          <w:rFonts w:hint="eastAsia" w:ascii="仿宋_GB2312" w:hAnsi="Arial" w:eastAsia="仿宋_GB2312" w:cs="Arial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太平乡卫生院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收入预算总额为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148.41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万元，其中：一般公共预算拨款收入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148.41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万元、政府性基金预算拨款收入</w:t>
      </w:r>
      <w:r>
        <w:rPr>
          <w:rFonts w:hint="eastAsia" w:ascii="仿宋_GB2312" w:hAnsi="Arial" w:eastAsia="仿宋_GB2312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万元、国有资本经营预算拨款收入</w:t>
      </w:r>
      <w:r>
        <w:rPr>
          <w:rFonts w:hint="eastAsia" w:ascii="仿宋_GB2312" w:hAnsi="Arial" w:eastAsia="仿宋_GB2312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万元、上年结转收入0万元、事业收入</w:t>
      </w:r>
      <w:r>
        <w:rPr>
          <w:rFonts w:hint="eastAsia" w:ascii="仿宋_GB2312" w:hAnsi="Arial" w:eastAsia="仿宋_GB2312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万元、事业单位经营收入</w:t>
      </w:r>
      <w:r>
        <w:rPr>
          <w:rFonts w:hint="eastAsia" w:ascii="仿宋_GB2312" w:hAnsi="Arial" w:eastAsia="仿宋_GB2312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0万元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；相应安排支出预算</w:t>
      </w:r>
      <w:r>
        <w:rPr>
          <w:rFonts w:hint="eastAsia" w:ascii="仿宋_GB2312" w:hAnsi="Arial" w:eastAsia="仿宋_GB2312" w:cs="Arial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148.41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万元，其中：工资福利支出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143.80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万元，日常公用支出</w:t>
      </w:r>
      <w:r>
        <w:rPr>
          <w:rFonts w:hint="eastAsia" w:ascii="仿宋_GB2312" w:hAnsi="Arial" w:eastAsia="仿宋_GB2312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万元，对个人和家庭的补助支出</w:t>
      </w:r>
      <w:r>
        <w:rPr>
          <w:rFonts w:hint="eastAsia" w:ascii="仿宋_GB2312" w:hAnsi="Arial" w:eastAsia="仿宋_GB2312" w:cs="Arial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4.61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万元，项目支出0万元。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afterAutospacing="0" w:line="520" w:lineRule="exact"/>
        <w:ind w:firstLine="643"/>
        <w:jc w:val="left"/>
        <w:textAlignment w:val="auto"/>
        <w:rPr>
          <w:rFonts w:ascii="Arial" w:hAnsi="Arial" w:eastAsia="宋体" w:cs="Arial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bCs/>
          <w:color w:val="000000" w:themeColor="text1"/>
          <w:kern w:val="0"/>
          <w:sz w:val="32"/>
          <w14:textFill>
            <w14:solidFill>
              <w14:schemeClr w14:val="tx1"/>
            </w14:solidFill>
          </w14:textFill>
        </w:rPr>
        <w:t>（一）收入预算情况</w:t>
      </w:r>
    </w:p>
    <w:p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20" w:lineRule="exact"/>
        <w:ind w:left="319" w:leftChars="152" w:firstLine="320" w:firstLineChars="100"/>
        <w:textAlignment w:val="auto"/>
        <w:rPr>
          <w:rFonts w:ascii="Arial" w:hAnsi="Arial" w:cs="Arial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Arial" w:eastAsia="仿宋_GB2312" w:cs="Arial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攀枝花市仁和区</w:t>
      </w:r>
      <w:r>
        <w:rPr>
          <w:rFonts w:hint="eastAsia" w:ascii="仿宋_GB2312" w:hAnsi="Arial" w:eastAsia="仿宋_GB2312" w:cs="Arial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太平乡卫生院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2025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年收入预算</w:t>
      </w:r>
      <w:r>
        <w:rPr>
          <w:rFonts w:hint="eastAsia" w:ascii="仿宋_GB2312" w:hAnsi="Arial" w:eastAsia="仿宋_GB2312" w:cs="Arial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148.41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其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中：本年一般公共预算拨款收入</w:t>
      </w:r>
      <w:r>
        <w:rPr>
          <w:rFonts w:hint="eastAsia" w:ascii="仿宋_GB2312" w:hAnsi="Arial" w:eastAsia="仿宋_GB2312" w:cs="Arial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148.41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万元，占</w:t>
      </w:r>
      <w:r>
        <w:rPr>
          <w:rFonts w:hint="eastAsia" w:ascii="仿宋_GB2312" w:hAnsi="Arial" w:eastAsia="仿宋_GB2312" w:cs="Arial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100</w:t>
      </w:r>
      <w:r>
        <w:rPr>
          <w:rFonts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Times New Roman" w:hAnsi="Times New Roman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较202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年度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减少2.12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万元，主要变动原因为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人员变动，社保，公积金缴费基数下调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政府性基金预算拨款收入0万元，占0%；上年结转收入0万元,占0%。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afterAutospacing="0" w:line="520" w:lineRule="exact"/>
        <w:ind w:firstLine="643"/>
        <w:jc w:val="left"/>
        <w:textAlignment w:val="auto"/>
        <w:rPr>
          <w:rFonts w:ascii="Arial" w:hAnsi="Arial" w:eastAsia="宋体" w:cs="Arial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bCs/>
          <w:color w:val="000000" w:themeColor="text1"/>
          <w:kern w:val="0"/>
          <w:sz w:val="32"/>
          <w14:textFill>
            <w14:solidFill>
              <w14:schemeClr w14:val="tx1"/>
            </w14:solidFill>
          </w14:textFill>
        </w:rPr>
        <w:t>（二）支出预算情况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afterAutospacing="0" w:line="520" w:lineRule="exact"/>
        <w:ind w:firstLine="640"/>
        <w:jc w:val="left"/>
        <w:textAlignment w:val="auto"/>
        <w:rPr>
          <w:rFonts w:ascii="Arial" w:hAnsi="Arial" w:eastAsia="宋体" w:cs="Arial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Arial" w:eastAsia="仿宋_GB2312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攀枝花市仁和区</w:t>
      </w:r>
      <w:r>
        <w:rPr>
          <w:rFonts w:hint="eastAsia" w:ascii="仿宋_GB2312" w:hAnsi="Arial" w:eastAsia="仿宋_GB2312" w:cs="Arial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太平乡卫生院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2025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年支出预算</w:t>
      </w:r>
      <w:r>
        <w:rPr>
          <w:rFonts w:hint="eastAsia" w:ascii="仿宋_GB2312" w:hAnsi="Arial" w:eastAsia="仿宋_GB2312" w:cs="Arial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148.41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万元，其中：基本支出</w:t>
      </w:r>
      <w:r>
        <w:rPr>
          <w:rFonts w:hint="eastAsia" w:ascii="仿宋_GB2312" w:hAnsi="Arial" w:eastAsia="仿宋_GB2312" w:cs="Arial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148.41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万元，占</w:t>
      </w:r>
      <w:r>
        <w:rPr>
          <w:rFonts w:hint="eastAsia" w:ascii="仿宋_GB2312" w:hAnsi="Arial" w:eastAsia="仿宋_GB2312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100</w:t>
      </w:r>
      <w:r>
        <w:rPr>
          <w:rFonts w:ascii="Times New Roman" w:hAnsi="Times New Roman" w:eastAsia="宋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；项目支出0万元，占</w:t>
      </w:r>
      <w:r>
        <w:rPr>
          <w:rFonts w:hint="eastAsia" w:ascii="仿宋_GB2312" w:hAnsi="Arial" w:eastAsia="仿宋_GB2312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0</w:t>
      </w:r>
      <w:r>
        <w:rPr>
          <w:rFonts w:ascii="Times New Roman" w:hAnsi="Times New Roman" w:eastAsia="宋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afterAutospacing="0" w:line="520" w:lineRule="exact"/>
        <w:ind w:firstLine="640" w:firstLineChars="200"/>
        <w:jc w:val="left"/>
        <w:textAlignment w:val="auto"/>
        <w:rPr>
          <w:rFonts w:ascii="仿宋_GB2312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Arial" w:eastAsia="仿宋_GB2312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攀枝花市仁和区</w:t>
      </w:r>
      <w:r>
        <w:rPr>
          <w:rFonts w:hint="eastAsia" w:ascii="仿宋_GB2312" w:hAnsi="Arial" w:eastAsia="仿宋_GB2312" w:cs="Arial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太平乡卫生院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预算安排支出主要用于保障该部门机构正常运转、完成日常工作任务以及本单位承担的</w:t>
      </w:r>
      <w:r>
        <w:rPr>
          <w:rFonts w:hint="eastAsia" w:ascii="仿宋_GB2312" w:hAnsi="Arial" w:eastAsia="仿宋_GB2312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基本公共卫生及基本医疗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工作。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afterAutospacing="0" w:line="520" w:lineRule="exact"/>
        <w:ind w:firstLine="640" w:firstLineChars="200"/>
        <w:jc w:val="left"/>
        <w:textAlignment w:val="auto"/>
        <w:rPr>
          <w:rFonts w:ascii="仿宋_GB2312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基本支出，是用于保障</w:t>
      </w:r>
      <w:r>
        <w:rPr>
          <w:rFonts w:hint="eastAsia" w:ascii="仿宋_GB2312" w:hAnsi="Arial" w:eastAsia="仿宋_GB2312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攀枝花市仁和区</w:t>
      </w:r>
      <w:r>
        <w:rPr>
          <w:rFonts w:hint="eastAsia" w:ascii="仿宋_GB2312" w:hAnsi="Arial" w:eastAsia="仿宋_GB2312" w:cs="Arial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太平乡卫生院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正常运转的日常支出，包括基本工资、津贴补贴、离退休费、住房公积金和日常公用经费等。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afterAutospacing="0" w:line="520" w:lineRule="exact"/>
        <w:ind w:firstLine="640"/>
        <w:jc w:val="left"/>
        <w:textAlignment w:val="auto"/>
        <w:rPr>
          <w:rFonts w:ascii="仿宋_GB2312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项目支出，是用于保障攀枝花市仁和区</w:t>
      </w:r>
      <w:r>
        <w:rPr>
          <w:rFonts w:hint="eastAsia" w:ascii="仿宋_GB2312" w:hAnsi="Arial" w:eastAsia="仿宋_GB2312" w:cs="Arial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太平乡卫生院</w:t>
      </w:r>
      <w:r>
        <w:rPr>
          <w:rFonts w:hint="eastAsia" w:ascii="仿宋_GB2312" w:hAnsi="Arial" w:eastAsia="仿宋_GB2312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为完成特定的行政工作或事业发展目标，用于专项业务工作的经费支出。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afterAutospacing="0" w:line="520" w:lineRule="exact"/>
        <w:ind w:firstLine="640"/>
        <w:jc w:val="left"/>
        <w:textAlignment w:val="auto"/>
        <w:rPr>
          <w:rFonts w:ascii="Arial" w:hAnsi="Arial" w:eastAsia="宋体" w:cs="Arial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Arial" w:eastAsia="仿宋_GB2312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按支出功能分类主要用于以下方面支出包括: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afterAutospacing="0" w:line="520" w:lineRule="exact"/>
        <w:ind w:firstLine="640" w:firstLineChars="200"/>
        <w:jc w:val="left"/>
        <w:textAlignment w:val="auto"/>
        <w:rPr>
          <w:rFonts w:ascii="Arial" w:hAnsi="Arial" w:eastAsia="宋体" w:cs="Arial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bCs/>
          <w:color w:val="000000" w:themeColor="text1"/>
          <w:kern w:val="0"/>
          <w:sz w:val="32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仿宋_GB2312" w:hAnsi="Arial" w:eastAsia="仿宋_GB2312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社会保障和就业支出</w:t>
      </w:r>
      <w:r>
        <w:rPr>
          <w:rFonts w:hint="eastAsia" w:ascii="仿宋_GB2312" w:hAnsi="Arial" w:eastAsia="仿宋_GB2312" w:cs="Arial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20.81</w:t>
      </w:r>
      <w:r>
        <w:rPr>
          <w:rFonts w:hint="eastAsia" w:ascii="仿宋_GB2312" w:hAnsi="Arial" w:eastAsia="仿宋_GB2312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万元，主要用于</w:t>
      </w:r>
      <w:r>
        <w:rPr>
          <w:rFonts w:hint="eastAsia" w:ascii="仿宋_GB2312" w:hAnsi="Arial" w:eastAsia="仿宋_GB2312" w:cs="Arial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机关事业单位基本养老保险缴费</w:t>
      </w:r>
      <w:r>
        <w:rPr>
          <w:rFonts w:hint="eastAsia" w:ascii="仿宋_GB2312" w:hAnsi="Arial" w:eastAsia="仿宋_GB2312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支出</w:t>
      </w:r>
      <w:r>
        <w:rPr>
          <w:rFonts w:hint="eastAsia" w:ascii="仿宋_GB2312" w:hAnsi="Arial" w:eastAsia="仿宋_GB2312" w:cs="Arial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、事业单位离退休生活补助和医疗费补助支出</w:t>
      </w:r>
      <w:r>
        <w:rPr>
          <w:rFonts w:hint="eastAsia" w:ascii="仿宋_GB2312" w:hAnsi="Arial" w:eastAsia="仿宋_GB2312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afterAutospacing="0" w:line="520" w:lineRule="exact"/>
        <w:ind w:firstLine="640" w:firstLineChars="200"/>
        <w:jc w:val="left"/>
        <w:textAlignment w:val="auto"/>
        <w:rPr>
          <w:rFonts w:ascii="Arial" w:hAnsi="Arial" w:eastAsia="宋体" w:cs="Arial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bCs/>
          <w:color w:val="000000" w:themeColor="text1"/>
          <w:kern w:val="0"/>
          <w:sz w:val="32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仿宋_GB2312" w:hAnsi="Arial" w:eastAsia="仿宋_GB2312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医疗卫生支出</w:t>
      </w:r>
      <w:r>
        <w:rPr>
          <w:rFonts w:hint="eastAsia" w:ascii="仿宋_GB2312" w:hAnsi="Arial" w:eastAsia="仿宋_GB2312" w:cs="Arial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115.59</w:t>
      </w:r>
      <w:r>
        <w:rPr>
          <w:rFonts w:hint="eastAsia" w:ascii="仿宋_GB2312" w:hAnsi="Arial" w:eastAsia="仿宋_GB2312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万元，主要用于</w:t>
      </w:r>
      <w:r>
        <w:rPr>
          <w:rFonts w:hint="eastAsia" w:ascii="仿宋_GB2312" w:hAnsi="Arial" w:eastAsia="仿宋_GB2312" w:cs="Arial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卫生院</w:t>
      </w:r>
      <w:r>
        <w:rPr>
          <w:rFonts w:hint="eastAsia" w:ascii="仿宋_GB2312" w:hAnsi="Arial" w:eastAsia="仿宋_GB2312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按照规定标准为职工缴纳的基本医疗保险及公务员医疗补助</w:t>
      </w:r>
      <w:r>
        <w:rPr>
          <w:rFonts w:hint="eastAsia" w:ascii="仿宋_GB2312" w:hAnsi="Arial" w:eastAsia="仿宋_GB2312" w:cs="Arial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、医疗费补助、其它社会保障缴费、遗属补助、基本工资</w:t>
      </w:r>
      <w:r>
        <w:rPr>
          <w:rFonts w:hint="eastAsia" w:ascii="仿宋_GB2312" w:hAnsi="Arial" w:eastAsia="仿宋_GB2312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等支出。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afterAutospacing="0" w:line="520" w:lineRule="exact"/>
        <w:ind w:firstLine="640" w:firstLineChars="200"/>
        <w:jc w:val="left"/>
        <w:textAlignment w:val="auto"/>
        <w:rPr>
          <w:rFonts w:ascii="仿宋_GB2312" w:hAnsi="Arial" w:eastAsia="仿宋_GB2312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bCs/>
          <w:color w:val="000000" w:themeColor="text1"/>
          <w:kern w:val="0"/>
          <w:sz w:val="32"/>
          <w14:textFill>
            <w14:solidFill>
              <w14:schemeClr w14:val="tx1"/>
            </w14:solidFill>
          </w14:textFill>
        </w:rPr>
        <w:t>（三）</w:t>
      </w:r>
      <w:r>
        <w:rPr>
          <w:rFonts w:hint="eastAsia" w:ascii="仿宋_GB2312" w:hAnsi="Arial" w:eastAsia="仿宋_GB2312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住房保障支出</w:t>
      </w:r>
      <w:r>
        <w:rPr>
          <w:rFonts w:hint="eastAsia" w:ascii="仿宋_GB2312" w:hAnsi="Arial" w:eastAsia="仿宋_GB2312" w:cs="Arial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12.01</w:t>
      </w:r>
      <w:r>
        <w:rPr>
          <w:rFonts w:hint="eastAsia" w:ascii="仿宋_GB2312" w:hAnsi="Arial" w:eastAsia="仿宋_GB2312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万元，用于</w:t>
      </w:r>
      <w:r>
        <w:rPr>
          <w:rFonts w:hint="eastAsia" w:ascii="仿宋_GB2312" w:hAnsi="Arial" w:eastAsia="仿宋_GB2312" w:cs="Arial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卫生院</w:t>
      </w:r>
      <w:r>
        <w:rPr>
          <w:rFonts w:hint="eastAsia" w:ascii="仿宋_GB2312" w:hAnsi="Arial" w:eastAsia="仿宋_GB2312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按照规定标准为职工缴纳住房公积金支出。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afterAutospacing="0" w:line="520" w:lineRule="exact"/>
        <w:ind w:left="1598" w:leftChars="380" w:hanging="800" w:hangingChars="250"/>
        <w:jc w:val="left"/>
        <w:textAlignment w:val="auto"/>
        <w:rPr>
          <w:rFonts w:ascii="Arial" w:hAnsi="Arial" w:eastAsia="宋体" w:cs="Arial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四、一般公共预算当年拨款情况说明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afterAutospacing="0" w:line="520" w:lineRule="exact"/>
        <w:ind w:firstLine="640"/>
        <w:jc w:val="left"/>
        <w:textAlignment w:val="auto"/>
        <w:rPr>
          <w:rFonts w:ascii="Arial" w:hAnsi="Arial" w:eastAsia="宋体" w:cs="Arial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bCs/>
          <w:color w:val="000000" w:themeColor="text1"/>
          <w:kern w:val="0"/>
          <w:sz w:val="32"/>
          <w14:textFill>
            <w14:solidFill>
              <w14:schemeClr w14:val="tx1"/>
            </w14:solidFill>
          </w14:textFill>
        </w:rPr>
        <w:t>（一）一般公共预算当年拨款规模变化情况</w:t>
      </w:r>
    </w:p>
    <w:p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20" w:lineRule="exact"/>
        <w:ind w:left="160" w:leftChars="76"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攀枝花市仁和区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太平乡卫生院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2025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年一般公共预算当年拨款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148.41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万元，比202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年预算数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减少2.12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万元，主要是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2025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主要变动原因为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人员变动，社保，公积金缴费基数下调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20" w:lineRule="exact"/>
        <w:ind w:firstLine="640" w:firstLineChars="200"/>
        <w:textAlignment w:val="auto"/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  <w:t>（二）一般公共预算当年拨款结构情况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afterAutospacing="0" w:line="520" w:lineRule="exact"/>
        <w:ind w:firstLine="640"/>
        <w:jc w:val="left"/>
        <w:textAlignment w:val="auto"/>
        <w:rPr>
          <w:rFonts w:ascii="Arial" w:hAnsi="Arial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Arial" w:eastAsia="仿宋_GB2312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社会保障和就业支出</w:t>
      </w:r>
      <w:r>
        <w:rPr>
          <w:rFonts w:hint="eastAsia" w:ascii="仿宋_GB2312" w:hAnsi="Arial" w:eastAsia="仿宋_GB2312" w:cs="Arial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20.81</w:t>
      </w:r>
      <w:r>
        <w:rPr>
          <w:rFonts w:hint="eastAsia" w:ascii="仿宋_GB2312" w:hAnsi="Arial" w:eastAsia="仿宋_GB2312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</w:t>
      </w:r>
      <w:r>
        <w:rPr>
          <w:rFonts w:hint="eastAsia" w:ascii="仿宋_GB2312" w:hAnsi="Arial" w:eastAsia="仿宋_GB2312" w:cs="Arial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14.02%</w:t>
      </w:r>
      <w:r>
        <w:rPr>
          <w:rFonts w:hint="eastAsia" w:ascii="仿宋_GB2312" w:hAnsi="Arial" w:eastAsia="仿宋_GB2312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,卫生健康支出</w:t>
      </w:r>
      <w:r>
        <w:rPr>
          <w:rFonts w:hint="eastAsia" w:ascii="仿宋_GB2312" w:hAnsi="Arial" w:eastAsia="仿宋_GB2312" w:cs="Arial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115.60</w:t>
      </w:r>
      <w:r>
        <w:rPr>
          <w:rFonts w:hint="eastAsia" w:ascii="仿宋_GB2312" w:hAnsi="Arial" w:eastAsia="仿宋_GB2312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万元，占</w:t>
      </w:r>
      <w:r>
        <w:rPr>
          <w:rFonts w:hint="eastAsia" w:ascii="仿宋_GB2312" w:hAnsi="Arial" w:eastAsia="仿宋_GB2312" w:cs="Arial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77.89%</w:t>
      </w:r>
      <w:r>
        <w:rPr>
          <w:rFonts w:hint="eastAsia" w:ascii="仿宋_GB2312" w:hAnsi="Arial" w:eastAsia="仿宋_GB2312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,住房保障支出</w:t>
      </w:r>
      <w:r>
        <w:rPr>
          <w:rFonts w:hint="eastAsia" w:ascii="仿宋_GB2312" w:hAnsi="Arial" w:eastAsia="仿宋_GB2312" w:cs="Arial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12.00</w:t>
      </w:r>
      <w:r>
        <w:rPr>
          <w:rFonts w:hint="eastAsia" w:ascii="仿宋_GB2312" w:hAnsi="Arial" w:eastAsia="仿宋_GB2312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万元，占</w:t>
      </w:r>
      <w:r>
        <w:rPr>
          <w:rFonts w:hint="eastAsia" w:ascii="仿宋_GB2312" w:hAnsi="Arial" w:eastAsia="仿宋_GB2312" w:cs="Arial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0.80%</w:t>
      </w:r>
      <w:r>
        <w:rPr>
          <w:rFonts w:hint="eastAsia" w:ascii="仿宋_GB2312" w:hAnsi="Arial" w:eastAsia="仿宋_GB2312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afterAutospacing="0" w:line="520" w:lineRule="exact"/>
        <w:ind w:firstLine="640"/>
        <w:jc w:val="left"/>
        <w:textAlignment w:val="auto"/>
        <w:rPr>
          <w:rFonts w:ascii="Arial" w:hAnsi="Arial" w:eastAsia="宋体" w:cs="Arial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五、一般公共预算基本支出情况说明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afterAutospacing="0" w:line="52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攀枝花市仁和区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太平乡卫生院2025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年一般公共预算基本支出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148.41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afterAutospacing="0" w:line="52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人员经费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148.41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万元，主要包括：基本工资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45.62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万元、津贴补贴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6.19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万元、绩效工资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49.46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万元、基本养老保险缴费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16.20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万元、基本医疗保险缴费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8.46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万元、公务员医疗补助缴费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1.80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万元、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其他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社会保险缴费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1.01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万元、住房公积金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12.01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万元、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医疗费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3.05万元；</w:t>
      </w:r>
      <w:r>
        <w:rPr>
          <w:rFonts w:hint="eastAsia" w:ascii="仿宋_GB2312" w:hAnsi="Arial" w:eastAsia="仿宋_GB2312" w:cs="Arial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事业单位离退休生活补助</w:t>
      </w:r>
      <w:r>
        <w:rPr>
          <w:rFonts w:hint="eastAsia" w:ascii="仿宋_GB2312" w:hAnsi="Arial" w:eastAsia="仿宋_GB2312" w:cs="Arial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3.70万元、</w:t>
      </w:r>
      <w:r>
        <w:rPr>
          <w:rFonts w:hint="eastAsia" w:ascii="仿宋_GB2312" w:hAnsi="Arial" w:eastAsia="仿宋_GB2312" w:cs="Arial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医疗费补助</w:t>
      </w:r>
      <w:r>
        <w:rPr>
          <w:rFonts w:hint="eastAsia" w:ascii="仿宋_GB2312" w:hAnsi="Arial" w:eastAsia="仿宋_GB2312" w:cs="Arial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0.91万元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afterAutospacing="0" w:line="52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公用经费0万元。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afterAutospacing="0" w:line="520" w:lineRule="exact"/>
        <w:ind w:firstLine="640"/>
        <w:jc w:val="left"/>
        <w:textAlignment w:val="auto"/>
        <w:rPr>
          <w:rFonts w:ascii="Arial" w:hAnsi="Arial" w:eastAsia="宋体" w:cs="Arial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六、</w:t>
      </w:r>
      <w:r>
        <w:rPr>
          <w:rFonts w:ascii="Times New Roman" w:hAnsi="Times New Roman" w:eastAsia="宋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黑体" w:hAnsi="黑体" w:eastAsia="黑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三公</w:t>
      </w:r>
      <w:r>
        <w:rPr>
          <w:rFonts w:ascii="Times New Roman" w:hAnsi="Times New Roman" w:eastAsia="宋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黑体" w:hAnsi="黑体" w:eastAsia="黑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经费财政拨款预算安排情况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afterAutospacing="0" w:line="52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攀枝花市仁和区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太平乡卫生院</w:t>
      </w:r>
      <w:r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2025</w:t>
      </w:r>
      <w:r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年没有使用财政拨款安排“三公”经费预算。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afterAutospacing="0" w:line="520" w:lineRule="exact"/>
        <w:ind w:firstLine="63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（一）因公出国（境）经费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Autospacing="0" w:line="520" w:lineRule="exact"/>
        <w:ind w:firstLine="640"/>
        <w:textAlignment w:val="auto"/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根据工作统一安排，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年年初部门预算暂不编列因公出国（境）经费。执行中，区级部门确需执行出国（境）任务和计划的，按照“一事一议”的方式按程序报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政府批后安排经费。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afterAutospacing="0" w:line="52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（二）公务接待费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afterAutospacing="0" w:line="52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2025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太平乡卫生院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无公务接待费预算，与202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年预算持平。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afterAutospacing="0" w:line="52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（三）公务用车购置及运行维护费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afterAutospacing="0" w:line="52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2025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太平乡卫生院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无公务用车购置及运行维护费预算，与202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年预算持平。</w:t>
      </w:r>
    </w:p>
    <w:p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spacing w:afterAutospacing="0" w:line="520" w:lineRule="exact"/>
        <w:ind w:firstLine="640" w:firstLineChars="200"/>
        <w:textAlignment w:val="auto"/>
        <w:outlineLvl w:val="1"/>
        <w:rPr>
          <w:rFonts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七、非财政拨款预算安排“三公”经费情况说明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afterAutospacing="0"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太平乡卫生院2025年非财政拨款“三公”经费预算数0万元，其中：公务接待费0万元，公务用车购置及运行维护费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2.50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万元。根据工作统一安排，2025年市本级年初部门预算暂未编列非财政拨款安排的因公出国（境）经费。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afterAutospacing="0"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（一）非财政拨款安排公务接待费情况说明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afterAutospacing="0"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2025年太平乡卫生院无非财政拨款安排公务接待费预算。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afterAutospacing="0"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（二）非财政拨款安排公务用车购置及运行维护费情况说明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afterAutospacing="0"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非财政拨款安排公务用车购置及运行维护费较202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年预算持平。主要原因是：太平乡卫生院公务用车购置及运行维护费由卫生院收入自行承担，主要用于车辆运行及维护，经费预算与202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年持平。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afterAutospacing="0" w:line="520" w:lineRule="exact"/>
        <w:ind w:firstLine="672"/>
        <w:jc w:val="left"/>
        <w:textAlignment w:val="auto"/>
        <w:rPr>
          <w:rFonts w:hint="eastAsia" w:ascii="Arial" w:hAnsi="Arial" w:eastAsia="仿宋_GB2312" w:cs="Arial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单位现有公务用车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辆，其中：越野车1辆，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主要用</w:t>
      </w:r>
      <w:r>
        <w:rPr>
          <w:rFonts w:hint="eastAsia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于卫生院基本公共卫生服务下乡体检、健康宣传、入户随访、贫困人口健康体检、</w:t>
      </w:r>
      <w:r>
        <w:rPr>
          <w:rFonts w:hint="eastAsia" w:eastAsia="仿宋_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疫情防控</w:t>
      </w:r>
      <w:r>
        <w:rPr>
          <w:rFonts w:hint="eastAsia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及医疗用品运送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afterAutospacing="0"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2025年安排非财政拨款公务用车购置费0万元。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afterAutospacing="0"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2025年安排非财政拨款公务用车运行维护费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2.50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万元。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afterAutospacing="0" w:line="520" w:lineRule="exact"/>
        <w:ind w:firstLine="640" w:firstLineChars="200"/>
        <w:jc w:val="left"/>
        <w:textAlignment w:val="auto"/>
        <w:rPr>
          <w:rFonts w:ascii="Arial" w:hAnsi="Arial" w:eastAsia="宋体" w:cs="Arial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八、政府性基金预算支出情况说明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afterAutospacing="0" w:line="520" w:lineRule="exact"/>
        <w:ind w:firstLine="640"/>
        <w:jc w:val="left"/>
        <w:textAlignment w:val="auto"/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攀枝花市仁和区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太平乡卫生院</w:t>
      </w:r>
      <w:r>
        <w:rPr>
          <w:rFonts w:hint="eastAsia" w:ascii="仿宋" w:hAnsi="仿宋" w:eastAsia="仿宋" w:cs="仿宋"/>
          <w:bCs/>
          <w:color w:val="000000" w:themeColor="text1"/>
          <w:kern w:val="0"/>
          <w:sz w:val="32"/>
          <w:lang w:eastAsia="zh-CN"/>
          <w14:textFill>
            <w14:solidFill>
              <w14:schemeClr w14:val="tx1"/>
            </w14:solidFill>
          </w14:textFill>
        </w:rPr>
        <w:t>2025</w:t>
      </w:r>
      <w:r>
        <w:rPr>
          <w:rFonts w:hint="eastAsia" w:ascii="仿宋" w:hAnsi="仿宋" w:eastAsia="仿宋" w:cs="仿宋"/>
          <w:bCs/>
          <w:color w:val="000000" w:themeColor="text1"/>
          <w:kern w:val="0"/>
          <w:sz w:val="32"/>
          <w14:textFill>
            <w14:solidFill>
              <w14:schemeClr w14:val="tx1"/>
            </w14:solidFill>
          </w14:textFill>
        </w:rPr>
        <w:t>年无政府性基金预算拨款安排的支出。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afterAutospacing="0" w:line="520" w:lineRule="exact"/>
        <w:jc w:val="left"/>
        <w:textAlignment w:val="auto"/>
        <w:rPr>
          <w:rFonts w:ascii="Arial" w:hAnsi="Arial" w:eastAsia="宋体" w:cs="Arial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  九、国有资本经营预算支出情况说明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afterAutospacing="0" w:line="520" w:lineRule="exact"/>
        <w:ind w:firstLine="640"/>
        <w:jc w:val="left"/>
        <w:textAlignment w:val="auto"/>
        <w:rPr>
          <w:rFonts w:hint="eastAsia" w:ascii="仿宋" w:hAnsi="仿宋" w:eastAsia="仿宋" w:cs="仿宋"/>
          <w:bCs/>
          <w:color w:val="000000" w:themeColor="text1"/>
          <w:kern w:val="0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kern w:val="0"/>
          <w:sz w:val="32"/>
          <w14:textFill>
            <w14:solidFill>
              <w14:schemeClr w14:val="tx1"/>
            </w14:solidFill>
          </w14:textFill>
        </w:rPr>
        <w:t>攀枝花市仁和区</w:t>
      </w:r>
      <w:r>
        <w:rPr>
          <w:rFonts w:hint="eastAsia" w:ascii="仿宋" w:hAnsi="仿宋" w:eastAsia="仿宋" w:cs="仿宋"/>
          <w:bCs/>
          <w:color w:val="000000" w:themeColor="text1"/>
          <w:kern w:val="0"/>
          <w:sz w:val="32"/>
          <w:lang w:eastAsia="zh-CN"/>
          <w14:textFill>
            <w14:solidFill>
              <w14:schemeClr w14:val="tx1"/>
            </w14:solidFill>
          </w14:textFill>
        </w:rPr>
        <w:t>太平乡卫生院2025</w:t>
      </w:r>
      <w:r>
        <w:rPr>
          <w:rFonts w:hint="eastAsia" w:ascii="仿宋" w:hAnsi="仿宋" w:eastAsia="仿宋" w:cs="仿宋"/>
          <w:bCs/>
          <w:color w:val="000000" w:themeColor="text1"/>
          <w:kern w:val="0"/>
          <w:sz w:val="32"/>
          <w14:textFill>
            <w14:solidFill>
              <w14:schemeClr w14:val="tx1"/>
            </w14:solidFill>
          </w14:textFill>
        </w:rPr>
        <w:t>年无国有资本经营预算拨款安排的支出。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afterAutospacing="0" w:line="520" w:lineRule="exact"/>
        <w:jc w:val="left"/>
        <w:textAlignment w:val="auto"/>
        <w:rPr>
          <w:rFonts w:ascii="Arial" w:hAnsi="Arial" w:eastAsia="宋体" w:cs="Arial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  十、其他重要事项的情况说明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afterAutospacing="0" w:line="520" w:lineRule="exact"/>
        <w:ind w:firstLine="640"/>
        <w:jc w:val="left"/>
        <w:textAlignment w:val="auto"/>
        <w:rPr>
          <w:rFonts w:ascii="Arial" w:hAnsi="Arial" w:eastAsia="宋体" w:cs="Arial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bCs/>
          <w:color w:val="000000" w:themeColor="text1"/>
          <w:kern w:val="0"/>
          <w:sz w:val="32"/>
          <w14:textFill>
            <w14:solidFill>
              <w14:schemeClr w14:val="tx1"/>
            </w14:solidFill>
          </w14:textFill>
        </w:rPr>
        <w:t>（一）业务运行经费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afterAutospacing="0" w:line="520" w:lineRule="exact"/>
        <w:ind w:firstLine="640"/>
        <w:jc w:val="left"/>
        <w:textAlignment w:val="auto"/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2025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年，攀枝花市仁和区</w:t>
      </w:r>
      <w:r>
        <w:rPr>
          <w:rFonts w:hint="eastAsia" w:ascii="仿宋" w:hAnsi="仿宋" w:eastAsia="仿宋" w:cs="仿宋"/>
          <w:bCs/>
          <w:color w:val="000000" w:themeColor="text1"/>
          <w:kern w:val="0"/>
          <w:sz w:val="32"/>
          <w:lang w:eastAsia="zh-CN"/>
          <w14:textFill>
            <w14:solidFill>
              <w14:schemeClr w14:val="tx1"/>
            </w14:solidFill>
          </w14:textFill>
        </w:rPr>
        <w:t>太平乡卫生院</w:t>
      </w:r>
      <w:r>
        <w:rPr>
          <w:rFonts w:hint="eastAsia" w:ascii="仿宋" w:hAnsi="仿宋" w:eastAsia="仿宋" w:cs="仿宋"/>
          <w:bCs/>
          <w:color w:val="000000" w:themeColor="text1"/>
          <w:kern w:val="0"/>
          <w:sz w:val="32"/>
          <w14:textFill>
            <w14:solidFill>
              <w14:schemeClr w14:val="tx1"/>
            </w14:solidFill>
          </w14:textFill>
        </w:rPr>
        <w:t>无业务运行经费支出。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afterAutospacing="0" w:line="520" w:lineRule="exact"/>
        <w:ind w:firstLine="640"/>
        <w:jc w:val="left"/>
        <w:textAlignment w:val="auto"/>
        <w:rPr>
          <w:rFonts w:ascii="Arial" w:hAnsi="Arial" w:eastAsia="宋体" w:cs="Arial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bCs/>
          <w:color w:val="000000" w:themeColor="text1"/>
          <w:kern w:val="0"/>
          <w:sz w:val="32"/>
          <w14:textFill>
            <w14:solidFill>
              <w14:schemeClr w14:val="tx1"/>
            </w14:solidFill>
          </w14:textFill>
        </w:rPr>
        <w:t>（二）国有资产占有使用情况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afterAutospacing="0" w:line="520" w:lineRule="exact"/>
        <w:ind w:firstLine="640"/>
        <w:jc w:val="left"/>
        <w:textAlignment w:val="auto"/>
        <w:rPr>
          <w:rFonts w:ascii="Arial" w:hAnsi="Arial" w:eastAsia="宋体" w:cs="Arial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Arial" w:eastAsia="仿宋_GB2312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截至202</w:t>
      </w:r>
      <w:r>
        <w:rPr>
          <w:rFonts w:hint="eastAsia" w:ascii="仿宋_GB2312" w:hAnsi="Arial" w:eastAsia="仿宋_GB2312" w:cs="Arial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Arial" w:eastAsia="仿宋_GB2312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年底，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攀枝花市仁和区</w:t>
      </w:r>
      <w:r>
        <w:rPr>
          <w:rFonts w:hint="eastAsia" w:ascii="仿宋_GB2312" w:hAnsi="Arial" w:eastAsia="仿宋_GB2312" w:cs="Arial"/>
          <w:bCs/>
          <w:color w:val="000000" w:themeColor="text1"/>
          <w:kern w:val="0"/>
          <w:sz w:val="32"/>
          <w:lang w:eastAsia="zh-CN"/>
          <w14:textFill>
            <w14:solidFill>
              <w14:schemeClr w14:val="tx1"/>
            </w14:solidFill>
          </w14:textFill>
        </w:rPr>
        <w:t>太平乡卫生院</w:t>
      </w:r>
      <w:r>
        <w:rPr>
          <w:rFonts w:hint="eastAsia" w:ascii="仿宋_GB2312" w:hAnsi="Arial" w:eastAsia="仿宋_GB2312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共有车辆</w:t>
      </w:r>
      <w:r>
        <w:rPr>
          <w:rFonts w:hint="eastAsia" w:ascii="仿宋_GB2312" w:hAnsi="Arial" w:eastAsia="仿宋_GB2312" w:cs="Arial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Arial" w:eastAsia="仿宋_GB2312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辆，其中，执法执勤用车0辆，单位价值200万元以上大型设备0台。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afterAutospacing="0" w:line="520" w:lineRule="exact"/>
        <w:ind w:firstLine="640"/>
        <w:jc w:val="left"/>
        <w:textAlignment w:val="auto"/>
        <w:rPr>
          <w:rFonts w:ascii="Arial" w:hAnsi="Arial" w:eastAsia="宋体" w:cs="Arial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bCs/>
          <w:color w:val="000000" w:themeColor="text1"/>
          <w:kern w:val="0"/>
          <w:sz w:val="32"/>
          <w14:textFill>
            <w14:solidFill>
              <w14:schemeClr w14:val="tx1"/>
            </w14:solidFill>
          </w14:textFill>
        </w:rPr>
        <w:t>（三）政府采购情况</w:t>
      </w:r>
    </w:p>
    <w:p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20" w:lineRule="exact"/>
        <w:ind w:firstLine="800" w:firstLineChars="250"/>
        <w:textAlignment w:val="auto"/>
        <w:rPr>
          <w:rFonts w:ascii="Arial" w:hAnsi="Arial" w:eastAsia="Arial" w:cs="Arial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2025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年，攀枝花市仁和区</w:t>
      </w:r>
      <w:r>
        <w:rPr>
          <w:rFonts w:hint="eastAsia" w:ascii="仿宋_GB2312" w:hAnsi="Arial" w:eastAsia="仿宋_GB2312" w:cs="Arial"/>
          <w:bCs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太平乡卫生院</w:t>
      </w:r>
      <w:r>
        <w:rPr>
          <w:rFonts w:hint="eastAsia" w:ascii="仿宋_GB2312" w:hAnsi="Times New Roman" w:eastAsia="仿宋_GB2312" w:cs="Times New Roman"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  <w:t>安排政府采购预算</w:t>
      </w:r>
      <w:r>
        <w:rPr>
          <w:rFonts w:hint="eastAsia" w:ascii="仿宋_GB2312" w:hAnsi="Times New Roman" w:eastAsia="仿宋_GB2312" w:cs="Times New Roman"/>
          <w:bCs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10.00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</w:t>
      </w:r>
      <w:r>
        <w:rPr>
          <w:rStyle w:val="9"/>
          <w:rFonts w:hint="eastAsia" w:ascii="仿宋_GB2312" w:hAnsi="仿宋_GB2312" w:eastAsia="仿宋_GB2312" w:cs="仿宋_GB2312"/>
          <w:b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。主要用于</w:t>
      </w:r>
      <w:r>
        <w:rPr>
          <w:rStyle w:val="9"/>
          <w:rFonts w:hint="eastAsia" w:ascii="仿宋_GB2312" w:hAnsi="仿宋_GB2312" w:eastAsia="仿宋_GB2312" w:cs="仿宋_GB2312"/>
          <w:b w:val="0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办公设备采购、办公设备维修维护。采购台式电脑、打印机等。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afterAutospacing="0" w:line="520" w:lineRule="exact"/>
        <w:ind w:firstLine="640"/>
        <w:jc w:val="left"/>
        <w:textAlignment w:val="auto"/>
        <w:rPr>
          <w:rFonts w:ascii="Arial" w:hAnsi="Arial" w:eastAsia="宋体" w:cs="Arial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bCs/>
          <w:color w:val="000000" w:themeColor="text1"/>
          <w:kern w:val="0"/>
          <w:sz w:val="32"/>
          <w14:textFill>
            <w14:solidFill>
              <w14:schemeClr w14:val="tx1"/>
            </w14:solidFill>
          </w14:textFill>
        </w:rPr>
        <w:t>（四）绩效目标设置情况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Autospacing="0" w:line="520" w:lineRule="exact"/>
        <w:ind w:firstLine="640"/>
        <w:textAlignment w:val="auto"/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2025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年攀枝花市仁和区</w:t>
      </w:r>
      <w:r>
        <w:rPr>
          <w:rFonts w:hint="eastAsia" w:ascii="仿宋_GB2312" w:hAnsi="Arial" w:eastAsia="仿宋_GB2312" w:cs="Arial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太平乡卫生院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开展绩效目标管理的项目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个，涉及预算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148.41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万元。其中：人员类项目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个，涉及预算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148.41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；运转类项目0个，涉及预算0万元；特定目标类项目0个，涉及预算0万元。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Autospacing="0" w:line="520" w:lineRule="exact"/>
        <w:ind w:firstLine="640"/>
        <w:textAlignment w:val="auto"/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afterAutospacing="0" w:line="520" w:lineRule="exact"/>
        <w:ind w:left="1918" w:leftChars="304" w:hanging="1280" w:hangingChars="400"/>
        <w:jc w:val="left"/>
        <w:textAlignment w:val="auto"/>
        <w:rPr>
          <w:rFonts w:ascii="Arial" w:hAnsi="Arial" w:eastAsia="宋体" w:cs="Arial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附件：1.仁和区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2025年</w:t>
      </w:r>
      <w:r>
        <w:rPr>
          <w:rFonts w:hint="eastAsia" w:ascii="仿宋_GB2312" w:hAnsi="Arial" w:eastAsia="仿宋_GB2312" w:cs="Arial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太平乡卫生院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预算公开表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spacing w:afterAutospacing="0" w:line="520" w:lineRule="exact"/>
        <w:ind w:left="1600" w:leftChars="0"/>
        <w:jc w:val="left"/>
        <w:textAlignment w:val="auto"/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2.部门预算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名词解释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spacing w:afterAutospacing="0" w:line="520" w:lineRule="exact"/>
        <w:ind w:left="1918" w:leftChars="761" w:hanging="320" w:hangingChars="100"/>
        <w:jc w:val="left"/>
        <w:textAlignment w:val="auto"/>
        <w:rPr>
          <w:rFonts w:hint="default" w:ascii="仿宋_GB2312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3.2025年太平乡卫生院整体支出绩效目标申报</w:t>
      </w:r>
      <w:bookmarkStart w:id="0" w:name="_GoBack"/>
      <w:bookmarkEnd w:id="0"/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表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yMGI1ZjdiNjMyYTNlMGMzZWRkOGQ2ZDEzZDJlNDUifQ=="/>
  </w:docVars>
  <w:rsids>
    <w:rsidRoot w:val="00945B70"/>
    <w:rsid w:val="00007B79"/>
    <w:rsid w:val="0001638E"/>
    <w:rsid w:val="00054133"/>
    <w:rsid w:val="00057B85"/>
    <w:rsid w:val="00064D94"/>
    <w:rsid w:val="000660FA"/>
    <w:rsid w:val="0007213D"/>
    <w:rsid w:val="00081EE5"/>
    <w:rsid w:val="00082831"/>
    <w:rsid w:val="0008473E"/>
    <w:rsid w:val="00093E6E"/>
    <w:rsid w:val="000A25EA"/>
    <w:rsid w:val="000A65D5"/>
    <w:rsid w:val="000B1119"/>
    <w:rsid w:val="000D7F86"/>
    <w:rsid w:val="000E2767"/>
    <w:rsid w:val="000E58D7"/>
    <w:rsid w:val="000F3B9D"/>
    <w:rsid w:val="00116954"/>
    <w:rsid w:val="00117E9D"/>
    <w:rsid w:val="00120422"/>
    <w:rsid w:val="00123C0D"/>
    <w:rsid w:val="00132BE0"/>
    <w:rsid w:val="001331C3"/>
    <w:rsid w:val="001370E8"/>
    <w:rsid w:val="00145933"/>
    <w:rsid w:val="00151445"/>
    <w:rsid w:val="00152182"/>
    <w:rsid w:val="001552BD"/>
    <w:rsid w:val="00163735"/>
    <w:rsid w:val="00166033"/>
    <w:rsid w:val="001847B0"/>
    <w:rsid w:val="00192390"/>
    <w:rsid w:val="001C030D"/>
    <w:rsid w:val="001E3B88"/>
    <w:rsid w:val="001F1B5A"/>
    <w:rsid w:val="001F6047"/>
    <w:rsid w:val="00235F75"/>
    <w:rsid w:val="0025140B"/>
    <w:rsid w:val="0026139E"/>
    <w:rsid w:val="0026211C"/>
    <w:rsid w:val="0028090F"/>
    <w:rsid w:val="002950AF"/>
    <w:rsid w:val="0029548B"/>
    <w:rsid w:val="002B2478"/>
    <w:rsid w:val="002C4760"/>
    <w:rsid w:val="002C5AC2"/>
    <w:rsid w:val="002D0BB1"/>
    <w:rsid w:val="002D5F66"/>
    <w:rsid w:val="002E18DF"/>
    <w:rsid w:val="002F3902"/>
    <w:rsid w:val="0031012F"/>
    <w:rsid w:val="003209CA"/>
    <w:rsid w:val="00325D6A"/>
    <w:rsid w:val="00326849"/>
    <w:rsid w:val="00331BA1"/>
    <w:rsid w:val="003475D7"/>
    <w:rsid w:val="0035086B"/>
    <w:rsid w:val="00357821"/>
    <w:rsid w:val="00361304"/>
    <w:rsid w:val="0036773C"/>
    <w:rsid w:val="00367F14"/>
    <w:rsid w:val="00375AB2"/>
    <w:rsid w:val="00387DFB"/>
    <w:rsid w:val="00394AA9"/>
    <w:rsid w:val="0039704A"/>
    <w:rsid w:val="003B0F1E"/>
    <w:rsid w:val="003C5BE3"/>
    <w:rsid w:val="003D4960"/>
    <w:rsid w:val="003F5745"/>
    <w:rsid w:val="003F5F87"/>
    <w:rsid w:val="003F6F1A"/>
    <w:rsid w:val="003F7E7B"/>
    <w:rsid w:val="0040064F"/>
    <w:rsid w:val="004071CC"/>
    <w:rsid w:val="00411E98"/>
    <w:rsid w:val="004268F2"/>
    <w:rsid w:val="00436209"/>
    <w:rsid w:val="00437C55"/>
    <w:rsid w:val="004603F3"/>
    <w:rsid w:val="00472F6A"/>
    <w:rsid w:val="00480D97"/>
    <w:rsid w:val="004845B1"/>
    <w:rsid w:val="004A5EF3"/>
    <w:rsid w:val="004B4648"/>
    <w:rsid w:val="004C7EA8"/>
    <w:rsid w:val="004D5BF3"/>
    <w:rsid w:val="004E22E6"/>
    <w:rsid w:val="004E6273"/>
    <w:rsid w:val="004F490B"/>
    <w:rsid w:val="00514F9C"/>
    <w:rsid w:val="00516CAC"/>
    <w:rsid w:val="00560698"/>
    <w:rsid w:val="005710E5"/>
    <w:rsid w:val="005748E0"/>
    <w:rsid w:val="005A77D7"/>
    <w:rsid w:val="005D1D67"/>
    <w:rsid w:val="005E71A7"/>
    <w:rsid w:val="005F54D7"/>
    <w:rsid w:val="005F554D"/>
    <w:rsid w:val="00604727"/>
    <w:rsid w:val="00605B0F"/>
    <w:rsid w:val="00622239"/>
    <w:rsid w:val="00634953"/>
    <w:rsid w:val="00654E88"/>
    <w:rsid w:val="00656E64"/>
    <w:rsid w:val="00671B95"/>
    <w:rsid w:val="00674A0B"/>
    <w:rsid w:val="00684108"/>
    <w:rsid w:val="00687670"/>
    <w:rsid w:val="006933A2"/>
    <w:rsid w:val="006B4BD0"/>
    <w:rsid w:val="006B4DC2"/>
    <w:rsid w:val="006C40F7"/>
    <w:rsid w:val="006D1B1C"/>
    <w:rsid w:val="006D3B52"/>
    <w:rsid w:val="006F27F3"/>
    <w:rsid w:val="0070320B"/>
    <w:rsid w:val="00705090"/>
    <w:rsid w:val="007066BD"/>
    <w:rsid w:val="00710394"/>
    <w:rsid w:val="007124BA"/>
    <w:rsid w:val="007152DB"/>
    <w:rsid w:val="0072462E"/>
    <w:rsid w:val="00725D8F"/>
    <w:rsid w:val="00733979"/>
    <w:rsid w:val="00746828"/>
    <w:rsid w:val="007476F1"/>
    <w:rsid w:val="00750461"/>
    <w:rsid w:val="00764AEA"/>
    <w:rsid w:val="00774810"/>
    <w:rsid w:val="007853EC"/>
    <w:rsid w:val="00791B42"/>
    <w:rsid w:val="007A05DD"/>
    <w:rsid w:val="007A09D6"/>
    <w:rsid w:val="007C471E"/>
    <w:rsid w:val="007C587E"/>
    <w:rsid w:val="007D2833"/>
    <w:rsid w:val="007D561C"/>
    <w:rsid w:val="007D616B"/>
    <w:rsid w:val="007D7646"/>
    <w:rsid w:val="007F199D"/>
    <w:rsid w:val="007F3103"/>
    <w:rsid w:val="007F4013"/>
    <w:rsid w:val="00801718"/>
    <w:rsid w:val="00802DB9"/>
    <w:rsid w:val="00804A6B"/>
    <w:rsid w:val="0082215A"/>
    <w:rsid w:val="00830EFF"/>
    <w:rsid w:val="008346B4"/>
    <w:rsid w:val="00835FA5"/>
    <w:rsid w:val="0084187F"/>
    <w:rsid w:val="00842A9E"/>
    <w:rsid w:val="00843175"/>
    <w:rsid w:val="00843A75"/>
    <w:rsid w:val="00847F0D"/>
    <w:rsid w:val="00864B9F"/>
    <w:rsid w:val="008753FD"/>
    <w:rsid w:val="00897370"/>
    <w:rsid w:val="008B00FC"/>
    <w:rsid w:val="008B39CF"/>
    <w:rsid w:val="008B3F81"/>
    <w:rsid w:val="008D5199"/>
    <w:rsid w:val="008D61BA"/>
    <w:rsid w:val="008D6BC3"/>
    <w:rsid w:val="008D7AE6"/>
    <w:rsid w:val="008F0D8F"/>
    <w:rsid w:val="008F63FA"/>
    <w:rsid w:val="009109FB"/>
    <w:rsid w:val="00916369"/>
    <w:rsid w:val="00923CFD"/>
    <w:rsid w:val="0093452D"/>
    <w:rsid w:val="00945B70"/>
    <w:rsid w:val="00945C6D"/>
    <w:rsid w:val="0094744A"/>
    <w:rsid w:val="00951B3E"/>
    <w:rsid w:val="00954F92"/>
    <w:rsid w:val="00961C37"/>
    <w:rsid w:val="00973248"/>
    <w:rsid w:val="009A489F"/>
    <w:rsid w:val="009B751F"/>
    <w:rsid w:val="009C5345"/>
    <w:rsid w:val="009D0D69"/>
    <w:rsid w:val="009D254B"/>
    <w:rsid w:val="009D2F12"/>
    <w:rsid w:val="009D36A1"/>
    <w:rsid w:val="00A11F19"/>
    <w:rsid w:val="00A272D4"/>
    <w:rsid w:val="00A3084A"/>
    <w:rsid w:val="00A34177"/>
    <w:rsid w:val="00A474BB"/>
    <w:rsid w:val="00A5351F"/>
    <w:rsid w:val="00A60AED"/>
    <w:rsid w:val="00A65DDE"/>
    <w:rsid w:val="00A75BA1"/>
    <w:rsid w:val="00A87EFB"/>
    <w:rsid w:val="00A97173"/>
    <w:rsid w:val="00AB25C1"/>
    <w:rsid w:val="00AC1EB9"/>
    <w:rsid w:val="00AF1543"/>
    <w:rsid w:val="00AF45A7"/>
    <w:rsid w:val="00AF71DE"/>
    <w:rsid w:val="00B024EF"/>
    <w:rsid w:val="00B22B21"/>
    <w:rsid w:val="00B3768D"/>
    <w:rsid w:val="00B500A7"/>
    <w:rsid w:val="00B54CFF"/>
    <w:rsid w:val="00B61CAD"/>
    <w:rsid w:val="00B63745"/>
    <w:rsid w:val="00B64151"/>
    <w:rsid w:val="00B65C1A"/>
    <w:rsid w:val="00B66776"/>
    <w:rsid w:val="00B72F30"/>
    <w:rsid w:val="00B80E2D"/>
    <w:rsid w:val="00B863EC"/>
    <w:rsid w:val="00B9518E"/>
    <w:rsid w:val="00BA25EE"/>
    <w:rsid w:val="00BB3607"/>
    <w:rsid w:val="00BB5D8B"/>
    <w:rsid w:val="00BB604F"/>
    <w:rsid w:val="00BB738E"/>
    <w:rsid w:val="00BC2994"/>
    <w:rsid w:val="00BE17BB"/>
    <w:rsid w:val="00BE5112"/>
    <w:rsid w:val="00BE7778"/>
    <w:rsid w:val="00BF0EEE"/>
    <w:rsid w:val="00C04818"/>
    <w:rsid w:val="00C07A70"/>
    <w:rsid w:val="00C10280"/>
    <w:rsid w:val="00C24F6F"/>
    <w:rsid w:val="00C32338"/>
    <w:rsid w:val="00C4508A"/>
    <w:rsid w:val="00C4710B"/>
    <w:rsid w:val="00C56313"/>
    <w:rsid w:val="00C76404"/>
    <w:rsid w:val="00C83464"/>
    <w:rsid w:val="00C8640F"/>
    <w:rsid w:val="00C9005A"/>
    <w:rsid w:val="00CE1A96"/>
    <w:rsid w:val="00D00ABA"/>
    <w:rsid w:val="00D22D51"/>
    <w:rsid w:val="00D23E2F"/>
    <w:rsid w:val="00D241E1"/>
    <w:rsid w:val="00D34AE6"/>
    <w:rsid w:val="00D52800"/>
    <w:rsid w:val="00D63FDB"/>
    <w:rsid w:val="00D66748"/>
    <w:rsid w:val="00D755F6"/>
    <w:rsid w:val="00D909B9"/>
    <w:rsid w:val="00DA5CA3"/>
    <w:rsid w:val="00DB3C21"/>
    <w:rsid w:val="00DC27F9"/>
    <w:rsid w:val="00DD01C6"/>
    <w:rsid w:val="00DD6FC5"/>
    <w:rsid w:val="00DE1482"/>
    <w:rsid w:val="00DF4C9F"/>
    <w:rsid w:val="00E0201C"/>
    <w:rsid w:val="00E07F3C"/>
    <w:rsid w:val="00E2050E"/>
    <w:rsid w:val="00E24A00"/>
    <w:rsid w:val="00E40D5D"/>
    <w:rsid w:val="00E425E3"/>
    <w:rsid w:val="00E54435"/>
    <w:rsid w:val="00E67E28"/>
    <w:rsid w:val="00E847A1"/>
    <w:rsid w:val="00E84B6F"/>
    <w:rsid w:val="00E94C33"/>
    <w:rsid w:val="00E964FF"/>
    <w:rsid w:val="00EA3D3B"/>
    <w:rsid w:val="00EC48F0"/>
    <w:rsid w:val="00EC4E18"/>
    <w:rsid w:val="00ED35B4"/>
    <w:rsid w:val="00ED664D"/>
    <w:rsid w:val="00EE0C17"/>
    <w:rsid w:val="00EE363D"/>
    <w:rsid w:val="00EE6310"/>
    <w:rsid w:val="00EF1964"/>
    <w:rsid w:val="00EF2375"/>
    <w:rsid w:val="00EF3308"/>
    <w:rsid w:val="00EF5BAF"/>
    <w:rsid w:val="00F047B4"/>
    <w:rsid w:val="00F16557"/>
    <w:rsid w:val="00F2407B"/>
    <w:rsid w:val="00F346E5"/>
    <w:rsid w:val="00F6680B"/>
    <w:rsid w:val="00F679A7"/>
    <w:rsid w:val="00F72326"/>
    <w:rsid w:val="00F75A76"/>
    <w:rsid w:val="00F85BE0"/>
    <w:rsid w:val="00F92012"/>
    <w:rsid w:val="00F93E0B"/>
    <w:rsid w:val="00FA618F"/>
    <w:rsid w:val="00FB6925"/>
    <w:rsid w:val="00FB6BE3"/>
    <w:rsid w:val="00FF33CE"/>
    <w:rsid w:val="01157B74"/>
    <w:rsid w:val="03D90165"/>
    <w:rsid w:val="05D23D51"/>
    <w:rsid w:val="06ED4932"/>
    <w:rsid w:val="084E2E2E"/>
    <w:rsid w:val="085D65AE"/>
    <w:rsid w:val="0B0E4E77"/>
    <w:rsid w:val="0BD1074A"/>
    <w:rsid w:val="0C3142EA"/>
    <w:rsid w:val="106E4CE2"/>
    <w:rsid w:val="10EC1DDE"/>
    <w:rsid w:val="12512B00"/>
    <w:rsid w:val="16AE61C8"/>
    <w:rsid w:val="17123C42"/>
    <w:rsid w:val="1B2B3BDD"/>
    <w:rsid w:val="1B9106A8"/>
    <w:rsid w:val="1B994A8C"/>
    <w:rsid w:val="1FA34709"/>
    <w:rsid w:val="22003A44"/>
    <w:rsid w:val="23677AFD"/>
    <w:rsid w:val="24B06ECE"/>
    <w:rsid w:val="26A81B52"/>
    <w:rsid w:val="27796FE6"/>
    <w:rsid w:val="2A1E32AA"/>
    <w:rsid w:val="2B0B2A59"/>
    <w:rsid w:val="2B367AC2"/>
    <w:rsid w:val="2EEA2A4B"/>
    <w:rsid w:val="2FC8659F"/>
    <w:rsid w:val="30096F9B"/>
    <w:rsid w:val="30861CF0"/>
    <w:rsid w:val="30EF115F"/>
    <w:rsid w:val="313D7765"/>
    <w:rsid w:val="3596107F"/>
    <w:rsid w:val="36743E79"/>
    <w:rsid w:val="37805EE2"/>
    <w:rsid w:val="3D0263C7"/>
    <w:rsid w:val="43A35F4C"/>
    <w:rsid w:val="47F32C35"/>
    <w:rsid w:val="488B4266"/>
    <w:rsid w:val="49140130"/>
    <w:rsid w:val="540F3A7A"/>
    <w:rsid w:val="596A316E"/>
    <w:rsid w:val="5EB364C7"/>
    <w:rsid w:val="614C1406"/>
    <w:rsid w:val="64C61CA2"/>
    <w:rsid w:val="65CD5765"/>
    <w:rsid w:val="665C5E0E"/>
    <w:rsid w:val="668803EF"/>
    <w:rsid w:val="67E260DB"/>
    <w:rsid w:val="68003E15"/>
    <w:rsid w:val="69440C6F"/>
    <w:rsid w:val="695F3134"/>
    <w:rsid w:val="6A350C4E"/>
    <w:rsid w:val="6A691D33"/>
    <w:rsid w:val="6D646743"/>
    <w:rsid w:val="6E11552E"/>
    <w:rsid w:val="6E9F198F"/>
    <w:rsid w:val="70520136"/>
    <w:rsid w:val="73351AAB"/>
    <w:rsid w:val="739E71CC"/>
    <w:rsid w:val="772B5B20"/>
    <w:rsid w:val="799376A4"/>
    <w:rsid w:val="7AD9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before="93" w:beforeLines="30"/>
    </w:pPr>
    <w:rPr>
      <w:rFonts w:ascii="仿宋_GB2312" w:eastAsia="仿宋_GB2312"/>
      <w:sz w:val="30"/>
    </w:rPr>
  </w:style>
  <w:style w:type="paragraph" w:styleId="4">
    <w:name w:val="footer"/>
    <w:basedOn w:val="1"/>
    <w:link w:val="1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0"/>
    <w:rPr>
      <w:b/>
      <w:bCs/>
    </w:rPr>
  </w:style>
  <w:style w:type="character" w:styleId="10">
    <w:name w:val="Emphasis"/>
    <w:basedOn w:val="8"/>
    <w:qFormat/>
    <w:uiPriority w:val="20"/>
    <w:rPr>
      <w:i/>
      <w:iCs/>
    </w:rPr>
  </w:style>
  <w:style w:type="character" w:customStyle="1" w:styleId="11">
    <w:name w:val="标题 1 Char"/>
    <w:basedOn w:val="8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12">
    <w:name w:val="explain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3">
    <w:name w:val="big"/>
    <w:basedOn w:val="8"/>
    <w:qFormat/>
    <w:uiPriority w:val="0"/>
  </w:style>
  <w:style w:type="character" w:customStyle="1" w:styleId="14">
    <w:name w:val="middle"/>
    <w:basedOn w:val="8"/>
    <w:qFormat/>
    <w:uiPriority w:val="0"/>
  </w:style>
  <w:style w:type="character" w:customStyle="1" w:styleId="15">
    <w:name w:val="small"/>
    <w:basedOn w:val="8"/>
    <w:qFormat/>
    <w:uiPriority w:val="0"/>
  </w:style>
  <w:style w:type="character" w:customStyle="1" w:styleId="16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7">
    <w:name w:val="页脚 Char"/>
    <w:basedOn w:val="8"/>
    <w:link w:val="4"/>
    <w:semiHidden/>
    <w:qFormat/>
    <w:uiPriority w:val="99"/>
    <w:rPr>
      <w:sz w:val="18"/>
      <w:szCs w:val="18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paragraph" w:customStyle="1" w:styleId="19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20">
    <w:name w:val="WPSOffice手动目录 2"/>
    <w:qFormat/>
    <w:uiPriority w:val="0"/>
    <w:pPr>
      <w:ind w:leftChars="200"/>
    </w:pPr>
    <w:rPr>
      <w:rFonts w:ascii="Times New Roman" w:hAnsi="Times New Roman" w:eastAsia="宋体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Organization</Company>
  <Pages>11</Pages>
  <Words>4319</Words>
  <Characters>4681</Characters>
  <Lines>24</Lines>
  <Paragraphs>6</Paragraphs>
  <TotalTime>9</TotalTime>
  <ScaleCrop>false</ScaleCrop>
  <LinksUpToDate>false</LinksUpToDate>
  <CharactersWithSpaces>4723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2021-05-20T02:00:00Z</dcterms:created>
  <dc:creator>Windows 用户</dc:creator>
  <cp:lastModifiedBy>Administrator</cp:lastModifiedBy>
  <cp:lastPrinted>2024-02-28T09:12:00Z</cp:lastPrinted>
  <dcterms:modified xsi:type="dcterms:W3CDTF">2025-03-31T04:09:18Z</dcterms:modified>
  <cp:revision>281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19AF963398054A7A9BD76A92A877E47A</vt:lpwstr>
  </property>
  <property fmtid="{D5CDD505-2E9C-101B-9397-08002B2CF9AE}" pid="4" name="KSOTemplateDocerSaveRecord">
    <vt:lpwstr>eyJoZGlkIjoiNmFjZTljMjc5YmU3NTU4MjUyZTllMGQ3MDZiZGExYzUifQ==</vt:lpwstr>
  </property>
</Properties>
</file>