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DDA26">
      <w:pPr>
        <w:jc w:val="left"/>
        <w:rPr>
          <w:rFonts w:hint="default" w:ascii="Times New Roman" w:hAnsi="Times New Roman" w:eastAsia="方正黑体_GBK" w:cs="Times New Roman"/>
          <w:b w:val="0"/>
          <w:bCs/>
          <w:color w:val="000000"/>
          <w:sz w:val="32"/>
          <w:szCs w:val="32"/>
          <w:lang w:val="en-US" w:eastAsia="zh-CN"/>
        </w:rPr>
      </w:pPr>
      <w:r>
        <w:rPr>
          <w:rFonts w:hint="default" w:ascii="Times New Roman" w:hAnsi="Times New Roman" w:eastAsia="方正黑体_GBK" w:cs="Times New Roman"/>
          <w:b w:val="0"/>
          <w:bCs/>
          <w:color w:val="000000"/>
          <w:sz w:val="32"/>
          <w:szCs w:val="32"/>
          <w:lang w:eastAsia="zh-CN"/>
        </w:rPr>
        <w:t>附件</w:t>
      </w:r>
      <w:r>
        <w:rPr>
          <w:rFonts w:hint="default" w:ascii="Times New Roman" w:hAnsi="Times New Roman" w:eastAsia="方正黑体_GBK" w:cs="Times New Roman"/>
          <w:b w:val="0"/>
          <w:bCs/>
          <w:color w:val="000000"/>
          <w:sz w:val="32"/>
          <w:szCs w:val="32"/>
          <w:lang w:val="en-US" w:eastAsia="zh-CN"/>
        </w:rPr>
        <w:t>2</w:t>
      </w:r>
    </w:p>
    <w:p w14:paraId="44207FF1">
      <w:pPr>
        <w:jc w:val="center"/>
        <w:rPr>
          <w:rFonts w:hint="default" w:ascii="Times New Roman" w:hAnsi="Times New Roman" w:eastAsia="方正小标宋_GBK" w:cs="Times New Roman"/>
          <w:b w:val="0"/>
          <w:bCs/>
          <w:color w:val="000000"/>
          <w:sz w:val="44"/>
          <w:szCs w:val="44"/>
        </w:rPr>
      </w:pPr>
      <w:r>
        <w:rPr>
          <w:rFonts w:hint="default" w:ascii="Times New Roman" w:hAnsi="Times New Roman" w:eastAsia="方正小标宋_GBK" w:cs="Times New Roman"/>
          <w:b w:val="0"/>
          <w:bCs/>
          <w:color w:val="000000"/>
          <w:sz w:val="44"/>
          <w:szCs w:val="44"/>
        </w:rPr>
        <w:t>消防安全重点单位申报表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495"/>
        <w:gridCol w:w="991"/>
        <w:gridCol w:w="215"/>
        <w:gridCol w:w="3455"/>
        <w:gridCol w:w="1245"/>
        <w:gridCol w:w="1496"/>
      </w:tblGrid>
      <w:tr w14:paraId="0A3B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0" w:type="dxa"/>
            <w:gridSpan w:val="2"/>
            <w:vAlign w:val="center"/>
          </w:tcPr>
          <w:p w14:paraId="6437960C">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单位名称</w:t>
            </w:r>
          </w:p>
        </w:tc>
        <w:tc>
          <w:tcPr>
            <w:tcW w:w="4661" w:type="dxa"/>
            <w:gridSpan w:val="3"/>
            <w:vAlign w:val="center"/>
          </w:tcPr>
          <w:p w14:paraId="5FEB4941">
            <w:pPr>
              <w:jc w:val="center"/>
              <w:rPr>
                <w:rFonts w:hint="default" w:ascii="Times New Roman" w:hAnsi="Times New Roman" w:cs="Times New Roman"/>
                <w:vertAlign w:val="baseline"/>
              </w:rPr>
            </w:pPr>
          </w:p>
        </w:tc>
        <w:tc>
          <w:tcPr>
            <w:tcW w:w="1245" w:type="dxa"/>
            <w:vAlign w:val="center"/>
          </w:tcPr>
          <w:p w14:paraId="13856B5D">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联系电话</w:t>
            </w:r>
          </w:p>
        </w:tc>
        <w:tc>
          <w:tcPr>
            <w:tcW w:w="1496" w:type="dxa"/>
            <w:vAlign w:val="center"/>
          </w:tcPr>
          <w:p w14:paraId="289BFF63">
            <w:pPr>
              <w:jc w:val="center"/>
              <w:rPr>
                <w:rFonts w:hint="default" w:ascii="Times New Roman" w:hAnsi="Times New Roman" w:cs="Times New Roman"/>
                <w:vertAlign w:val="baseline"/>
              </w:rPr>
            </w:pPr>
          </w:p>
        </w:tc>
      </w:tr>
      <w:tr w14:paraId="78F2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0" w:type="dxa"/>
            <w:gridSpan w:val="2"/>
            <w:vAlign w:val="center"/>
          </w:tcPr>
          <w:p w14:paraId="1EC9D35A">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地   址</w:t>
            </w:r>
          </w:p>
        </w:tc>
        <w:tc>
          <w:tcPr>
            <w:tcW w:w="4661" w:type="dxa"/>
            <w:gridSpan w:val="3"/>
            <w:vAlign w:val="center"/>
          </w:tcPr>
          <w:p w14:paraId="7667C414">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区（县）           路　　　　号</w:t>
            </w:r>
          </w:p>
        </w:tc>
        <w:tc>
          <w:tcPr>
            <w:tcW w:w="1245" w:type="dxa"/>
            <w:vAlign w:val="center"/>
          </w:tcPr>
          <w:p w14:paraId="40B738FA">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邮　　编</w:t>
            </w:r>
          </w:p>
        </w:tc>
        <w:tc>
          <w:tcPr>
            <w:tcW w:w="1496" w:type="dxa"/>
            <w:vAlign w:val="center"/>
          </w:tcPr>
          <w:p w14:paraId="6E26BC76">
            <w:pPr>
              <w:jc w:val="center"/>
              <w:rPr>
                <w:rFonts w:hint="default" w:ascii="Times New Roman" w:hAnsi="Times New Roman" w:cs="Times New Roman"/>
                <w:vertAlign w:val="baseline"/>
              </w:rPr>
            </w:pPr>
          </w:p>
        </w:tc>
      </w:tr>
      <w:tr w14:paraId="1E0B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326" w:type="dxa"/>
            <w:gridSpan w:val="4"/>
            <w:vAlign w:val="center"/>
          </w:tcPr>
          <w:p w14:paraId="21C2DB29">
            <w:pPr>
              <w:adjustRightInd w:val="0"/>
              <w:snapToGrid w:val="0"/>
              <w:spacing w:line="264" w:lineRule="auto"/>
              <w:jc w:val="center"/>
              <w:rPr>
                <w:rFonts w:hint="default" w:ascii="Times New Roman" w:hAnsi="Times New Roman" w:eastAsia="仿宋_GB2312" w:cs="Times New Roman"/>
                <w:color w:val="000000"/>
                <w:kern w:val="2"/>
                <w:sz w:val="21"/>
                <w:szCs w:val="24"/>
                <w:lang w:val="en-US" w:eastAsia="zh-CN" w:bidi="ar-SA"/>
              </w:rPr>
            </w:pPr>
            <w:r>
              <w:rPr>
                <w:rFonts w:hint="default" w:ascii="Times New Roman" w:hAnsi="Times New Roman" w:eastAsia="仿宋_GB2312" w:cs="Times New Roman"/>
                <w:color w:val="000000"/>
              </w:rPr>
              <w:t>□是否原消防重点单位</w:t>
            </w:r>
          </w:p>
        </w:tc>
        <w:tc>
          <w:tcPr>
            <w:tcW w:w="6196" w:type="dxa"/>
            <w:gridSpan w:val="3"/>
            <w:vAlign w:val="center"/>
          </w:tcPr>
          <w:p w14:paraId="1AD97211">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□否    □区、县消防重点单位    □市消防重点单位</w:t>
            </w:r>
          </w:p>
        </w:tc>
      </w:tr>
      <w:tr w14:paraId="56D1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restart"/>
            <w:vAlign w:val="center"/>
          </w:tcPr>
          <w:p w14:paraId="44C5CA1A">
            <w:pPr>
              <w:adjustRightInd w:val="0"/>
              <w:snapToGrid w:val="0"/>
              <w:spacing w:line="264" w:lineRule="auto"/>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申</w:t>
            </w:r>
          </w:p>
          <w:p w14:paraId="008D06D0">
            <w:pPr>
              <w:adjustRightInd w:val="0"/>
              <w:snapToGrid w:val="0"/>
              <w:spacing w:line="264" w:lineRule="auto"/>
              <w:jc w:val="center"/>
              <w:rPr>
                <w:rFonts w:hint="default" w:ascii="Times New Roman" w:hAnsi="Times New Roman" w:eastAsia="仿宋_GB2312" w:cs="Times New Roman"/>
                <w:color w:val="000000"/>
              </w:rPr>
            </w:pPr>
          </w:p>
          <w:p w14:paraId="6DFAE7E4">
            <w:pPr>
              <w:adjustRightInd w:val="0"/>
              <w:snapToGrid w:val="0"/>
              <w:spacing w:line="264" w:lineRule="auto"/>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报</w:t>
            </w:r>
          </w:p>
          <w:p w14:paraId="12CDA912">
            <w:pPr>
              <w:adjustRightInd w:val="0"/>
              <w:snapToGrid w:val="0"/>
              <w:spacing w:line="264" w:lineRule="auto"/>
              <w:jc w:val="center"/>
              <w:rPr>
                <w:rFonts w:hint="default" w:ascii="Times New Roman" w:hAnsi="Times New Roman" w:eastAsia="仿宋_GB2312" w:cs="Times New Roman"/>
                <w:color w:val="000000"/>
              </w:rPr>
            </w:pPr>
          </w:p>
          <w:p w14:paraId="1DDC087A">
            <w:pPr>
              <w:adjustRightInd w:val="0"/>
              <w:snapToGrid w:val="0"/>
              <w:spacing w:line="264" w:lineRule="auto"/>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单</w:t>
            </w:r>
          </w:p>
          <w:p w14:paraId="2EB1603D">
            <w:pPr>
              <w:adjustRightInd w:val="0"/>
              <w:snapToGrid w:val="0"/>
              <w:spacing w:line="264" w:lineRule="auto"/>
              <w:jc w:val="center"/>
              <w:rPr>
                <w:rFonts w:hint="default" w:ascii="Times New Roman" w:hAnsi="Times New Roman" w:eastAsia="仿宋_GB2312" w:cs="Times New Roman"/>
                <w:color w:val="000000"/>
              </w:rPr>
            </w:pPr>
          </w:p>
          <w:p w14:paraId="3330E457">
            <w:pPr>
              <w:adjustRightInd w:val="0"/>
              <w:snapToGrid w:val="0"/>
              <w:spacing w:line="264" w:lineRule="auto"/>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位</w:t>
            </w:r>
          </w:p>
          <w:p w14:paraId="760CE670">
            <w:pPr>
              <w:adjustRightInd w:val="0"/>
              <w:snapToGrid w:val="0"/>
              <w:spacing w:line="264" w:lineRule="auto"/>
              <w:jc w:val="center"/>
              <w:rPr>
                <w:rFonts w:hint="default" w:ascii="Times New Roman" w:hAnsi="Times New Roman" w:eastAsia="仿宋_GB2312" w:cs="Times New Roman"/>
                <w:color w:val="000000"/>
              </w:rPr>
            </w:pPr>
          </w:p>
          <w:p w14:paraId="27B7F4B8">
            <w:pPr>
              <w:adjustRightInd w:val="0"/>
              <w:snapToGrid w:val="0"/>
              <w:spacing w:line="264" w:lineRule="auto"/>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属</w:t>
            </w:r>
          </w:p>
          <w:p w14:paraId="00DB2D42">
            <w:pPr>
              <w:adjustRightInd w:val="0"/>
              <w:snapToGrid w:val="0"/>
              <w:spacing w:line="264" w:lineRule="auto"/>
              <w:jc w:val="center"/>
              <w:rPr>
                <w:rFonts w:hint="default" w:ascii="Times New Roman" w:hAnsi="Times New Roman" w:eastAsia="仿宋_GB2312" w:cs="Times New Roman"/>
                <w:color w:val="000000"/>
              </w:rPr>
            </w:pPr>
          </w:p>
          <w:p w14:paraId="1327E78D">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性</w:t>
            </w:r>
          </w:p>
        </w:tc>
        <w:tc>
          <w:tcPr>
            <w:tcW w:w="1486" w:type="dxa"/>
            <w:gridSpan w:val="2"/>
            <w:vMerge w:val="restart"/>
            <w:vAlign w:val="center"/>
          </w:tcPr>
          <w:p w14:paraId="67C32DBC">
            <w:pPr>
              <w:jc w:val="center"/>
              <w:rPr>
                <w:rFonts w:hint="default" w:ascii="Times New Roman" w:hAnsi="Times New Roman" w:cs="Times New Roman" w:eastAsiaTheme="minorEastAsia"/>
                <w:vertAlign w:val="baseline"/>
                <w:lang w:eastAsia="zh-CN"/>
              </w:rPr>
            </w:pPr>
            <w:r>
              <w:rPr>
                <w:rFonts w:hint="default" w:ascii="Times New Roman" w:hAnsi="Times New Roman" w:eastAsia="仿宋_GB2312" w:cs="Times New Roman"/>
                <w:color w:val="000000"/>
                <w:lang w:eastAsia="zh-CN"/>
              </w:rPr>
              <w:t>公众聚集场所</w:t>
            </w:r>
          </w:p>
        </w:tc>
        <w:tc>
          <w:tcPr>
            <w:tcW w:w="6411" w:type="dxa"/>
            <w:gridSpan w:val="4"/>
            <w:vAlign w:val="center"/>
          </w:tcPr>
          <w:p w14:paraId="3BBC765D">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□客房数在100间以上</w:t>
            </w:r>
            <w:r>
              <w:rPr>
                <w:rFonts w:hint="default" w:ascii="Times New Roman" w:hAnsi="Times New Roman" w:eastAsia="仿宋_GB2312" w:cs="Times New Roman"/>
                <w:color w:val="000000"/>
                <w:lang w:val="en-US" w:eastAsia="zh-CN"/>
              </w:rPr>
              <w:t xml:space="preserve">   </w:t>
            </w:r>
            <w:r>
              <w:rPr>
                <w:rFonts w:hint="default" w:ascii="Times New Roman" w:hAnsi="Times New Roman" w:eastAsia="仿宋_GB2312" w:cs="Times New Roman"/>
                <w:color w:val="000000"/>
              </w:rPr>
              <w:t>□设置于地下、半地下客房数在50间以上</w:t>
            </w:r>
          </w:p>
          <w:p w14:paraId="2C49500B">
            <w:pPr>
              <w:jc w:val="left"/>
              <w:rPr>
                <w:rFonts w:hint="default" w:ascii="Times New Roman" w:hAnsi="Times New Roman" w:cs="Times New Roman"/>
                <w:vertAlign w:val="baseline"/>
              </w:rPr>
            </w:pPr>
            <w:r>
              <w:rPr>
                <w:rFonts w:hint="default" w:ascii="Times New Roman" w:hAnsi="Times New Roman" w:eastAsia="仿宋_GB2312" w:cs="Times New Roman"/>
                <w:color w:val="000000"/>
              </w:rPr>
              <w:t>□建筑面积在3000平方米以上的旅馆</w:t>
            </w:r>
          </w:p>
        </w:tc>
      </w:tr>
      <w:tr w14:paraId="564A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09160DBE">
            <w:pPr>
              <w:jc w:val="center"/>
              <w:rPr>
                <w:rFonts w:hint="default" w:ascii="Times New Roman" w:hAnsi="Times New Roman" w:eastAsia="仿宋_GB2312" w:cs="Times New Roman"/>
                <w:color w:val="000000"/>
              </w:rPr>
            </w:pPr>
          </w:p>
        </w:tc>
        <w:tc>
          <w:tcPr>
            <w:tcW w:w="1486" w:type="dxa"/>
            <w:gridSpan w:val="2"/>
            <w:vMerge w:val="continue"/>
            <w:vAlign w:val="center"/>
          </w:tcPr>
          <w:p w14:paraId="3216C0A8">
            <w:pPr>
              <w:jc w:val="center"/>
              <w:rPr>
                <w:rFonts w:hint="default" w:ascii="Times New Roman" w:hAnsi="Times New Roman" w:cs="Times New Roman"/>
                <w:vertAlign w:val="baseline"/>
              </w:rPr>
            </w:pPr>
          </w:p>
        </w:tc>
        <w:tc>
          <w:tcPr>
            <w:tcW w:w="6411" w:type="dxa"/>
            <w:gridSpan w:val="4"/>
            <w:vAlign w:val="center"/>
          </w:tcPr>
          <w:p w14:paraId="3873574A">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□建筑面积在3000平方米以上</w:t>
            </w:r>
          </w:p>
          <w:p w14:paraId="7AFB1EAF">
            <w:pPr>
              <w:ind w:left="210" w:hanging="210" w:hangingChars="100"/>
              <w:jc w:val="left"/>
              <w:rPr>
                <w:rFonts w:hint="default" w:ascii="Times New Roman" w:hAnsi="Times New Roman" w:cs="Times New Roman"/>
                <w:vertAlign w:val="baseline"/>
              </w:rPr>
            </w:pPr>
            <w:r>
              <w:rPr>
                <w:rFonts w:hint="default" w:ascii="Times New Roman" w:hAnsi="Times New Roman" w:eastAsia="仿宋_GB2312" w:cs="Times New Roman"/>
                <w:color w:val="000000"/>
              </w:rPr>
              <w:t>□设置于地下半地下建筑面积在500平方米以上</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室内经营可燃商品的商场、集贸市场</w:t>
            </w:r>
          </w:p>
        </w:tc>
      </w:tr>
      <w:tr w14:paraId="5894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5AF0C816">
            <w:pPr>
              <w:jc w:val="center"/>
              <w:rPr>
                <w:rFonts w:hint="default" w:ascii="Times New Roman" w:hAnsi="Times New Roman" w:eastAsia="仿宋_GB2312" w:cs="Times New Roman"/>
                <w:color w:val="000000"/>
              </w:rPr>
            </w:pPr>
          </w:p>
        </w:tc>
        <w:tc>
          <w:tcPr>
            <w:tcW w:w="1486" w:type="dxa"/>
            <w:gridSpan w:val="2"/>
            <w:vMerge w:val="continue"/>
            <w:vAlign w:val="center"/>
          </w:tcPr>
          <w:p w14:paraId="59C73965">
            <w:pPr>
              <w:jc w:val="center"/>
              <w:rPr>
                <w:rFonts w:hint="default" w:ascii="Times New Roman" w:hAnsi="Times New Roman" w:cs="Times New Roman"/>
                <w:vertAlign w:val="baseline"/>
              </w:rPr>
            </w:pPr>
          </w:p>
        </w:tc>
        <w:tc>
          <w:tcPr>
            <w:tcW w:w="6411" w:type="dxa"/>
            <w:gridSpan w:val="4"/>
            <w:vAlign w:val="center"/>
          </w:tcPr>
          <w:p w14:paraId="3F8DA8D9">
            <w:pPr>
              <w:ind w:left="210" w:hanging="210" w:hangingChars="100"/>
              <w:jc w:val="left"/>
              <w:rPr>
                <w:rFonts w:hint="default" w:ascii="Times New Roman" w:hAnsi="Times New Roman" w:cs="Times New Roman"/>
                <w:vertAlign w:val="baseline"/>
              </w:rPr>
            </w:pPr>
            <w:r>
              <w:rPr>
                <w:rFonts w:hint="default" w:ascii="Times New Roman" w:hAnsi="Times New Roman" w:eastAsia="仿宋_GB2312" w:cs="Times New Roman"/>
                <w:color w:val="000000"/>
              </w:rPr>
              <w:t>□任一层面积在1500平方米以上或</w:t>
            </w:r>
            <w:r>
              <w:rPr>
                <w:rFonts w:hint="default" w:ascii="Times New Roman" w:hAnsi="Times New Roman" w:eastAsia="仿宋_GB2312" w:cs="Times New Roman"/>
                <w:color w:val="000000"/>
                <w:lang w:val="en-US" w:eastAsia="zh-CN"/>
              </w:rPr>
              <w:t>者</w:t>
            </w:r>
            <w:r>
              <w:rPr>
                <w:rFonts w:hint="default" w:ascii="Times New Roman" w:hAnsi="Times New Roman" w:eastAsia="仿宋_GB2312" w:cs="Times New Roman"/>
                <w:color w:val="000000"/>
              </w:rPr>
              <w:t>总建筑面积在3000平方米以上的不具有娱乐功能的餐饮场所</w:t>
            </w:r>
          </w:p>
        </w:tc>
      </w:tr>
      <w:tr w14:paraId="44D6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1E624A22">
            <w:pPr>
              <w:jc w:val="center"/>
              <w:rPr>
                <w:rFonts w:hint="default" w:ascii="Times New Roman" w:hAnsi="Times New Roman" w:eastAsia="仿宋_GB2312" w:cs="Times New Roman"/>
                <w:color w:val="000000"/>
              </w:rPr>
            </w:pPr>
          </w:p>
        </w:tc>
        <w:tc>
          <w:tcPr>
            <w:tcW w:w="1486" w:type="dxa"/>
            <w:gridSpan w:val="2"/>
            <w:vMerge w:val="continue"/>
            <w:vAlign w:val="center"/>
          </w:tcPr>
          <w:p w14:paraId="06853AEB">
            <w:pPr>
              <w:jc w:val="center"/>
              <w:rPr>
                <w:rFonts w:hint="default" w:ascii="Times New Roman" w:hAnsi="Times New Roman" w:cs="Times New Roman"/>
                <w:vertAlign w:val="baseline"/>
              </w:rPr>
            </w:pPr>
          </w:p>
        </w:tc>
        <w:tc>
          <w:tcPr>
            <w:tcW w:w="6411" w:type="dxa"/>
            <w:gridSpan w:val="4"/>
            <w:vAlign w:val="center"/>
          </w:tcPr>
          <w:p w14:paraId="24354503">
            <w:pPr>
              <w:ind w:left="210" w:hanging="210" w:hangingChars="100"/>
              <w:jc w:val="left"/>
              <w:rPr>
                <w:rFonts w:hint="default" w:ascii="Times New Roman" w:hAnsi="Times New Roman" w:cs="Times New Roman"/>
                <w:vertAlign w:val="baseline"/>
              </w:rPr>
            </w:pPr>
            <w:r>
              <w:rPr>
                <w:rFonts w:hint="default" w:ascii="Times New Roman" w:hAnsi="Times New Roman" w:eastAsia="仿宋_GB2312" w:cs="Times New Roman"/>
                <w:color w:val="000000"/>
              </w:rPr>
              <w:t>□建筑面积在3000平方米以上的客运车站候车室、客运码头候船厅、民用机场航站楼</w:t>
            </w:r>
          </w:p>
        </w:tc>
      </w:tr>
      <w:tr w14:paraId="6E6F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11530B5C">
            <w:pPr>
              <w:jc w:val="center"/>
              <w:rPr>
                <w:rFonts w:hint="default" w:ascii="Times New Roman" w:hAnsi="Times New Roman" w:eastAsia="仿宋_GB2312" w:cs="Times New Roman"/>
                <w:color w:val="000000"/>
              </w:rPr>
            </w:pPr>
          </w:p>
        </w:tc>
        <w:tc>
          <w:tcPr>
            <w:tcW w:w="1486" w:type="dxa"/>
            <w:gridSpan w:val="2"/>
            <w:vMerge w:val="continue"/>
            <w:vAlign w:val="center"/>
          </w:tcPr>
          <w:p w14:paraId="6F16FDD4">
            <w:pPr>
              <w:jc w:val="center"/>
              <w:rPr>
                <w:rFonts w:hint="default" w:ascii="Times New Roman" w:hAnsi="Times New Roman" w:cs="Times New Roman"/>
                <w:vertAlign w:val="baseline"/>
              </w:rPr>
            </w:pPr>
          </w:p>
        </w:tc>
        <w:tc>
          <w:tcPr>
            <w:tcW w:w="6411" w:type="dxa"/>
            <w:gridSpan w:val="4"/>
            <w:vAlign w:val="center"/>
          </w:tcPr>
          <w:p w14:paraId="32C30736">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□观众席在20000座以上的公共体育场</w:t>
            </w:r>
          </w:p>
          <w:p w14:paraId="33A852C3">
            <w:pPr>
              <w:jc w:val="left"/>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rPr>
              <w:t>□观众席在3000座以上的公共体育馆</w:t>
            </w:r>
            <w:r>
              <w:rPr>
                <w:rFonts w:hint="default" w:ascii="Times New Roman" w:hAnsi="Times New Roman" w:eastAsia="仿宋_GB2312" w:cs="Times New Roman"/>
                <w:color w:val="000000"/>
                <w:lang w:val="en-US" w:eastAsia="zh-CN"/>
              </w:rPr>
              <w:t xml:space="preserve">     </w:t>
            </w:r>
          </w:p>
          <w:p w14:paraId="66515851">
            <w:pPr>
              <w:jc w:val="left"/>
              <w:rPr>
                <w:rFonts w:hint="default" w:ascii="Times New Roman" w:hAnsi="Times New Roman" w:cs="Times New Roman"/>
                <w:vertAlign w:val="baseline"/>
              </w:rPr>
            </w:pPr>
            <w:r>
              <w:rPr>
                <w:rFonts w:hint="default" w:ascii="Times New Roman" w:hAnsi="Times New Roman" w:eastAsia="仿宋_GB2312" w:cs="Times New Roman"/>
                <w:color w:val="000000"/>
              </w:rPr>
              <w:t>□座位数大于2000个的公共会堂</w:t>
            </w:r>
          </w:p>
        </w:tc>
      </w:tr>
      <w:tr w14:paraId="64BD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7204B8F1">
            <w:pPr>
              <w:jc w:val="center"/>
              <w:rPr>
                <w:rFonts w:hint="default" w:ascii="Times New Roman" w:hAnsi="Times New Roman" w:eastAsia="仿宋_GB2312" w:cs="Times New Roman"/>
                <w:color w:val="000000"/>
              </w:rPr>
            </w:pPr>
          </w:p>
        </w:tc>
        <w:tc>
          <w:tcPr>
            <w:tcW w:w="1486" w:type="dxa"/>
            <w:gridSpan w:val="2"/>
            <w:vMerge w:val="continue"/>
            <w:vAlign w:val="center"/>
          </w:tcPr>
          <w:p w14:paraId="4A6B9787">
            <w:pPr>
              <w:jc w:val="center"/>
              <w:rPr>
                <w:rFonts w:hint="default" w:ascii="Times New Roman" w:hAnsi="Times New Roman" w:cs="Times New Roman"/>
                <w:vertAlign w:val="baseline"/>
              </w:rPr>
            </w:pPr>
          </w:p>
        </w:tc>
        <w:tc>
          <w:tcPr>
            <w:tcW w:w="6411" w:type="dxa"/>
            <w:gridSpan w:val="4"/>
            <w:vAlign w:val="center"/>
          </w:tcPr>
          <w:p w14:paraId="43FC0C34">
            <w:pPr>
              <w:jc w:val="left"/>
              <w:rPr>
                <w:rFonts w:hint="default" w:ascii="Times New Roman" w:hAnsi="Times New Roman" w:cs="Times New Roman"/>
                <w:vertAlign w:val="baseline"/>
              </w:rPr>
            </w:pPr>
            <w:r>
              <w:rPr>
                <w:rFonts w:hint="default" w:ascii="Times New Roman" w:hAnsi="Times New Roman" w:eastAsia="仿宋_GB2312" w:cs="Times New Roman"/>
                <w:color w:val="000000"/>
              </w:rPr>
              <w:t>□建筑面积在500平方米以上的公共娱乐场所</w:t>
            </w:r>
          </w:p>
        </w:tc>
      </w:tr>
      <w:tr w14:paraId="1989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69838D3C">
            <w:pPr>
              <w:jc w:val="center"/>
              <w:rPr>
                <w:rFonts w:hint="default" w:ascii="Times New Roman" w:hAnsi="Times New Roman" w:eastAsia="仿宋_GB2312" w:cs="Times New Roman"/>
                <w:color w:val="000000"/>
              </w:rPr>
            </w:pPr>
          </w:p>
        </w:tc>
        <w:tc>
          <w:tcPr>
            <w:tcW w:w="1486" w:type="dxa"/>
            <w:gridSpan w:val="2"/>
            <w:vMerge w:val="restart"/>
            <w:vAlign w:val="center"/>
          </w:tcPr>
          <w:p w14:paraId="412634AC">
            <w:pPr>
              <w:adjustRightInd w:val="0"/>
              <w:snapToGrid w:val="0"/>
              <w:spacing w:line="264" w:lineRule="auto"/>
              <w:jc w:val="center"/>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lang w:eastAsia="zh-CN"/>
              </w:rPr>
              <w:t>医院、</w:t>
            </w:r>
            <w:r>
              <w:rPr>
                <w:rFonts w:hint="default" w:ascii="Times New Roman" w:hAnsi="Times New Roman" w:eastAsia="仿宋_GB2312" w:cs="Times New Roman"/>
                <w:color w:val="000000"/>
                <w:lang w:val="en-US" w:eastAsia="zh-CN"/>
              </w:rPr>
              <w:t>养老机构和</w:t>
            </w:r>
          </w:p>
          <w:p w14:paraId="6F406A5E">
            <w:pPr>
              <w:adjustRightInd w:val="0"/>
              <w:snapToGrid w:val="0"/>
              <w:spacing w:line="264" w:lineRule="auto"/>
              <w:jc w:val="center"/>
              <w:rPr>
                <w:rFonts w:hint="default" w:ascii="Times New Roman" w:hAnsi="Times New Roman" w:cs="Times New Roman" w:eastAsiaTheme="minorEastAsia"/>
                <w:vertAlign w:val="baseline"/>
                <w:lang w:val="en-US" w:eastAsia="zh-CN"/>
              </w:rPr>
            </w:pPr>
            <w:r>
              <w:rPr>
                <w:rFonts w:hint="default" w:ascii="Times New Roman" w:hAnsi="Times New Roman" w:eastAsia="仿宋_GB2312" w:cs="Times New Roman"/>
                <w:color w:val="000000"/>
                <w:lang w:val="en-US" w:eastAsia="zh-CN"/>
              </w:rPr>
              <w:t>学校、托儿所、幼儿园</w:t>
            </w:r>
          </w:p>
        </w:tc>
        <w:tc>
          <w:tcPr>
            <w:tcW w:w="6411" w:type="dxa"/>
            <w:gridSpan w:val="4"/>
            <w:vAlign w:val="center"/>
          </w:tcPr>
          <w:p w14:paraId="41D66E7D">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□床位数在100张以上的医院</w:t>
            </w:r>
          </w:p>
        </w:tc>
      </w:tr>
      <w:tr w14:paraId="4668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3CEBCF8E">
            <w:pPr>
              <w:jc w:val="center"/>
              <w:rPr>
                <w:rFonts w:hint="default" w:ascii="Times New Roman" w:hAnsi="Times New Roman" w:eastAsia="仿宋_GB2312" w:cs="Times New Roman"/>
                <w:color w:val="000000"/>
              </w:rPr>
            </w:pPr>
          </w:p>
        </w:tc>
        <w:tc>
          <w:tcPr>
            <w:tcW w:w="1486" w:type="dxa"/>
            <w:gridSpan w:val="2"/>
            <w:vMerge w:val="continue"/>
            <w:vAlign w:val="center"/>
          </w:tcPr>
          <w:p w14:paraId="7EAA94C7">
            <w:pPr>
              <w:jc w:val="center"/>
              <w:rPr>
                <w:rFonts w:hint="default" w:ascii="Times New Roman" w:hAnsi="Times New Roman" w:cs="Times New Roman"/>
                <w:vertAlign w:val="baseline"/>
              </w:rPr>
            </w:pPr>
          </w:p>
        </w:tc>
        <w:tc>
          <w:tcPr>
            <w:tcW w:w="6411" w:type="dxa"/>
            <w:gridSpan w:val="4"/>
            <w:vAlign w:val="center"/>
          </w:tcPr>
          <w:p w14:paraId="22907B47">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□老人住宿床位在50张以上的养老机构</w:t>
            </w:r>
          </w:p>
        </w:tc>
      </w:tr>
      <w:tr w14:paraId="09EB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11A79254">
            <w:pPr>
              <w:jc w:val="center"/>
              <w:rPr>
                <w:rFonts w:hint="default" w:ascii="Times New Roman" w:hAnsi="Times New Roman" w:eastAsia="仿宋_GB2312" w:cs="Times New Roman"/>
                <w:color w:val="000000"/>
              </w:rPr>
            </w:pPr>
          </w:p>
        </w:tc>
        <w:tc>
          <w:tcPr>
            <w:tcW w:w="1486" w:type="dxa"/>
            <w:gridSpan w:val="2"/>
            <w:vMerge w:val="continue"/>
            <w:vAlign w:val="center"/>
          </w:tcPr>
          <w:p w14:paraId="399982AC">
            <w:pPr>
              <w:jc w:val="center"/>
              <w:rPr>
                <w:rFonts w:hint="default" w:ascii="Times New Roman" w:hAnsi="Times New Roman" w:cs="Times New Roman"/>
                <w:vertAlign w:val="baseline"/>
              </w:rPr>
            </w:pPr>
          </w:p>
        </w:tc>
        <w:tc>
          <w:tcPr>
            <w:tcW w:w="6411" w:type="dxa"/>
            <w:gridSpan w:val="4"/>
            <w:vAlign w:val="center"/>
          </w:tcPr>
          <w:p w14:paraId="75CF194F">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□有4个班以上的托儿所</w:t>
            </w:r>
            <w:r>
              <w:rPr>
                <w:rFonts w:hint="default" w:ascii="Times New Roman" w:hAnsi="Times New Roman" w:eastAsia="仿宋_GB2312" w:cs="Times New Roman"/>
                <w:color w:val="000000"/>
                <w:lang w:val="en-US" w:eastAsia="zh-CN"/>
              </w:rPr>
              <w:t xml:space="preserve">       </w:t>
            </w:r>
            <w:r>
              <w:rPr>
                <w:rFonts w:hint="default" w:ascii="Times New Roman" w:hAnsi="Times New Roman" w:eastAsia="仿宋_GB2312" w:cs="Times New Roman"/>
                <w:color w:val="000000"/>
              </w:rPr>
              <w:t>□有5个班以上的幼儿园</w:t>
            </w:r>
          </w:p>
        </w:tc>
      </w:tr>
      <w:tr w14:paraId="0B52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2245200C">
            <w:pPr>
              <w:jc w:val="center"/>
              <w:rPr>
                <w:rFonts w:hint="default" w:ascii="Times New Roman" w:hAnsi="Times New Roman" w:eastAsia="仿宋_GB2312" w:cs="Times New Roman"/>
                <w:color w:val="000000"/>
              </w:rPr>
            </w:pPr>
          </w:p>
        </w:tc>
        <w:tc>
          <w:tcPr>
            <w:tcW w:w="1486" w:type="dxa"/>
            <w:gridSpan w:val="2"/>
            <w:vMerge w:val="continue"/>
            <w:vAlign w:val="center"/>
          </w:tcPr>
          <w:p w14:paraId="16113AD7">
            <w:pPr>
              <w:jc w:val="center"/>
              <w:rPr>
                <w:rFonts w:hint="default" w:ascii="Times New Roman" w:hAnsi="Times New Roman" w:cs="Times New Roman"/>
                <w:vertAlign w:val="baseline"/>
              </w:rPr>
            </w:pPr>
          </w:p>
        </w:tc>
        <w:tc>
          <w:tcPr>
            <w:tcW w:w="6411" w:type="dxa"/>
            <w:gridSpan w:val="4"/>
            <w:vAlign w:val="center"/>
          </w:tcPr>
          <w:p w14:paraId="112196A3">
            <w:pPr>
              <w:jc w:val="left"/>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rPr>
              <w:t>□学生床位在100张以上的小学学校</w:t>
            </w:r>
            <w:r>
              <w:rPr>
                <w:rFonts w:hint="default" w:ascii="Times New Roman" w:hAnsi="Times New Roman" w:eastAsia="仿宋_GB2312" w:cs="Times New Roman"/>
                <w:color w:val="000000"/>
                <w:lang w:val="en-US" w:eastAsia="zh-CN"/>
              </w:rPr>
              <w:t xml:space="preserve">  </w:t>
            </w:r>
          </w:p>
          <w:p w14:paraId="2DF8D618">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□学生床位在200张以上的其他学校</w:t>
            </w:r>
          </w:p>
        </w:tc>
      </w:tr>
      <w:tr w14:paraId="77B8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533E76EA">
            <w:pPr>
              <w:jc w:val="center"/>
              <w:rPr>
                <w:rFonts w:hint="default" w:ascii="Times New Roman" w:hAnsi="Times New Roman" w:eastAsia="仿宋_GB2312" w:cs="Times New Roman"/>
                <w:color w:val="000000"/>
              </w:rPr>
            </w:pPr>
          </w:p>
        </w:tc>
        <w:tc>
          <w:tcPr>
            <w:tcW w:w="1486" w:type="dxa"/>
            <w:gridSpan w:val="2"/>
            <w:vMerge w:val="continue"/>
            <w:vAlign w:val="center"/>
          </w:tcPr>
          <w:p w14:paraId="27BD2BF9">
            <w:pPr>
              <w:jc w:val="center"/>
              <w:rPr>
                <w:rFonts w:hint="default" w:ascii="Times New Roman" w:hAnsi="Times New Roman" w:cs="Times New Roman"/>
                <w:vertAlign w:val="baseline"/>
              </w:rPr>
            </w:pPr>
          </w:p>
        </w:tc>
        <w:tc>
          <w:tcPr>
            <w:tcW w:w="6411" w:type="dxa"/>
            <w:gridSpan w:val="4"/>
            <w:vAlign w:val="center"/>
          </w:tcPr>
          <w:p w14:paraId="43DEC3CA">
            <w:pPr>
              <w:jc w:val="left"/>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rPr>
              <w:t>□200人以上的非寄宿制特殊教育学校</w:t>
            </w:r>
            <w:r>
              <w:rPr>
                <w:rFonts w:hint="default" w:ascii="Times New Roman" w:hAnsi="Times New Roman" w:eastAsia="仿宋_GB2312" w:cs="Times New Roman"/>
                <w:color w:val="000000"/>
                <w:lang w:val="en-US" w:eastAsia="zh-CN"/>
              </w:rPr>
              <w:t xml:space="preserve">   </w:t>
            </w:r>
          </w:p>
          <w:p w14:paraId="4803E988">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□1000人以上的其他非寄宿制学校</w:t>
            </w:r>
          </w:p>
        </w:tc>
      </w:tr>
      <w:tr w14:paraId="2CF3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515A98D5">
            <w:pPr>
              <w:jc w:val="center"/>
              <w:rPr>
                <w:rFonts w:hint="default" w:ascii="Times New Roman" w:hAnsi="Times New Roman" w:eastAsia="仿宋_GB2312" w:cs="Times New Roman"/>
                <w:color w:val="000000"/>
              </w:rPr>
            </w:pPr>
          </w:p>
        </w:tc>
        <w:tc>
          <w:tcPr>
            <w:tcW w:w="1486" w:type="dxa"/>
            <w:gridSpan w:val="2"/>
            <w:vMerge w:val="restart"/>
            <w:vAlign w:val="center"/>
          </w:tcPr>
          <w:p w14:paraId="03BCB979">
            <w:pPr>
              <w:jc w:val="center"/>
              <w:rPr>
                <w:rFonts w:hint="default" w:ascii="Times New Roman" w:hAnsi="Times New Roman" w:cs="Times New Roman" w:eastAsiaTheme="minorEastAsia"/>
                <w:vertAlign w:val="baseline"/>
                <w:lang w:eastAsia="zh-CN"/>
              </w:rPr>
            </w:pPr>
            <w:r>
              <w:rPr>
                <w:rFonts w:hint="default" w:ascii="Times New Roman" w:hAnsi="Times New Roman" w:eastAsia="仿宋_GB2312" w:cs="Times New Roman"/>
                <w:color w:val="000000"/>
                <w:lang w:val="en-US" w:eastAsia="zh-CN"/>
              </w:rPr>
              <w:t>国家机关</w:t>
            </w:r>
          </w:p>
        </w:tc>
        <w:tc>
          <w:tcPr>
            <w:tcW w:w="6411" w:type="dxa"/>
            <w:gridSpan w:val="4"/>
            <w:vAlign w:val="center"/>
          </w:tcPr>
          <w:p w14:paraId="53E60FA5">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□县级以上党委、人大、政府、政协机关</w:t>
            </w:r>
          </w:p>
        </w:tc>
      </w:tr>
      <w:tr w14:paraId="2D35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484A4A07">
            <w:pPr>
              <w:jc w:val="center"/>
              <w:rPr>
                <w:rFonts w:hint="default" w:ascii="Times New Roman" w:hAnsi="Times New Roman" w:eastAsia="仿宋_GB2312" w:cs="Times New Roman"/>
                <w:color w:val="000000"/>
              </w:rPr>
            </w:pPr>
          </w:p>
        </w:tc>
        <w:tc>
          <w:tcPr>
            <w:tcW w:w="1486" w:type="dxa"/>
            <w:gridSpan w:val="2"/>
            <w:vMerge w:val="continue"/>
            <w:vAlign w:val="center"/>
          </w:tcPr>
          <w:p w14:paraId="41D64CB5">
            <w:pPr>
              <w:jc w:val="center"/>
              <w:rPr>
                <w:rFonts w:hint="default" w:ascii="Times New Roman" w:hAnsi="Times New Roman" w:cs="Times New Roman"/>
                <w:vertAlign w:val="baseline"/>
              </w:rPr>
            </w:pPr>
          </w:p>
        </w:tc>
        <w:tc>
          <w:tcPr>
            <w:tcW w:w="6411" w:type="dxa"/>
            <w:gridSpan w:val="4"/>
            <w:vAlign w:val="center"/>
          </w:tcPr>
          <w:p w14:paraId="2E9A1AE9">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□县级以上监察委员会、人民法院和人民检察院</w:t>
            </w:r>
          </w:p>
        </w:tc>
      </w:tr>
      <w:tr w14:paraId="18DA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625" w:type="dxa"/>
            <w:vMerge w:val="continue"/>
            <w:vAlign w:val="center"/>
          </w:tcPr>
          <w:p w14:paraId="3CBB9A69">
            <w:pPr>
              <w:jc w:val="center"/>
              <w:rPr>
                <w:rFonts w:hint="default" w:ascii="Times New Roman" w:hAnsi="Times New Roman" w:eastAsia="仿宋_GB2312" w:cs="Times New Roman"/>
                <w:color w:val="000000"/>
              </w:rPr>
            </w:pPr>
          </w:p>
        </w:tc>
        <w:tc>
          <w:tcPr>
            <w:tcW w:w="1486" w:type="dxa"/>
            <w:gridSpan w:val="2"/>
            <w:vAlign w:val="center"/>
          </w:tcPr>
          <w:p w14:paraId="6FE20EAF">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广播电视台和县级以上邮政通信枢纽、数据中心</w:t>
            </w:r>
          </w:p>
        </w:tc>
        <w:tc>
          <w:tcPr>
            <w:tcW w:w="6411" w:type="dxa"/>
            <w:gridSpan w:val="4"/>
            <w:vAlign w:val="center"/>
          </w:tcPr>
          <w:p w14:paraId="2CD4822B">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□广播电视台</w:t>
            </w:r>
            <w:r>
              <w:rPr>
                <w:rFonts w:hint="default" w:ascii="Times New Roman" w:hAnsi="Times New Roman" w:eastAsia="仿宋_GB2312" w:cs="Times New Roman"/>
                <w:color w:val="000000"/>
                <w:lang w:val="en-US" w:eastAsia="zh-CN"/>
              </w:rPr>
              <w:t xml:space="preserve">      </w:t>
            </w:r>
            <w:r>
              <w:rPr>
                <w:rFonts w:hint="default" w:ascii="Times New Roman" w:hAnsi="Times New Roman" w:eastAsia="仿宋_GB2312" w:cs="Times New Roman"/>
                <w:color w:val="000000"/>
              </w:rPr>
              <w:t>□县级以上邮政、通信枢纽、数据中心</w:t>
            </w:r>
          </w:p>
        </w:tc>
      </w:tr>
      <w:tr w14:paraId="5E57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25" w:type="dxa"/>
            <w:vMerge w:val="continue"/>
            <w:vAlign w:val="center"/>
          </w:tcPr>
          <w:p w14:paraId="71FDAAE4">
            <w:pPr>
              <w:jc w:val="center"/>
              <w:rPr>
                <w:rFonts w:hint="default" w:ascii="Times New Roman" w:hAnsi="Times New Roman" w:eastAsia="仿宋_GB2312" w:cs="Times New Roman"/>
                <w:color w:val="000000"/>
              </w:rPr>
            </w:pPr>
          </w:p>
        </w:tc>
        <w:tc>
          <w:tcPr>
            <w:tcW w:w="1486" w:type="dxa"/>
            <w:gridSpan w:val="2"/>
            <w:vMerge w:val="restart"/>
            <w:vAlign w:val="center"/>
          </w:tcPr>
          <w:p w14:paraId="2DEFBD7F">
            <w:pPr>
              <w:jc w:val="center"/>
              <w:rPr>
                <w:rFonts w:hint="default" w:ascii="Times New Roman" w:hAnsi="Times New Roman" w:cs="Times New Roman"/>
                <w:vertAlign w:val="baseline"/>
              </w:rPr>
            </w:pPr>
            <w:r>
              <w:rPr>
                <w:rFonts w:hint="default" w:ascii="Times New Roman" w:hAnsi="Times New Roman" w:eastAsia="仿宋_GB2312" w:cs="Times New Roman"/>
                <w:color w:val="000000"/>
                <w:lang w:eastAsia="zh-CN"/>
              </w:rPr>
              <w:t>公共图书馆、展览馆、博物馆、档案馆、具有</w:t>
            </w:r>
            <w:r>
              <w:rPr>
                <w:rFonts w:hint="default" w:ascii="Times New Roman" w:hAnsi="Times New Roman" w:eastAsia="仿宋_GB2312" w:cs="Times New Roman"/>
                <w:color w:val="000000"/>
                <w:lang w:val="en-US" w:eastAsia="zh-CN"/>
              </w:rPr>
              <w:t>火灾危险性的文物保护单</w:t>
            </w:r>
            <w:bookmarkStart w:id="0" w:name="_GoBack"/>
            <w:r>
              <w:rPr>
                <w:rFonts w:hint="eastAsia" w:ascii="Times New Roman" w:hAnsi="Times New Roman" w:eastAsia="仿宋_GB2312" w:cs="Times New Roman"/>
                <w:color w:val="000000"/>
                <w:lang w:val="en-US" w:eastAsia="zh-CN"/>
              </w:rPr>
              <w:t>位和</w:t>
            </w:r>
            <w:bookmarkEnd w:id="0"/>
            <w:r>
              <w:rPr>
                <w:rFonts w:hint="default" w:ascii="Times New Roman" w:hAnsi="Times New Roman" w:eastAsia="仿宋_GB2312" w:cs="Times New Roman"/>
                <w:color w:val="000000"/>
                <w:lang w:val="en-US" w:eastAsia="zh-CN"/>
              </w:rPr>
              <w:t>宗教活动场所</w:t>
            </w:r>
          </w:p>
        </w:tc>
        <w:tc>
          <w:tcPr>
            <w:tcW w:w="6411" w:type="dxa"/>
            <w:gridSpan w:val="4"/>
            <w:vAlign w:val="center"/>
          </w:tcPr>
          <w:p w14:paraId="725654E7">
            <w:pPr>
              <w:jc w:val="left"/>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rPr>
              <w:t>□藏书50万册以上的公共图书馆</w:t>
            </w:r>
            <w:r>
              <w:rPr>
                <w:rFonts w:hint="default" w:ascii="Times New Roman" w:hAnsi="Times New Roman" w:eastAsia="仿宋_GB2312" w:cs="Times New Roman"/>
                <w:color w:val="000000"/>
                <w:lang w:val="en-US" w:eastAsia="zh-CN"/>
              </w:rPr>
              <w:t xml:space="preserve">  </w:t>
            </w:r>
          </w:p>
          <w:p w14:paraId="356D2A58">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□展览面积在10000平方米以上的展览馆</w:t>
            </w:r>
          </w:p>
        </w:tc>
      </w:tr>
      <w:tr w14:paraId="7BF7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vMerge w:val="continue"/>
            <w:vAlign w:val="center"/>
          </w:tcPr>
          <w:p w14:paraId="42A69A3E">
            <w:pPr>
              <w:jc w:val="center"/>
              <w:rPr>
                <w:rFonts w:hint="default" w:ascii="Times New Roman" w:hAnsi="Times New Roman" w:eastAsia="仿宋_GB2312" w:cs="Times New Roman"/>
                <w:color w:val="000000"/>
              </w:rPr>
            </w:pPr>
          </w:p>
        </w:tc>
        <w:tc>
          <w:tcPr>
            <w:tcW w:w="1486" w:type="dxa"/>
            <w:gridSpan w:val="2"/>
            <w:vMerge w:val="continue"/>
            <w:vAlign w:val="center"/>
          </w:tcPr>
          <w:p w14:paraId="3AFFE61E">
            <w:pPr>
              <w:jc w:val="center"/>
              <w:rPr>
                <w:rFonts w:hint="default" w:ascii="Times New Roman" w:hAnsi="Times New Roman" w:cs="Times New Roman"/>
                <w:vertAlign w:val="baseline"/>
              </w:rPr>
            </w:pPr>
          </w:p>
        </w:tc>
        <w:tc>
          <w:tcPr>
            <w:tcW w:w="6411" w:type="dxa"/>
            <w:gridSpan w:val="4"/>
            <w:vAlign w:val="center"/>
          </w:tcPr>
          <w:p w14:paraId="7FF2A922">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□三级以上博物馆，国家档案馆</w:t>
            </w:r>
          </w:p>
        </w:tc>
      </w:tr>
      <w:tr w14:paraId="01CF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25" w:type="dxa"/>
            <w:vMerge w:val="continue"/>
            <w:vAlign w:val="center"/>
          </w:tcPr>
          <w:p w14:paraId="20FC014A">
            <w:pPr>
              <w:jc w:val="center"/>
              <w:rPr>
                <w:rFonts w:hint="default" w:ascii="Times New Roman" w:hAnsi="Times New Roman" w:eastAsia="仿宋_GB2312" w:cs="Times New Roman"/>
                <w:color w:val="000000"/>
              </w:rPr>
            </w:pPr>
          </w:p>
        </w:tc>
        <w:tc>
          <w:tcPr>
            <w:tcW w:w="1486" w:type="dxa"/>
            <w:gridSpan w:val="2"/>
            <w:vMerge w:val="continue"/>
            <w:vAlign w:val="center"/>
          </w:tcPr>
          <w:p w14:paraId="78ECF3C6">
            <w:pPr>
              <w:jc w:val="center"/>
              <w:rPr>
                <w:rFonts w:hint="default" w:ascii="Times New Roman" w:hAnsi="Times New Roman" w:cs="Times New Roman"/>
                <w:vertAlign w:val="baseline"/>
              </w:rPr>
            </w:pPr>
          </w:p>
        </w:tc>
        <w:tc>
          <w:tcPr>
            <w:tcW w:w="6411" w:type="dxa"/>
            <w:gridSpan w:val="4"/>
            <w:vAlign w:val="center"/>
          </w:tcPr>
          <w:p w14:paraId="22E3F11B">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□具有火灾危险性的省级以上文物保护单位</w:t>
            </w:r>
          </w:p>
        </w:tc>
      </w:tr>
      <w:tr w14:paraId="46C7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787B7568">
            <w:pPr>
              <w:jc w:val="center"/>
              <w:rPr>
                <w:rFonts w:hint="default" w:ascii="Times New Roman" w:hAnsi="Times New Roman" w:eastAsia="仿宋_GB2312" w:cs="Times New Roman"/>
                <w:color w:val="000000"/>
              </w:rPr>
            </w:pPr>
          </w:p>
        </w:tc>
        <w:tc>
          <w:tcPr>
            <w:tcW w:w="1486" w:type="dxa"/>
            <w:gridSpan w:val="2"/>
            <w:vMerge w:val="continue"/>
            <w:vAlign w:val="center"/>
          </w:tcPr>
          <w:p w14:paraId="26F344F0">
            <w:pPr>
              <w:jc w:val="center"/>
              <w:rPr>
                <w:rFonts w:hint="default" w:ascii="Times New Roman" w:hAnsi="Times New Roman" w:cs="Times New Roman"/>
                <w:vertAlign w:val="baseline"/>
              </w:rPr>
            </w:pPr>
          </w:p>
        </w:tc>
        <w:tc>
          <w:tcPr>
            <w:tcW w:w="6411" w:type="dxa"/>
            <w:gridSpan w:val="4"/>
            <w:vAlign w:val="center"/>
          </w:tcPr>
          <w:p w14:paraId="591B8479">
            <w:pPr>
              <w:ind w:left="210" w:hanging="210" w:hangingChars="1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□宗教教职人员在50人以上或者建筑面积在5000平方米以上，且属于县级以上文物保护单位的宗教活动场所</w:t>
            </w:r>
          </w:p>
        </w:tc>
      </w:tr>
      <w:tr w14:paraId="0AB7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75AFB5AC">
            <w:pPr>
              <w:jc w:val="center"/>
              <w:rPr>
                <w:rFonts w:hint="default" w:ascii="Times New Roman" w:hAnsi="Times New Roman" w:eastAsia="仿宋_GB2312" w:cs="Times New Roman"/>
                <w:color w:val="000000"/>
              </w:rPr>
            </w:pPr>
          </w:p>
        </w:tc>
        <w:tc>
          <w:tcPr>
            <w:tcW w:w="1486" w:type="dxa"/>
            <w:gridSpan w:val="2"/>
            <w:vMerge w:val="restart"/>
            <w:vAlign w:val="center"/>
          </w:tcPr>
          <w:p w14:paraId="58B18567">
            <w:pPr>
              <w:jc w:val="center"/>
              <w:rPr>
                <w:rFonts w:hint="default" w:ascii="Times New Roman" w:hAnsi="Times New Roman" w:cs="Times New Roman"/>
                <w:vertAlign w:val="baseline"/>
              </w:rPr>
            </w:pPr>
            <w:r>
              <w:rPr>
                <w:rFonts w:hint="default" w:ascii="Times New Roman" w:hAnsi="Times New Roman" w:eastAsia="仿宋_GB2312" w:cs="Times New Roman"/>
                <w:color w:val="000000"/>
                <w:lang w:val="en-US" w:eastAsia="zh-CN"/>
              </w:rPr>
              <w:t>发电厂和电网经营企业、储能电站</w:t>
            </w:r>
          </w:p>
        </w:tc>
        <w:tc>
          <w:tcPr>
            <w:tcW w:w="6411" w:type="dxa"/>
            <w:gridSpan w:val="4"/>
            <w:vAlign w:val="center"/>
          </w:tcPr>
          <w:p w14:paraId="0DA1052D">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□大型发电厂（站），500KV及以上变电站</w:t>
            </w:r>
          </w:p>
        </w:tc>
      </w:tr>
      <w:tr w14:paraId="7C91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2DFE3EA7">
            <w:pPr>
              <w:jc w:val="center"/>
              <w:rPr>
                <w:rFonts w:hint="default" w:ascii="Times New Roman" w:hAnsi="Times New Roman" w:eastAsia="仿宋_GB2312" w:cs="Times New Roman"/>
                <w:color w:val="000000"/>
              </w:rPr>
            </w:pPr>
          </w:p>
        </w:tc>
        <w:tc>
          <w:tcPr>
            <w:tcW w:w="1486" w:type="dxa"/>
            <w:gridSpan w:val="2"/>
            <w:vMerge w:val="continue"/>
            <w:vAlign w:val="center"/>
          </w:tcPr>
          <w:p w14:paraId="03A59797">
            <w:pPr>
              <w:jc w:val="center"/>
              <w:rPr>
                <w:rFonts w:hint="default" w:ascii="Times New Roman" w:hAnsi="Times New Roman" w:cs="Times New Roman"/>
                <w:vertAlign w:val="baseline"/>
              </w:rPr>
            </w:pPr>
          </w:p>
        </w:tc>
        <w:tc>
          <w:tcPr>
            <w:tcW w:w="6411" w:type="dxa"/>
            <w:gridSpan w:val="4"/>
            <w:vAlign w:val="center"/>
          </w:tcPr>
          <w:p w14:paraId="0A7EA86D">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□县级以上电网经营企业、承担电力调度功能的供电单位</w:t>
            </w:r>
          </w:p>
        </w:tc>
      </w:tr>
      <w:tr w14:paraId="5A6E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7D74C0A7">
            <w:pPr>
              <w:jc w:val="center"/>
              <w:rPr>
                <w:rFonts w:hint="default" w:ascii="Times New Roman" w:hAnsi="Times New Roman" w:eastAsia="仿宋_GB2312" w:cs="Times New Roman"/>
                <w:color w:val="000000"/>
              </w:rPr>
            </w:pPr>
          </w:p>
        </w:tc>
        <w:tc>
          <w:tcPr>
            <w:tcW w:w="1486" w:type="dxa"/>
            <w:gridSpan w:val="2"/>
            <w:vMerge w:val="continue"/>
            <w:vAlign w:val="center"/>
          </w:tcPr>
          <w:p w14:paraId="5CA26871">
            <w:pPr>
              <w:jc w:val="center"/>
              <w:rPr>
                <w:rFonts w:hint="default" w:ascii="Times New Roman" w:hAnsi="Times New Roman" w:cs="Times New Roman"/>
                <w:vertAlign w:val="baseline"/>
              </w:rPr>
            </w:pPr>
          </w:p>
        </w:tc>
        <w:tc>
          <w:tcPr>
            <w:tcW w:w="6411" w:type="dxa"/>
            <w:gridSpan w:val="4"/>
            <w:vAlign w:val="center"/>
          </w:tcPr>
          <w:p w14:paraId="6E8242EE">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□功率30MW或</w:t>
            </w:r>
            <w:r>
              <w:rPr>
                <w:rFonts w:hint="default" w:ascii="Times New Roman" w:hAnsi="Times New Roman" w:eastAsia="仿宋_GB2312" w:cs="Times New Roman"/>
                <w:color w:val="000000"/>
                <w:lang w:val="en-US" w:eastAsia="zh-CN"/>
              </w:rPr>
              <w:t>者</w:t>
            </w:r>
            <w:r>
              <w:rPr>
                <w:rFonts w:hint="default" w:ascii="Times New Roman" w:hAnsi="Times New Roman" w:eastAsia="仿宋_GB2312" w:cs="Times New Roman"/>
                <w:color w:val="000000"/>
              </w:rPr>
              <w:t>容量30MW·h以上的电化学储能电站</w:t>
            </w:r>
          </w:p>
        </w:tc>
      </w:tr>
      <w:tr w14:paraId="0525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52BB0626">
            <w:pPr>
              <w:jc w:val="center"/>
              <w:rPr>
                <w:rFonts w:hint="default" w:ascii="Times New Roman" w:hAnsi="Times New Roman" w:eastAsia="仿宋_GB2312" w:cs="Times New Roman"/>
                <w:color w:val="000000"/>
              </w:rPr>
            </w:pPr>
          </w:p>
        </w:tc>
        <w:tc>
          <w:tcPr>
            <w:tcW w:w="1486" w:type="dxa"/>
            <w:gridSpan w:val="2"/>
            <w:vMerge w:val="restart"/>
            <w:vAlign w:val="center"/>
          </w:tcPr>
          <w:p w14:paraId="6424F8B5">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易燃易爆化学物品的生产、充装、储存、供应、销售单位</w:t>
            </w:r>
          </w:p>
        </w:tc>
        <w:tc>
          <w:tcPr>
            <w:tcW w:w="6411" w:type="dxa"/>
            <w:gridSpan w:val="4"/>
            <w:vAlign w:val="center"/>
          </w:tcPr>
          <w:p w14:paraId="297541C5">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□生产、储存易燃易爆化学物品的工厂、专用仓库</w:t>
            </w:r>
          </w:p>
        </w:tc>
      </w:tr>
      <w:tr w14:paraId="475F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03E5FE89">
            <w:pPr>
              <w:jc w:val="center"/>
              <w:rPr>
                <w:rFonts w:hint="default" w:ascii="Times New Roman" w:hAnsi="Times New Roman" w:eastAsia="仿宋_GB2312" w:cs="Times New Roman"/>
                <w:color w:val="000000"/>
              </w:rPr>
            </w:pPr>
          </w:p>
        </w:tc>
        <w:tc>
          <w:tcPr>
            <w:tcW w:w="1486" w:type="dxa"/>
            <w:gridSpan w:val="2"/>
            <w:vMerge w:val="continue"/>
            <w:vAlign w:val="center"/>
          </w:tcPr>
          <w:p w14:paraId="458661AE">
            <w:pPr>
              <w:jc w:val="center"/>
              <w:rPr>
                <w:rFonts w:hint="default" w:ascii="Times New Roman" w:hAnsi="Times New Roman" w:cs="Times New Roman"/>
                <w:vertAlign w:val="baseline"/>
              </w:rPr>
            </w:pPr>
          </w:p>
        </w:tc>
        <w:tc>
          <w:tcPr>
            <w:tcW w:w="6411" w:type="dxa"/>
            <w:gridSpan w:val="4"/>
            <w:vAlign w:val="center"/>
          </w:tcPr>
          <w:p w14:paraId="675A14B1">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□易燃易爆气体和液体的充装站、调压站</w:t>
            </w:r>
          </w:p>
        </w:tc>
      </w:tr>
      <w:tr w14:paraId="3B34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791357AC">
            <w:pPr>
              <w:jc w:val="center"/>
              <w:rPr>
                <w:rFonts w:hint="default" w:ascii="Times New Roman" w:hAnsi="Times New Roman" w:eastAsia="仿宋_GB2312" w:cs="Times New Roman"/>
                <w:color w:val="000000"/>
              </w:rPr>
            </w:pPr>
          </w:p>
        </w:tc>
        <w:tc>
          <w:tcPr>
            <w:tcW w:w="1486" w:type="dxa"/>
            <w:gridSpan w:val="2"/>
            <w:vMerge w:val="continue"/>
            <w:vAlign w:val="center"/>
          </w:tcPr>
          <w:p w14:paraId="6C0E02E2">
            <w:pPr>
              <w:jc w:val="center"/>
              <w:rPr>
                <w:rFonts w:hint="default" w:ascii="Times New Roman" w:hAnsi="Times New Roman" w:cs="Times New Roman"/>
                <w:vertAlign w:val="baseline"/>
              </w:rPr>
            </w:pPr>
          </w:p>
        </w:tc>
        <w:tc>
          <w:tcPr>
            <w:tcW w:w="6411" w:type="dxa"/>
            <w:gridSpan w:val="4"/>
            <w:vAlign w:val="center"/>
          </w:tcPr>
          <w:p w14:paraId="5B2019B0">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□营业性汽车加油加气加氢站、液化石油气供应站</w:t>
            </w:r>
          </w:p>
        </w:tc>
      </w:tr>
      <w:tr w14:paraId="76F9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6537A88D">
            <w:pPr>
              <w:jc w:val="center"/>
              <w:rPr>
                <w:rFonts w:hint="default" w:ascii="Times New Roman" w:hAnsi="Times New Roman" w:eastAsia="仿宋_GB2312" w:cs="Times New Roman"/>
                <w:color w:val="000000"/>
              </w:rPr>
            </w:pPr>
          </w:p>
        </w:tc>
        <w:tc>
          <w:tcPr>
            <w:tcW w:w="1486" w:type="dxa"/>
            <w:gridSpan w:val="2"/>
            <w:vMerge w:val="continue"/>
            <w:vAlign w:val="center"/>
          </w:tcPr>
          <w:p w14:paraId="4AD8A4E9">
            <w:pPr>
              <w:jc w:val="center"/>
              <w:rPr>
                <w:rFonts w:hint="default" w:ascii="Times New Roman" w:hAnsi="Times New Roman" w:cs="Times New Roman"/>
                <w:vertAlign w:val="baseline"/>
              </w:rPr>
            </w:pPr>
          </w:p>
        </w:tc>
        <w:tc>
          <w:tcPr>
            <w:tcW w:w="6411" w:type="dxa"/>
            <w:gridSpan w:val="4"/>
            <w:vAlign w:val="center"/>
          </w:tcPr>
          <w:p w14:paraId="5368C4AF">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□建筑面积在300平方米以上的经营易燃易爆化学物品的商店</w:t>
            </w:r>
          </w:p>
        </w:tc>
      </w:tr>
      <w:tr w14:paraId="6575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2528A2E9">
            <w:pPr>
              <w:jc w:val="center"/>
              <w:rPr>
                <w:rFonts w:hint="default" w:ascii="Times New Roman" w:hAnsi="Times New Roman" w:eastAsia="仿宋_GB2312" w:cs="Times New Roman"/>
                <w:color w:val="000000"/>
              </w:rPr>
            </w:pPr>
          </w:p>
        </w:tc>
        <w:tc>
          <w:tcPr>
            <w:tcW w:w="1486" w:type="dxa"/>
            <w:gridSpan w:val="2"/>
            <w:vAlign w:val="center"/>
          </w:tcPr>
          <w:p w14:paraId="2CC3A0E0">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生产、加工企业</w:t>
            </w:r>
          </w:p>
        </w:tc>
        <w:tc>
          <w:tcPr>
            <w:tcW w:w="6411" w:type="dxa"/>
            <w:gridSpan w:val="4"/>
            <w:vAlign w:val="center"/>
          </w:tcPr>
          <w:p w14:paraId="295DE3B5">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□企业员工总数在1000人以上</w:t>
            </w:r>
          </w:p>
          <w:p w14:paraId="35EE40A2">
            <w:pPr>
              <w:ind w:left="210" w:hanging="210" w:hangingChars="1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□同一建筑在同一时间的使用人数在300人以上的服装、鞋帽、玩具、木制品、家具、塑料、食品加工和纺织、印染、电子、印刷等劳动密集型企业</w:t>
            </w:r>
          </w:p>
        </w:tc>
      </w:tr>
      <w:tr w14:paraId="45C6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5DBEE79E">
            <w:pPr>
              <w:jc w:val="center"/>
              <w:rPr>
                <w:rFonts w:hint="default" w:ascii="Times New Roman" w:hAnsi="Times New Roman" w:eastAsia="仿宋_GB2312" w:cs="Times New Roman"/>
                <w:color w:val="000000"/>
              </w:rPr>
            </w:pPr>
          </w:p>
        </w:tc>
        <w:tc>
          <w:tcPr>
            <w:tcW w:w="1486" w:type="dxa"/>
            <w:gridSpan w:val="2"/>
            <w:vAlign w:val="center"/>
          </w:tcPr>
          <w:p w14:paraId="416D92E8">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国家和省级科研单位、国家实验室、全国重点实验室</w:t>
            </w:r>
          </w:p>
        </w:tc>
        <w:tc>
          <w:tcPr>
            <w:tcW w:w="6411" w:type="dxa"/>
            <w:gridSpan w:val="4"/>
            <w:vAlign w:val="center"/>
          </w:tcPr>
          <w:p w14:paraId="08A88F02">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□国家和省级科研单位、国家实验室、全国重点实验室</w:t>
            </w:r>
          </w:p>
        </w:tc>
      </w:tr>
      <w:tr w14:paraId="0880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65FFFF89">
            <w:pPr>
              <w:jc w:val="center"/>
              <w:rPr>
                <w:rFonts w:hint="default" w:ascii="Times New Roman" w:hAnsi="Times New Roman" w:eastAsia="仿宋_GB2312" w:cs="Times New Roman"/>
                <w:color w:val="000000"/>
              </w:rPr>
            </w:pPr>
          </w:p>
        </w:tc>
        <w:tc>
          <w:tcPr>
            <w:tcW w:w="1486" w:type="dxa"/>
            <w:gridSpan w:val="2"/>
            <w:vMerge w:val="restart"/>
            <w:vAlign w:val="center"/>
          </w:tcPr>
          <w:p w14:paraId="22DBB6AD">
            <w:pPr>
              <w:jc w:val="center"/>
              <w:rPr>
                <w:rFonts w:hint="default" w:ascii="Times New Roman" w:hAnsi="Times New Roman" w:cs="Times New Roman"/>
                <w:vertAlign w:val="baseline"/>
              </w:rPr>
            </w:pPr>
            <w:r>
              <w:rPr>
                <w:rFonts w:hint="default" w:ascii="Times New Roman" w:hAnsi="Times New Roman" w:eastAsia="仿宋_GB2312" w:cs="Times New Roman"/>
                <w:color w:val="000000"/>
              </w:rPr>
              <w:t>其他发生火灾可能性较大以及一旦发生火灾可能造成人身重大伤亡或者财产重大损失的单位和场所</w:t>
            </w:r>
          </w:p>
        </w:tc>
        <w:tc>
          <w:tcPr>
            <w:tcW w:w="6411" w:type="dxa"/>
            <w:gridSpan w:val="4"/>
            <w:vAlign w:val="center"/>
          </w:tcPr>
          <w:p w14:paraId="130A1AEF">
            <w:pPr>
              <w:ind w:left="210" w:hanging="210" w:hangingChars="1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□停车数量在300辆以上或者建筑面积大于10000平方米独立建造的经营性汽车库</w:t>
            </w:r>
          </w:p>
          <w:p w14:paraId="5C956F10">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□车位数大于60个或者建筑面积大于3000平方米的修车库</w:t>
            </w:r>
          </w:p>
          <w:p w14:paraId="6CB6FCD6">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□停车数量在200辆以上的公交车、客车停车场</w:t>
            </w:r>
          </w:p>
          <w:p w14:paraId="312F867F">
            <w:pPr>
              <w:ind w:left="210" w:hanging="210" w:hangingChars="100"/>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□室内集中布置充电设备且建筑面积在1000平方米以上的电动汽车充电站</w:t>
            </w:r>
          </w:p>
        </w:tc>
      </w:tr>
      <w:tr w14:paraId="21D8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0056425A">
            <w:pPr>
              <w:jc w:val="center"/>
              <w:rPr>
                <w:rFonts w:hint="default" w:ascii="Times New Roman" w:hAnsi="Times New Roman" w:eastAsia="仿宋_GB2312" w:cs="Times New Roman"/>
                <w:color w:val="000000"/>
              </w:rPr>
            </w:pPr>
          </w:p>
        </w:tc>
        <w:tc>
          <w:tcPr>
            <w:tcW w:w="1486" w:type="dxa"/>
            <w:gridSpan w:val="2"/>
            <w:vMerge w:val="continue"/>
            <w:vAlign w:val="center"/>
          </w:tcPr>
          <w:p w14:paraId="4E48C825">
            <w:pPr>
              <w:jc w:val="center"/>
              <w:rPr>
                <w:rFonts w:hint="default" w:ascii="Times New Roman" w:hAnsi="Times New Roman" w:eastAsia="仿宋_GB2312" w:cs="Times New Roman"/>
                <w:color w:val="000000"/>
              </w:rPr>
            </w:pPr>
          </w:p>
        </w:tc>
        <w:tc>
          <w:tcPr>
            <w:tcW w:w="6411" w:type="dxa"/>
            <w:gridSpan w:val="4"/>
            <w:vAlign w:val="center"/>
          </w:tcPr>
          <w:p w14:paraId="02B4A2E0">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□固定资产（建筑、设备、原材料等）价值在2亿元以上的工业企业</w:t>
            </w:r>
          </w:p>
        </w:tc>
      </w:tr>
      <w:tr w14:paraId="7CB0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19447BF1">
            <w:pPr>
              <w:jc w:val="center"/>
              <w:rPr>
                <w:rFonts w:hint="default" w:ascii="Times New Roman" w:hAnsi="Times New Roman" w:eastAsia="仿宋_GB2312" w:cs="Times New Roman"/>
                <w:color w:val="000000"/>
              </w:rPr>
            </w:pPr>
          </w:p>
        </w:tc>
        <w:tc>
          <w:tcPr>
            <w:tcW w:w="1486" w:type="dxa"/>
            <w:gridSpan w:val="2"/>
            <w:vMerge w:val="continue"/>
            <w:vAlign w:val="center"/>
          </w:tcPr>
          <w:p w14:paraId="77936EBA">
            <w:pPr>
              <w:jc w:val="center"/>
              <w:rPr>
                <w:rFonts w:hint="default" w:ascii="Times New Roman" w:hAnsi="Times New Roman" w:eastAsia="仿宋_GB2312" w:cs="Times New Roman"/>
                <w:color w:val="000000"/>
              </w:rPr>
            </w:pPr>
          </w:p>
        </w:tc>
        <w:tc>
          <w:tcPr>
            <w:tcW w:w="6411" w:type="dxa"/>
            <w:gridSpan w:val="4"/>
            <w:vAlign w:val="center"/>
          </w:tcPr>
          <w:p w14:paraId="314881DC">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□央行、商业银行的分行级以上分支机构</w:t>
            </w:r>
          </w:p>
        </w:tc>
      </w:tr>
      <w:tr w14:paraId="1B0D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70CEE657">
            <w:pPr>
              <w:jc w:val="center"/>
              <w:rPr>
                <w:rFonts w:hint="default" w:ascii="Times New Roman" w:hAnsi="Times New Roman" w:eastAsia="仿宋_GB2312" w:cs="Times New Roman"/>
                <w:color w:val="000000"/>
              </w:rPr>
            </w:pPr>
          </w:p>
        </w:tc>
        <w:tc>
          <w:tcPr>
            <w:tcW w:w="1486" w:type="dxa"/>
            <w:gridSpan w:val="2"/>
            <w:vMerge w:val="continue"/>
            <w:vAlign w:val="center"/>
          </w:tcPr>
          <w:p w14:paraId="4E2C45F0">
            <w:pPr>
              <w:jc w:val="center"/>
              <w:rPr>
                <w:rFonts w:hint="default" w:ascii="Times New Roman" w:hAnsi="Times New Roman" w:eastAsia="仿宋_GB2312" w:cs="Times New Roman"/>
                <w:color w:val="000000"/>
              </w:rPr>
            </w:pPr>
          </w:p>
        </w:tc>
        <w:tc>
          <w:tcPr>
            <w:tcW w:w="6411" w:type="dxa"/>
            <w:gridSpan w:val="4"/>
            <w:vAlign w:val="center"/>
          </w:tcPr>
          <w:p w14:paraId="2CF05FF9">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□建筑面积在50000平方米以上的大型商业综合体</w:t>
            </w:r>
          </w:p>
        </w:tc>
      </w:tr>
      <w:tr w14:paraId="57A1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dxa"/>
            <w:vMerge w:val="continue"/>
            <w:vAlign w:val="center"/>
          </w:tcPr>
          <w:p w14:paraId="7E51AEC3">
            <w:pPr>
              <w:jc w:val="center"/>
              <w:rPr>
                <w:rFonts w:hint="default" w:ascii="Times New Roman" w:hAnsi="Times New Roman" w:eastAsia="仿宋_GB2312" w:cs="Times New Roman"/>
                <w:color w:val="000000"/>
              </w:rPr>
            </w:pPr>
          </w:p>
        </w:tc>
        <w:tc>
          <w:tcPr>
            <w:tcW w:w="1486" w:type="dxa"/>
            <w:gridSpan w:val="2"/>
            <w:vMerge w:val="continue"/>
            <w:vAlign w:val="center"/>
          </w:tcPr>
          <w:p w14:paraId="046D28D9">
            <w:pPr>
              <w:jc w:val="center"/>
              <w:rPr>
                <w:rFonts w:hint="default" w:ascii="Times New Roman" w:hAnsi="Times New Roman" w:cs="Times New Roman"/>
                <w:vertAlign w:val="baseline"/>
              </w:rPr>
            </w:pPr>
          </w:p>
        </w:tc>
        <w:tc>
          <w:tcPr>
            <w:tcW w:w="6411" w:type="dxa"/>
            <w:gridSpan w:val="4"/>
            <w:vAlign w:val="center"/>
          </w:tcPr>
          <w:p w14:paraId="3BBB8570">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□城市轨道交通换乘站</w:t>
            </w:r>
          </w:p>
        </w:tc>
      </w:tr>
    </w:tbl>
    <w:p w14:paraId="54DB8DA5">
      <w:pPr>
        <w:rPr>
          <w:rFonts w:hint="default" w:ascii="Times New Roman" w:hAnsi="Times New Roman" w:cs="Times New Roman"/>
        </w:rPr>
      </w:pPr>
    </w:p>
    <w:p w14:paraId="2679A9EF">
      <w:pPr>
        <w:widowControl/>
        <w:jc w:val="left"/>
        <w:rPr>
          <w:rFonts w:hint="default" w:ascii="Times New Roman" w:hAnsi="Times New Roman" w:eastAsia="仿宋" w:cs="Times New Roman"/>
          <w:sz w:val="32"/>
          <w:szCs w:val="32"/>
        </w:rPr>
      </w:pPr>
    </w:p>
    <w:p w14:paraId="3598D81F"/>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456EC">
    <w:pPr>
      <w:pStyle w:val="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73DE0">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201600" tIns="0" rIns="2016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2Nc080gAAAAUBAAAPAAAAAAAAAAEAIAAAACIAAABkcnMvZG93bnJldi54bWxQ&#10;SwECFAAUAAAACACHTuJAbf9Y9TYCAABtBAAADgAAAAAAAAABACAAAAAhAQAAZHJzL2Uyb0RvYy54&#10;bWxQSwUGAAAAAAYABgBZAQAAyQUAAAAA&#10;">
              <v:fill on="f" focussize="0,0"/>
              <v:stroke on="f" weight="0.5pt"/>
              <v:imagedata o:title=""/>
              <o:lock v:ext="edit" aspectratio="f"/>
              <v:textbox inset="5.6mm,0mm,5.6mm,0mm" style="mso-fit-shape-to-text:t;">
                <w:txbxContent>
                  <w:p w14:paraId="79873DE0">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82550">
                        <a:noFill/>
                      </a:ln>
                    </wps:spPr>
                    <wps:txbx>
                      <w:txbxContent>
                        <w:p w14:paraId="431F8047"/>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3CQTc0gAAAAUBAAAPAAAAAAAAAAEAIAAAACIAAABk&#10;cnMvZG93bnJldi54bWxQSwECFAAUAAAACACHTuJAGWUFLdMBAACkAwAADgAAAAAAAAABACAAAAAh&#10;AQAAZHJzL2Uyb0RvYy54bWxQSwUGAAAAAAYABgBZAQAAZgUAAAAA&#10;">
              <v:fill on="f" focussize="0,0"/>
              <v:stroke on="f" weight="6.5pt"/>
              <v:imagedata o:title=""/>
              <o:lock v:ext="edit" aspectratio="f"/>
              <v:textbox inset="0mm,0mm,0mm,0mm" style="mso-fit-shape-to-text:t;">
                <w:txbxContent>
                  <w:p w14:paraId="431F8047"/>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YzY4ZmIwNGIwODU3ZmIzYTJkODYxOGZjNTIyZmIifQ=="/>
  </w:docVars>
  <w:rsids>
    <w:rsidRoot w:val="01F06FC9"/>
    <w:rsid w:val="01F06FC9"/>
    <w:rsid w:val="0E3F02BD"/>
    <w:rsid w:val="578025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customStyle="1" w:styleId="2">
    <w:name w:val="正文2"/>
    <w:basedOn w:val="1"/>
    <w:next w:val="1"/>
    <w:autoRedefine/>
    <w:qFormat/>
    <w:uiPriority w:val="0"/>
    <w:rPr>
      <w:rFonts w:ascii="Times New Roman" w:hAnsi="Times New Roman"/>
      <w:szCs w:val="21"/>
    </w:rPr>
  </w:style>
  <w:style w:type="paragraph" w:styleId="3">
    <w:name w:val="footer"/>
    <w:basedOn w:val="1"/>
    <w:qFormat/>
    <w:uiPriority w:val="99"/>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1212</Words>
  <Characters>1305</Characters>
  <Lines>0</Lines>
  <Paragraphs>0</Paragraphs>
  <TotalTime>0</TotalTime>
  <ScaleCrop>false</ScaleCrop>
  <LinksUpToDate>false</LinksUpToDate>
  <CharactersWithSpaces>1361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2024-01-12T07:57:00Z</dcterms:created>
  <dc:creator>攀枝花消防</dc:creator>
  <cp:lastModifiedBy>Administrator</cp:lastModifiedBy>
  <cp:lastPrinted>2025-02-19T02:22:47Z</cp:lastPrinted>
  <dcterms:modified xsi:type="dcterms:W3CDTF">2025-02-19T02:23:29Z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0D8541A27C4E4FD59EE2215D647E9880_11</vt:lpwstr>
  </property>
  <property fmtid="{D5CDD505-2E9C-101B-9397-08002B2CF9AE}" pid="4" name="KSOTemplateDocerSaveRecord">
    <vt:lpwstr>eyJoZGlkIjoiMmJmYzY4ZmIwNGIwODU3ZmIzYTJkODYxOGZjNTIyZmIiLCJ1c2VySWQiOiIyMDgwMDMyNzAifQ==</vt:lpwstr>
  </property>
</Properties>
</file>