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8B7FC">
      <w:pPr>
        <w:spacing w:before="264" w:line="209" w:lineRule="auto"/>
        <w:jc w:val="center"/>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8"/>
          <w:sz w:val="43"/>
          <w:szCs w:val="43"/>
        </w:rPr>
        <w:t>行政执法事项目录清单</w:t>
      </w:r>
    </w:p>
    <w:p w14:paraId="4C184143">
      <w:pPr>
        <w:spacing w:line="107" w:lineRule="exact"/>
      </w:pPr>
    </w:p>
    <w:tbl>
      <w:tblPr>
        <w:tblStyle w:val="5"/>
        <w:tblW w:w="15186" w:type="dxa"/>
        <w:tblInd w:w="-3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3014"/>
        <w:gridCol w:w="812"/>
        <w:gridCol w:w="6667"/>
        <w:gridCol w:w="1281"/>
        <w:gridCol w:w="1435"/>
        <w:gridCol w:w="1317"/>
      </w:tblGrid>
      <w:tr w14:paraId="24EF4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660" w:type="dxa"/>
            <w:textDirection w:val="tbRlV"/>
            <w:vAlign w:val="center"/>
          </w:tcPr>
          <w:p w14:paraId="43CC68C3">
            <w:pPr>
              <w:spacing w:before="236" w:line="209" w:lineRule="auto"/>
              <w:ind w:left="157"/>
              <w:jc w:val="center"/>
              <w:rPr>
                <w:rFonts w:hint="default" w:ascii="Times New Roman" w:hAnsi="Times New Roman" w:eastAsia="黑体" w:cs="Times New Roman"/>
                <w:sz w:val="24"/>
                <w:szCs w:val="24"/>
              </w:rPr>
            </w:pPr>
            <w:r>
              <w:rPr>
                <w:rFonts w:hint="default" w:ascii="Times New Roman" w:hAnsi="Times New Roman" w:eastAsia="黑体" w:cs="Times New Roman"/>
                <w:spacing w:val="-11"/>
                <w:sz w:val="24"/>
                <w:szCs w:val="24"/>
              </w:rPr>
              <w:t>序号</w:t>
            </w:r>
          </w:p>
        </w:tc>
        <w:tc>
          <w:tcPr>
            <w:tcW w:w="3014" w:type="dxa"/>
            <w:vAlign w:val="center"/>
          </w:tcPr>
          <w:p w14:paraId="3D12DDCC">
            <w:pPr>
              <w:spacing w:before="158" w:line="208" w:lineRule="auto"/>
              <w:ind w:left="173"/>
              <w:jc w:val="center"/>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事项名称</w:t>
            </w:r>
          </w:p>
        </w:tc>
        <w:tc>
          <w:tcPr>
            <w:tcW w:w="812" w:type="dxa"/>
            <w:vAlign w:val="center"/>
          </w:tcPr>
          <w:p w14:paraId="29AD23F5">
            <w:pPr>
              <w:spacing w:before="161" w:line="206" w:lineRule="auto"/>
              <w:ind w:left="190"/>
              <w:jc w:val="center"/>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事项类型</w:t>
            </w:r>
          </w:p>
        </w:tc>
        <w:tc>
          <w:tcPr>
            <w:tcW w:w="6667" w:type="dxa"/>
            <w:vAlign w:val="center"/>
          </w:tcPr>
          <w:p w14:paraId="2450BBF7">
            <w:pPr>
              <w:keepNext w:val="0"/>
              <w:keepLines w:val="0"/>
              <w:pageBreakBefore w:val="0"/>
              <w:widowControl/>
              <w:kinsoku w:val="0"/>
              <w:wordWrap/>
              <w:overflowPunct/>
              <w:topLinePunct w:val="0"/>
              <w:autoSpaceDE w:val="0"/>
              <w:autoSpaceDN w:val="0"/>
              <w:bidi w:val="0"/>
              <w:adjustRightInd w:val="0"/>
              <w:snapToGrid w:val="0"/>
              <w:spacing w:before="160" w:line="240" w:lineRule="auto"/>
              <w:ind w:left="375" w:firstLine="468" w:firstLineChars="200"/>
              <w:jc w:val="center"/>
              <w:textAlignment w:val="baseline"/>
              <w:rPr>
                <w:rFonts w:hint="default" w:ascii="Times New Roman" w:hAnsi="Times New Roman" w:eastAsia="黑体" w:cs="Times New Roman"/>
                <w:sz w:val="24"/>
                <w:szCs w:val="24"/>
              </w:rPr>
            </w:pPr>
            <w:r>
              <w:rPr>
                <w:rFonts w:hint="default" w:ascii="Times New Roman" w:hAnsi="Times New Roman" w:eastAsia="黑体" w:cs="Times New Roman"/>
                <w:spacing w:val="-3"/>
                <w:sz w:val="24"/>
                <w:szCs w:val="24"/>
              </w:rPr>
              <w:t>执法依据</w:t>
            </w:r>
          </w:p>
        </w:tc>
        <w:tc>
          <w:tcPr>
            <w:tcW w:w="1281" w:type="dxa"/>
            <w:vAlign w:val="center"/>
          </w:tcPr>
          <w:p w14:paraId="0F08A758">
            <w:pPr>
              <w:spacing w:before="160" w:line="328" w:lineRule="auto"/>
              <w:ind w:left="526" w:right="235" w:hanging="271"/>
              <w:jc w:val="center"/>
              <w:rPr>
                <w:rFonts w:hint="default" w:ascii="Times New Roman" w:hAnsi="Times New Roman" w:eastAsia="黑体" w:cs="Times New Roman"/>
                <w:spacing w:val="-6"/>
                <w:sz w:val="24"/>
                <w:szCs w:val="24"/>
              </w:rPr>
            </w:pPr>
            <w:r>
              <w:rPr>
                <w:rFonts w:hint="default" w:ascii="Times New Roman" w:hAnsi="Times New Roman" w:eastAsia="黑体" w:cs="Times New Roman"/>
                <w:spacing w:val="-6"/>
                <w:sz w:val="24"/>
                <w:szCs w:val="24"/>
              </w:rPr>
              <w:t>责任</w:t>
            </w:r>
          </w:p>
          <w:p w14:paraId="3F96870F">
            <w:pPr>
              <w:spacing w:before="160" w:line="328" w:lineRule="auto"/>
              <w:ind w:left="526" w:right="235" w:hanging="271"/>
              <w:jc w:val="center"/>
              <w:rPr>
                <w:rFonts w:hint="default" w:ascii="Times New Roman" w:hAnsi="Times New Roman" w:eastAsia="黑体" w:cs="Times New Roman"/>
                <w:sz w:val="24"/>
                <w:szCs w:val="24"/>
              </w:rPr>
            </w:pPr>
            <w:r>
              <w:rPr>
                <w:rFonts w:hint="default" w:ascii="Times New Roman" w:hAnsi="Times New Roman" w:eastAsia="黑体" w:cs="Times New Roman"/>
                <w:spacing w:val="-6"/>
                <w:sz w:val="24"/>
                <w:szCs w:val="24"/>
              </w:rPr>
              <w:t>主</w:t>
            </w:r>
            <w:r>
              <w:rPr>
                <w:rFonts w:hint="default" w:ascii="Times New Roman" w:hAnsi="Times New Roman" w:eastAsia="黑体" w:cs="Times New Roman"/>
                <w:sz w:val="24"/>
                <w:szCs w:val="24"/>
              </w:rPr>
              <w:t>体</w:t>
            </w:r>
          </w:p>
        </w:tc>
        <w:tc>
          <w:tcPr>
            <w:tcW w:w="1435" w:type="dxa"/>
            <w:vAlign w:val="center"/>
          </w:tcPr>
          <w:p w14:paraId="7C940EBE">
            <w:pPr>
              <w:spacing w:before="154" w:line="330" w:lineRule="auto"/>
              <w:ind w:left="450" w:right="156" w:hanging="269"/>
              <w:jc w:val="center"/>
              <w:rPr>
                <w:rFonts w:hint="default" w:ascii="Times New Roman" w:hAnsi="Times New Roman" w:eastAsia="黑体" w:cs="Times New Roman"/>
                <w:spacing w:val="-7"/>
                <w:sz w:val="24"/>
                <w:szCs w:val="24"/>
              </w:rPr>
            </w:pPr>
            <w:r>
              <w:rPr>
                <w:rFonts w:hint="default" w:ascii="Times New Roman" w:hAnsi="Times New Roman" w:eastAsia="黑体" w:cs="Times New Roman"/>
                <w:spacing w:val="-7"/>
                <w:sz w:val="24"/>
                <w:szCs w:val="24"/>
              </w:rPr>
              <w:t>实施</w:t>
            </w:r>
          </w:p>
          <w:p w14:paraId="5E4BF3C2">
            <w:pPr>
              <w:spacing w:before="154" w:line="330" w:lineRule="auto"/>
              <w:ind w:left="450" w:right="156" w:hanging="269"/>
              <w:jc w:val="center"/>
              <w:rPr>
                <w:rFonts w:hint="default" w:ascii="Times New Roman" w:hAnsi="Times New Roman" w:eastAsia="黑体" w:cs="Times New Roman"/>
                <w:sz w:val="24"/>
                <w:szCs w:val="24"/>
              </w:rPr>
            </w:pPr>
            <w:r>
              <w:rPr>
                <w:rFonts w:hint="default" w:ascii="Times New Roman" w:hAnsi="Times New Roman" w:eastAsia="黑体" w:cs="Times New Roman"/>
                <w:spacing w:val="-7"/>
                <w:sz w:val="24"/>
                <w:szCs w:val="24"/>
              </w:rPr>
              <w:t>主</w:t>
            </w:r>
            <w:r>
              <w:rPr>
                <w:rFonts w:hint="default" w:ascii="Times New Roman" w:hAnsi="Times New Roman" w:eastAsia="黑体" w:cs="Times New Roman"/>
                <w:sz w:val="24"/>
                <w:szCs w:val="24"/>
              </w:rPr>
              <w:t>体</w:t>
            </w:r>
          </w:p>
        </w:tc>
        <w:tc>
          <w:tcPr>
            <w:tcW w:w="1317" w:type="dxa"/>
            <w:vAlign w:val="center"/>
          </w:tcPr>
          <w:p w14:paraId="618D7C62">
            <w:pPr>
              <w:spacing w:before="156" w:line="209" w:lineRule="auto"/>
              <w:jc w:val="center"/>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备注</w:t>
            </w:r>
          </w:p>
        </w:tc>
      </w:tr>
      <w:tr w14:paraId="4B3E9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60" w:type="dxa"/>
            <w:vAlign w:val="center"/>
          </w:tcPr>
          <w:p w14:paraId="4345BCB3">
            <w:pPr>
              <w:pStyle w:val="6"/>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p>
        </w:tc>
        <w:tc>
          <w:tcPr>
            <w:tcW w:w="3014" w:type="dxa"/>
            <w:vAlign w:val="center"/>
          </w:tcPr>
          <w:p w14:paraId="06EC647E">
            <w:pPr>
              <w:pStyle w:val="6"/>
              <w:jc w:val="both"/>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en-US" w:bidi="ar"/>
              </w:rPr>
              <w:t>对适龄儿童、少年的父母或监护人未按规定送子女或被监护人就学接受义务教育的处罚</w:t>
            </w:r>
          </w:p>
        </w:tc>
        <w:tc>
          <w:tcPr>
            <w:tcW w:w="812" w:type="dxa"/>
            <w:vAlign w:val="center"/>
          </w:tcPr>
          <w:p w14:paraId="546CFC74">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en-US" w:bidi="ar"/>
              </w:rPr>
              <w:t>行政</w:t>
            </w:r>
          </w:p>
          <w:p w14:paraId="1A0667C5">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处罚</w:t>
            </w:r>
          </w:p>
        </w:tc>
        <w:tc>
          <w:tcPr>
            <w:tcW w:w="6667" w:type="dxa"/>
            <w:vAlign w:val="top"/>
          </w:tcPr>
          <w:p w14:paraId="4F66BE13">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b/>
                <w:bCs/>
                <w:snapToGrid w:val="0"/>
                <w:color w:val="000000"/>
                <w:kern w:val="0"/>
                <w:sz w:val="24"/>
                <w:szCs w:val="24"/>
                <w:lang w:val="en-US" w:eastAsia="en-US" w:bidi="ar"/>
              </w:rPr>
              <w:t>《教育行政处罚暂行实施办法》第十一条</w:t>
            </w:r>
            <w:r>
              <w:rPr>
                <w:rFonts w:hint="default" w:ascii="Times New Roman" w:hAnsi="Times New Roman" w:cs="Times New Roman" w:eastAsiaTheme="minorEastAsia"/>
                <w:snapToGrid w:val="0"/>
                <w:color w:val="000000"/>
                <w:kern w:val="0"/>
                <w:sz w:val="24"/>
                <w:szCs w:val="24"/>
                <w:lang w:val="en-US" w:eastAsia="en-US" w:bidi="ar"/>
              </w:rPr>
              <w:t>适龄儿童</w:t>
            </w:r>
            <w:r>
              <w:rPr>
                <w:rFonts w:hint="eastAsia" w:ascii="Times New Roman" w:hAnsi="Times New Roman" w:cs="Times New Roman" w:eastAsiaTheme="minorEastAsia"/>
                <w:snapToGrid w:val="0"/>
                <w:color w:val="000000"/>
                <w:kern w:val="0"/>
                <w:sz w:val="24"/>
                <w:szCs w:val="24"/>
                <w:lang w:val="en-US" w:eastAsia="zh-CN" w:bidi="ar"/>
              </w:rPr>
              <w:t>、青</w:t>
            </w:r>
            <w:r>
              <w:rPr>
                <w:rFonts w:hint="default" w:ascii="Times New Roman" w:hAnsi="Times New Roman" w:cs="Times New Roman" w:eastAsiaTheme="minorEastAsia"/>
                <w:snapToGrid w:val="0"/>
                <w:color w:val="000000"/>
                <w:kern w:val="0"/>
                <w:sz w:val="24"/>
                <w:szCs w:val="24"/>
                <w:lang w:val="en-US" w:eastAsia="en-US" w:bidi="ar"/>
              </w:rPr>
              <w:t>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281" w:type="dxa"/>
            <w:vAlign w:val="center"/>
          </w:tcPr>
          <w:p w14:paraId="638980FD">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攀枝花市</w:t>
            </w:r>
          </w:p>
          <w:p w14:paraId="7EC2BE4D">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仁和区务本乡人民政府</w:t>
            </w:r>
          </w:p>
        </w:tc>
        <w:tc>
          <w:tcPr>
            <w:tcW w:w="1435" w:type="dxa"/>
            <w:vAlign w:val="center"/>
          </w:tcPr>
          <w:p w14:paraId="1ADDE656">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攀枝花市</w:t>
            </w:r>
          </w:p>
          <w:p w14:paraId="7450A3D3">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仁和区务本乡人民政府</w:t>
            </w:r>
          </w:p>
        </w:tc>
        <w:tc>
          <w:tcPr>
            <w:tcW w:w="1317" w:type="dxa"/>
            <w:vAlign w:val="center"/>
          </w:tcPr>
          <w:p w14:paraId="115A0687">
            <w:pPr>
              <w:pStyle w:val="6"/>
              <w:jc w:val="center"/>
              <w:rPr>
                <w:rFonts w:hint="default" w:ascii="Times New Roman" w:hAnsi="Times New Roman" w:cs="Times New Roman" w:eastAsiaTheme="minorEastAsia"/>
                <w:snapToGrid w:val="0"/>
                <w:color w:val="000000"/>
                <w:kern w:val="0"/>
                <w:sz w:val="24"/>
                <w:szCs w:val="24"/>
                <w:lang w:val="en-US" w:eastAsia="en-US" w:bidi="ar"/>
              </w:rPr>
            </w:pPr>
          </w:p>
        </w:tc>
      </w:tr>
      <w:tr w14:paraId="5BC59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60" w:type="dxa"/>
            <w:vAlign w:val="center"/>
          </w:tcPr>
          <w:p w14:paraId="3D1E7E1B">
            <w:pPr>
              <w:pStyle w:val="6"/>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p>
        </w:tc>
        <w:tc>
          <w:tcPr>
            <w:tcW w:w="3014" w:type="dxa"/>
            <w:vAlign w:val="center"/>
          </w:tcPr>
          <w:p w14:paraId="70EB2ACE">
            <w:pPr>
              <w:pStyle w:val="6"/>
              <w:spacing w:before="51" w:line="229" w:lineRule="auto"/>
              <w:ind w:left="25" w:right="33" w:hanging="2"/>
              <w:jc w:val="both"/>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en-US" w:bidi="ar"/>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c>
          <w:tcPr>
            <w:tcW w:w="812" w:type="dxa"/>
            <w:vAlign w:val="center"/>
          </w:tcPr>
          <w:p w14:paraId="248A3B8F">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en-US" w:bidi="ar"/>
              </w:rPr>
              <w:t>行政</w:t>
            </w:r>
          </w:p>
          <w:p w14:paraId="28A1A8C0">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处罚</w:t>
            </w:r>
          </w:p>
        </w:tc>
        <w:tc>
          <w:tcPr>
            <w:tcW w:w="6667" w:type="dxa"/>
            <w:vAlign w:val="top"/>
          </w:tcPr>
          <w:p w14:paraId="16B8797D">
            <w:pPr>
              <w:pStyle w:val="6"/>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b/>
                <w:bCs/>
                <w:snapToGrid w:val="0"/>
                <w:color w:val="000000"/>
                <w:kern w:val="0"/>
                <w:sz w:val="24"/>
                <w:szCs w:val="24"/>
                <w:lang w:val="en-US" w:eastAsia="zh-CN" w:bidi="ar"/>
              </w:rPr>
              <w:t>《四川省城乡规划条例》第八十四条</w:t>
            </w:r>
            <w:r>
              <w:rPr>
                <w:rFonts w:hint="default" w:ascii="Times New Roman" w:hAnsi="Times New Roman" w:cs="Times New Roman" w:eastAsiaTheme="minorEastAsia"/>
                <w:snapToGrid w:val="0"/>
                <w:color w:val="000000"/>
                <w:kern w:val="0"/>
                <w:sz w:val="24"/>
                <w:szCs w:val="24"/>
                <w:lang w:val="en-US" w:eastAsia="zh-CN" w:bidi="ar"/>
              </w:rPr>
              <w:t>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c>
          <w:tcPr>
            <w:tcW w:w="1281" w:type="dxa"/>
            <w:vAlign w:val="center"/>
          </w:tcPr>
          <w:p w14:paraId="50F3563C">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攀枝花市</w:t>
            </w:r>
          </w:p>
          <w:p w14:paraId="1963FD44">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仁和区务本乡人民政府</w:t>
            </w:r>
          </w:p>
        </w:tc>
        <w:tc>
          <w:tcPr>
            <w:tcW w:w="1435" w:type="dxa"/>
            <w:vAlign w:val="center"/>
          </w:tcPr>
          <w:p w14:paraId="4F9F3812">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攀枝花市</w:t>
            </w:r>
          </w:p>
          <w:p w14:paraId="5AFD07B7">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仁和区务本乡人民政府</w:t>
            </w:r>
          </w:p>
        </w:tc>
        <w:tc>
          <w:tcPr>
            <w:tcW w:w="1317" w:type="dxa"/>
            <w:vAlign w:val="center"/>
          </w:tcPr>
          <w:p w14:paraId="31EBA85C">
            <w:pPr>
              <w:pStyle w:val="6"/>
              <w:jc w:val="center"/>
              <w:rPr>
                <w:rFonts w:hint="default" w:ascii="Times New Roman" w:hAnsi="Times New Roman" w:cs="Times New Roman" w:eastAsiaTheme="minorEastAsia"/>
                <w:snapToGrid w:val="0"/>
                <w:color w:val="000000"/>
                <w:kern w:val="0"/>
                <w:sz w:val="24"/>
                <w:szCs w:val="24"/>
                <w:lang w:val="en-US" w:eastAsia="en-US" w:bidi="ar"/>
              </w:rPr>
            </w:pPr>
          </w:p>
        </w:tc>
      </w:tr>
      <w:tr w14:paraId="476AE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60" w:type="dxa"/>
            <w:vAlign w:val="center"/>
          </w:tcPr>
          <w:p w14:paraId="150DA5F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w:t>
            </w:r>
          </w:p>
        </w:tc>
        <w:tc>
          <w:tcPr>
            <w:tcW w:w="3014" w:type="dxa"/>
            <w:vAlign w:val="center"/>
          </w:tcPr>
          <w:p w14:paraId="34FB4A1C">
            <w:pPr>
              <w:pStyle w:val="6"/>
              <w:jc w:val="both"/>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对在村庄、集镇规划区内，村民未经批准或者违反村镇规划修建住宅的处罚</w:t>
            </w:r>
          </w:p>
        </w:tc>
        <w:tc>
          <w:tcPr>
            <w:tcW w:w="812" w:type="dxa"/>
            <w:vAlign w:val="center"/>
          </w:tcPr>
          <w:p w14:paraId="36716ED0">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en-US" w:bidi="ar"/>
              </w:rPr>
              <w:t>行政</w:t>
            </w:r>
          </w:p>
          <w:p w14:paraId="2808EEA7">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处罚</w:t>
            </w:r>
          </w:p>
        </w:tc>
        <w:tc>
          <w:tcPr>
            <w:tcW w:w="6667" w:type="dxa"/>
            <w:vAlign w:val="top"/>
          </w:tcPr>
          <w:p w14:paraId="65A64AF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b/>
                <w:bCs/>
                <w:snapToGrid w:val="0"/>
                <w:color w:val="000000"/>
                <w:kern w:val="0"/>
                <w:sz w:val="24"/>
                <w:szCs w:val="24"/>
                <w:lang w:val="en-US" w:eastAsia="zh-CN" w:bidi="ar"/>
              </w:rPr>
              <w:t>《村庄和集镇规划建设管理条例》第三十七条</w:t>
            </w:r>
            <w:r>
              <w:rPr>
                <w:rFonts w:hint="default" w:ascii="Times New Roman" w:hAnsi="Times New Roman" w:cs="Times New Roman" w:eastAsiaTheme="minorEastAsia"/>
                <w:snapToGrid w:val="0"/>
                <w:color w:val="000000"/>
                <w:kern w:val="0"/>
                <w:sz w:val="24"/>
                <w:szCs w:val="24"/>
                <w:lang w:val="en-US" w:eastAsia="zh-CN" w:bidi="ar"/>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p w14:paraId="7C10C0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2.</w:t>
            </w:r>
            <w:r>
              <w:rPr>
                <w:rFonts w:hint="default" w:ascii="Times New Roman" w:hAnsi="Times New Roman" w:cs="Times New Roman" w:eastAsiaTheme="minorEastAsia"/>
                <w:b/>
                <w:bCs/>
                <w:snapToGrid w:val="0"/>
                <w:color w:val="000000"/>
                <w:kern w:val="0"/>
                <w:sz w:val="24"/>
                <w:szCs w:val="24"/>
                <w:lang w:val="en-US" w:eastAsia="zh-CN" w:bidi="ar"/>
              </w:rPr>
              <w:t>《四川省村镇规划建设管理条例》第四十四条第二款</w:t>
            </w:r>
            <w:r>
              <w:rPr>
                <w:rFonts w:hint="default" w:ascii="Times New Roman" w:hAnsi="Times New Roman" w:cs="Times New Roman" w:eastAsiaTheme="minorEastAsia"/>
                <w:snapToGrid w:val="0"/>
                <w:color w:val="000000"/>
                <w:kern w:val="0"/>
                <w:sz w:val="24"/>
                <w:szCs w:val="24"/>
                <w:lang w:val="en-US" w:eastAsia="zh-CN" w:bidi="ar"/>
              </w:rPr>
              <w:t>村民未经批准或者违反村镇规划修建住宅的，由乡级人民政府责令其停止建设或者限期拆除；尚可采取措施的，责令其限期改正，并可对责任人处以五百元以下罚款。</w:t>
            </w:r>
          </w:p>
        </w:tc>
        <w:tc>
          <w:tcPr>
            <w:tcW w:w="1281" w:type="dxa"/>
            <w:vAlign w:val="center"/>
          </w:tcPr>
          <w:p w14:paraId="69E5638D">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攀枝花市</w:t>
            </w:r>
          </w:p>
          <w:p w14:paraId="2DB9F131">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仁和区务本乡人民政府</w:t>
            </w:r>
          </w:p>
        </w:tc>
        <w:tc>
          <w:tcPr>
            <w:tcW w:w="1435" w:type="dxa"/>
            <w:vAlign w:val="center"/>
          </w:tcPr>
          <w:p w14:paraId="3D8BA720">
            <w:pPr>
              <w:pStyle w:val="6"/>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攀枝花市</w:t>
            </w:r>
          </w:p>
          <w:p w14:paraId="222C0A55">
            <w:pPr>
              <w:pStyle w:val="6"/>
              <w:jc w:val="center"/>
              <w:rPr>
                <w:rFonts w:hint="default" w:ascii="Times New Roman" w:hAnsi="Times New Roman" w:cs="Times New Roman" w:eastAsiaTheme="minorEastAsia"/>
                <w:snapToGrid w:val="0"/>
                <w:color w:val="000000"/>
                <w:kern w:val="0"/>
                <w:sz w:val="24"/>
                <w:szCs w:val="24"/>
                <w:lang w:val="en-US" w:eastAsia="en-US" w:bidi="ar"/>
              </w:rPr>
            </w:pPr>
            <w:r>
              <w:rPr>
                <w:rFonts w:hint="default" w:ascii="Times New Roman" w:hAnsi="Times New Roman" w:cs="Times New Roman" w:eastAsiaTheme="minorEastAsia"/>
                <w:snapToGrid w:val="0"/>
                <w:color w:val="000000"/>
                <w:kern w:val="0"/>
                <w:sz w:val="24"/>
                <w:szCs w:val="24"/>
                <w:lang w:val="en-US" w:eastAsia="zh-CN" w:bidi="ar"/>
              </w:rPr>
              <w:t>仁和区务本乡人民政府</w:t>
            </w:r>
          </w:p>
        </w:tc>
        <w:tc>
          <w:tcPr>
            <w:tcW w:w="1317" w:type="dxa"/>
            <w:vAlign w:val="center"/>
          </w:tcPr>
          <w:p w14:paraId="7EBC9C18">
            <w:pPr>
              <w:pStyle w:val="6"/>
              <w:jc w:val="center"/>
              <w:rPr>
                <w:rFonts w:hint="default" w:ascii="Times New Roman" w:hAnsi="Times New Roman" w:cs="Times New Roman" w:eastAsiaTheme="minorEastAsia"/>
                <w:snapToGrid w:val="0"/>
                <w:color w:val="000000"/>
                <w:kern w:val="0"/>
                <w:sz w:val="24"/>
                <w:szCs w:val="24"/>
                <w:lang w:val="en-US" w:eastAsia="en-US" w:bidi="ar"/>
              </w:rPr>
            </w:pPr>
          </w:p>
        </w:tc>
      </w:tr>
      <w:tr w14:paraId="37791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9FE4C3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w:t>
            </w:r>
          </w:p>
        </w:tc>
        <w:tc>
          <w:tcPr>
            <w:tcW w:w="3014" w:type="dxa"/>
            <w:vAlign w:val="center"/>
          </w:tcPr>
          <w:p w14:paraId="79663497">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对擅自在村庄、集镇规划区内的街道、广场、市场和车站等场所以及道路两旁修建临时建筑物、构筑物和其他设施的处罚</w:t>
            </w:r>
          </w:p>
        </w:tc>
        <w:tc>
          <w:tcPr>
            <w:tcW w:w="812" w:type="dxa"/>
            <w:vAlign w:val="center"/>
          </w:tcPr>
          <w:p w14:paraId="005BE7E8">
            <w:pPr>
              <w:bidi w:val="0"/>
              <w:jc w:val="center"/>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bidi="ar"/>
              </w:rPr>
              <w:t>行政</w:t>
            </w:r>
          </w:p>
          <w:p w14:paraId="2396276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处罚</w:t>
            </w:r>
          </w:p>
        </w:tc>
        <w:tc>
          <w:tcPr>
            <w:tcW w:w="6667" w:type="dxa"/>
            <w:vAlign w:val="top"/>
          </w:tcPr>
          <w:p w14:paraId="2C2271F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b/>
                <w:bCs/>
                <w:snapToGrid w:val="0"/>
                <w:color w:val="000000"/>
                <w:kern w:val="0"/>
                <w:sz w:val="24"/>
                <w:szCs w:val="24"/>
                <w:lang w:val="en-US" w:eastAsia="zh-CN" w:bidi="ar"/>
              </w:rPr>
              <w:t>《村庄和集镇规划建设管理条例》第四十条</w:t>
            </w:r>
            <w:r>
              <w:rPr>
                <w:rFonts w:hint="default" w:ascii="Times New Roman" w:hAnsi="Times New Roman" w:cs="Times New Roman" w:eastAsiaTheme="minorEastAsia"/>
                <w:snapToGrid w:val="0"/>
                <w:color w:val="000000"/>
                <w:kern w:val="0"/>
                <w:sz w:val="24"/>
                <w:szCs w:val="24"/>
                <w:lang w:val="en-US" w:eastAsia="zh-CN" w:bidi="ar"/>
              </w:rPr>
              <w:t>擅自在村庄、集镇规划区内的街道、广场、市场和车站等场所修建临时建筑物、构筑物和其他设施的，由乡级人民政府责令限期拆除，并可处以罚款。</w:t>
            </w:r>
          </w:p>
          <w:p w14:paraId="1F1342B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2.</w:t>
            </w:r>
            <w:r>
              <w:rPr>
                <w:rFonts w:hint="default" w:ascii="Times New Roman" w:hAnsi="Times New Roman" w:cs="Times New Roman" w:eastAsiaTheme="minorEastAsia"/>
                <w:b/>
                <w:bCs/>
                <w:snapToGrid w:val="0"/>
                <w:color w:val="000000"/>
                <w:kern w:val="0"/>
                <w:sz w:val="24"/>
                <w:szCs w:val="24"/>
                <w:lang w:val="en-US" w:eastAsia="zh-CN" w:bidi="ar"/>
              </w:rPr>
              <w:t>《四川省村镇规划建设管理条例》第四十五条</w:t>
            </w:r>
            <w:r>
              <w:rPr>
                <w:rFonts w:hint="default" w:ascii="Times New Roman" w:hAnsi="Times New Roman" w:cs="Times New Roman" w:eastAsiaTheme="minorEastAsia"/>
                <w:snapToGrid w:val="0"/>
                <w:color w:val="000000"/>
                <w:kern w:val="0"/>
                <w:sz w:val="24"/>
                <w:szCs w:val="24"/>
                <w:lang w:val="en-US" w:eastAsia="zh-CN" w:bidi="ar"/>
              </w:rPr>
              <w:t>擅自在村镇规划区内广场、市场和车站等场所以及道路两旁修建临时建筑物、构筑物和其他设施的，由乡级人民政府责令限期拆除，并可处以五百元以下罚款。</w:t>
            </w:r>
          </w:p>
        </w:tc>
        <w:tc>
          <w:tcPr>
            <w:tcW w:w="1281" w:type="dxa"/>
            <w:vAlign w:val="center"/>
          </w:tcPr>
          <w:p w14:paraId="77F7C39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C72448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6CDE3B5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2D36A7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3285586">
            <w:pPr>
              <w:bidi w:val="0"/>
              <w:jc w:val="center"/>
              <w:rPr>
                <w:rFonts w:hint="default" w:ascii="Times New Roman" w:hAnsi="Times New Roman" w:cs="Times New Roman" w:eastAsiaTheme="minorEastAsia"/>
                <w:snapToGrid w:val="0"/>
                <w:color w:val="000000"/>
                <w:kern w:val="0"/>
                <w:sz w:val="24"/>
                <w:szCs w:val="24"/>
                <w:lang w:bidi="ar"/>
              </w:rPr>
            </w:pPr>
          </w:p>
        </w:tc>
      </w:tr>
      <w:tr w14:paraId="3EFE3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8F8A78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w:t>
            </w:r>
          </w:p>
        </w:tc>
        <w:tc>
          <w:tcPr>
            <w:tcW w:w="3014" w:type="dxa"/>
            <w:vAlign w:val="center"/>
          </w:tcPr>
          <w:p w14:paraId="4CBD2A1E">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对损坏村庄和集镇的房屋、公共设施；乱堆粪便、垃圾、柴草、杂物，破坏村容镇貌和环境卫生的处罚</w:t>
            </w:r>
          </w:p>
        </w:tc>
        <w:tc>
          <w:tcPr>
            <w:tcW w:w="812" w:type="dxa"/>
            <w:vAlign w:val="center"/>
          </w:tcPr>
          <w:p w14:paraId="5B99C968">
            <w:pPr>
              <w:bidi w:val="0"/>
              <w:jc w:val="center"/>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bidi="ar"/>
              </w:rPr>
              <w:t>行政</w:t>
            </w:r>
          </w:p>
          <w:p w14:paraId="7B79671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处罚</w:t>
            </w:r>
          </w:p>
        </w:tc>
        <w:tc>
          <w:tcPr>
            <w:tcW w:w="6667" w:type="dxa"/>
            <w:vAlign w:val="top"/>
          </w:tcPr>
          <w:p w14:paraId="3CE7724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b/>
                <w:bCs/>
                <w:snapToGrid w:val="0"/>
                <w:color w:val="000000"/>
                <w:kern w:val="0"/>
                <w:sz w:val="24"/>
                <w:szCs w:val="24"/>
                <w:lang w:val="en-US" w:eastAsia="zh-CN" w:bidi="ar"/>
              </w:rPr>
              <w:t>《村庄和集镇规划建设管理条例》第三十九条</w:t>
            </w:r>
            <w:r>
              <w:rPr>
                <w:rFonts w:hint="default" w:ascii="Times New Roman" w:hAnsi="Times New Roman" w:cs="Times New Roman" w:eastAsiaTheme="minorEastAsia"/>
                <w:snapToGrid w:val="0"/>
                <w:color w:val="000000"/>
                <w:kern w:val="0"/>
                <w:sz w:val="24"/>
                <w:szCs w:val="24"/>
                <w:lang w:val="en-US" w:eastAsia="zh-CN" w:bidi="ar"/>
              </w:rPr>
              <w:t>有下列行为之一的，由乡级人民政府责令停止侵害，可以处以罚款；造成损失的，并应当赔偿：（一）损坏村庄和集镇的房屋、公共设施的；（二）乱堆粪便、垃圾、柴草，破坏村容镇貌和环境卫生的。</w:t>
            </w:r>
          </w:p>
          <w:p w14:paraId="37BCC05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2.</w:t>
            </w:r>
            <w:r>
              <w:rPr>
                <w:rFonts w:hint="default" w:ascii="Times New Roman" w:hAnsi="Times New Roman" w:cs="Times New Roman" w:eastAsiaTheme="minorEastAsia"/>
                <w:b/>
                <w:bCs/>
                <w:snapToGrid w:val="0"/>
                <w:color w:val="000000"/>
                <w:kern w:val="0"/>
                <w:sz w:val="24"/>
                <w:szCs w:val="24"/>
                <w:lang w:val="en-US" w:eastAsia="zh-CN" w:bidi="ar"/>
              </w:rPr>
              <w:t>《四川省村镇规划建设管理条例》第四十六条</w:t>
            </w:r>
            <w:r>
              <w:rPr>
                <w:rFonts w:hint="default" w:ascii="Times New Roman" w:hAnsi="Times New Roman" w:cs="Times New Roman" w:eastAsiaTheme="minorEastAsia"/>
                <w:snapToGrid w:val="0"/>
                <w:color w:val="000000"/>
                <w:kern w:val="0"/>
                <w:sz w:val="24"/>
                <w:szCs w:val="24"/>
                <w:lang w:val="en-US" w:eastAsia="zh-CN" w:bidi="ar"/>
              </w:rPr>
              <w:t>违反本条例规定，乱堆垃圾、粪便、杂物，影响村容镇貌和环境卫生的，由乡级人民政府责停止侵害、恢复原状。损坏村镇公用基础设施的，除赔偿损失外，并由乡级人民政府处以直接损失金额一倍以下罚款。</w:t>
            </w:r>
          </w:p>
        </w:tc>
        <w:tc>
          <w:tcPr>
            <w:tcW w:w="1281" w:type="dxa"/>
            <w:vAlign w:val="center"/>
          </w:tcPr>
          <w:p w14:paraId="5668F0F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83AD2D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205845F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CB7E33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652B48F">
            <w:pPr>
              <w:bidi w:val="0"/>
              <w:jc w:val="center"/>
              <w:rPr>
                <w:rFonts w:hint="default" w:ascii="Times New Roman" w:hAnsi="Times New Roman" w:cs="Times New Roman" w:eastAsiaTheme="minorEastAsia"/>
                <w:snapToGrid w:val="0"/>
                <w:color w:val="000000"/>
                <w:kern w:val="0"/>
                <w:sz w:val="24"/>
                <w:szCs w:val="24"/>
                <w:lang w:bidi="ar"/>
              </w:rPr>
            </w:pPr>
          </w:p>
        </w:tc>
      </w:tr>
      <w:tr w14:paraId="4649A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A3E2B3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w:t>
            </w:r>
          </w:p>
        </w:tc>
        <w:tc>
          <w:tcPr>
            <w:tcW w:w="3014" w:type="dxa"/>
            <w:vAlign w:val="center"/>
          </w:tcPr>
          <w:p w14:paraId="0CA136E1">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对单位和个人损坏或者擅自移动有钉螺地带警示标志的处罚</w:t>
            </w:r>
          </w:p>
        </w:tc>
        <w:tc>
          <w:tcPr>
            <w:tcW w:w="812" w:type="dxa"/>
            <w:vAlign w:val="center"/>
          </w:tcPr>
          <w:p w14:paraId="7CF48A03">
            <w:pPr>
              <w:bidi w:val="0"/>
              <w:jc w:val="center"/>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bidi="ar"/>
              </w:rPr>
              <w:t>行政</w:t>
            </w:r>
          </w:p>
          <w:p w14:paraId="1398248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处罚</w:t>
            </w:r>
          </w:p>
        </w:tc>
        <w:tc>
          <w:tcPr>
            <w:tcW w:w="6667" w:type="dxa"/>
            <w:vAlign w:val="top"/>
          </w:tcPr>
          <w:p w14:paraId="6856DCE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《血吸虫病防治条例</w:t>
            </w:r>
            <w:r>
              <w:rPr>
                <w:rFonts w:hint="eastAsia" w:ascii="Times New Roman" w:hAnsi="Times New Roman" w:cs="Times New Roman" w:eastAsiaTheme="minorEastAsia"/>
                <w:b/>
                <w:bCs/>
                <w:snapToGrid w:val="0"/>
                <w:color w:val="000000"/>
                <w:kern w:val="0"/>
                <w:sz w:val="24"/>
                <w:szCs w:val="24"/>
                <w:lang w:val="en-US" w:eastAsia="zh-CN" w:bidi="ar"/>
              </w:rPr>
              <w:t>》第</w:t>
            </w:r>
            <w:r>
              <w:rPr>
                <w:rFonts w:hint="default" w:ascii="Times New Roman" w:hAnsi="Times New Roman" w:cs="Times New Roman" w:eastAsiaTheme="minorEastAsia"/>
                <w:b/>
                <w:bCs/>
                <w:snapToGrid w:val="0"/>
                <w:color w:val="000000"/>
                <w:kern w:val="0"/>
                <w:sz w:val="24"/>
                <w:szCs w:val="24"/>
                <w:lang w:val="en-US" w:eastAsia="zh-CN" w:bidi="ar"/>
              </w:rPr>
              <w:t>五十一条</w:t>
            </w:r>
            <w:r>
              <w:rPr>
                <w:rFonts w:hint="default" w:ascii="Times New Roman" w:hAnsi="Times New Roman" w:cs="Times New Roman" w:eastAsiaTheme="minorEastAsia"/>
                <w:snapToGrid w:val="0"/>
                <w:color w:val="000000"/>
                <w:kern w:val="0"/>
                <w:sz w:val="24"/>
                <w:szCs w:val="24"/>
                <w:lang w:val="en-US" w:eastAsia="zh-CN" w:bidi="ar"/>
              </w:rPr>
              <w:t>单位和个人损坏或者擅自移动有钉螺地带警示标志的，由乡（镇）人民政府责令修复或赔偿损失，给予警告；情节严重的，对单位处1000元以上3000元以下的罚款；对个人处50元以上200元以下的罚款。</w:t>
            </w:r>
          </w:p>
        </w:tc>
        <w:tc>
          <w:tcPr>
            <w:tcW w:w="1281" w:type="dxa"/>
            <w:vAlign w:val="center"/>
          </w:tcPr>
          <w:p w14:paraId="31B0B45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0C8F3F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0C4370E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077FEB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38A2DF1">
            <w:pPr>
              <w:bidi w:val="0"/>
              <w:jc w:val="center"/>
              <w:rPr>
                <w:rFonts w:hint="default" w:ascii="Times New Roman" w:hAnsi="Times New Roman" w:cs="Times New Roman" w:eastAsiaTheme="minorEastAsia"/>
                <w:snapToGrid w:val="0"/>
                <w:color w:val="000000"/>
                <w:kern w:val="0"/>
                <w:sz w:val="24"/>
                <w:szCs w:val="24"/>
                <w:lang w:bidi="ar"/>
              </w:rPr>
            </w:pPr>
          </w:p>
        </w:tc>
      </w:tr>
      <w:tr w14:paraId="775B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5364C5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w:t>
            </w:r>
          </w:p>
        </w:tc>
        <w:tc>
          <w:tcPr>
            <w:tcW w:w="3014" w:type="dxa"/>
            <w:vAlign w:val="center"/>
          </w:tcPr>
          <w:p w14:paraId="21AF5606">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对在依法划定的电力设施保护区内修建建筑物、构筑物或者种植植物、堆放物品，危及电力设施安全的强制拆除、砍伐或者清除</w:t>
            </w:r>
          </w:p>
        </w:tc>
        <w:tc>
          <w:tcPr>
            <w:tcW w:w="812" w:type="dxa"/>
            <w:vAlign w:val="center"/>
          </w:tcPr>
          <w:p w14:paraId="6C7ACAC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1417F87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强制</w:t>
            </w:r>
          </w:p>
        </w:tc>
        <w:tc>
          <w:tcPr>
            <w:tcW w:w="6667" w:type="dxa"/>
            <w:vAlign w:val="top"/>
          </w:tcPr>
          <w:p w14:paraId="0B78D49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《中华人民共和国电力法》第六十九条</w:t>
            </w:r>
            <w:r>
              <w:rPr>
                <w:rFonts w:hint="default" w:ascii="Times New Roman" w:hAnsi="Times New Roman" w:cs="Times New Roman" w:eastAsiaTheme="minorEastAsia"/>
                <w:snapToGrid w:val="0"/>
                <w:color w:val="000000"/>
                <w:kern w:val="0"/>
                <w:sz w:val="24"/>
                <w:szCs w:val="24"/>
                <w:lang w:bidi="ar"/>
              </w:rPr>
              <w:t>违反本法第五十三条规定，在依法划定的电力设施保护区内修建建筑物、构筑物或者种植植物、堆放物品，危及电力设施安全的，由当地人民政府责令强制拆除、砍伐或者清除。</w:t>
            </w:r>
          </w:p>
        </w:tc>
        <w:tc>
          <w:tcPr>
            <w:tcW w:w="1281" w:type="dxa"/>
            <w:vAlign w:val="center"/>
          </w:tcPr>
          <w:p w14:paraId="28108D8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DF644A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6F03787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709F93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82A7704">
            <w:pPr>
              <w:bidi w:val="0"/>
              <w:jc w:val="center"/>
              <w:rPr>
                <w:rFonts w:hint="default" w:ascii="Times New Roman" w:hAnsi="Times New Roman" w:cs="Times New Roman" w:eastAsiaTheme="minorEastAsia"/>
                <w:snapToGrid w:val="0"/>
                <w:color w:val="000000"/>
                <w:kern w:val="0"/>
                <w:sz w:val="24"/>
                <w:szCs w:val="24"/>
                <w:lang w:bidi="ar"/>
              </w:rPr>
            </w:pPr>
          </w:p>
        </w:tc>
      </w:tr>
      <w:tr w14:paraId="4BB8D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603FB0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w:t>
            </w:r>
          </w:p>
        </w:tc>
        <w:tc>
          <w:tcPr>
            <w:tcW w:w="3014" w:type="dxa"/>
            <w:vAlign w:val="center"/>
          </w:tcPr>
          <w:p w14:paraId="369BD9D1">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对非法种植毒品原植物的强制制止、铲除</w:t>
            </w:r>
          </w:p>
        </w:tc>
        <w:tc>
          <w:tcPr>
            <w:tcW w:w="812" w:type="dxa"/>
            <w:vAlign w:val="center"/>
          </w:tcPr>
          <w:p w14:paraId="4656354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4D1BB52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强制</w:t>
            </w:r>
          </w:p>
        </w:tc>
        <w:tc>
          <w:tcPr>
            <w:tcW w:w="6667" w:type="dxa"/>
            <w:vAlign w:val="top"/>
          </w:tcPr>
          <w:p w14:paraId="47D053D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《中华人民共和国禁毒法》第十九条第二款</w:t>
            </w:r>
            <w:r>
              <w:rPr>
                <w:rFonts w:hint="default" w:ascii="Times New Roman" w:hAnsi="Times New Roman" w:cs="Times New Roman" w:eastAsiaTheme="minorEastAsia"/>
                <w:snapToGrid w:val="0"/>
                <w:color w:val="000000"/>
                <w:kern w:val="0"/>
                <w:sz w:val="24"/>
                <w:szCs w:val="24"/>
                <w:lang w:bidi="ar"/>
              </w:rPr>
              <w:t>地方各级人民政府发现非法种植毒品原植物的，应当立即采取措施予以制止、铲除。村民委员会、居民委员会发现非法种植毒品原植物的，应当及时予以制止、铲除，并向当地公安机关报告。</w:t>
            </w:r>
          </w:p>
        </w:tc>
        <w:tc>
          <w:tcPr>
            <w:tcW w:w="1281" w:type="dxa"/>
            <w:vAlign w:val="center"/>
          </w:tcPr>
          <w:p w14:paraId="6E06948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B4904CE">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795CCF3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612D7B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8C21A03">
            <w:pPr>
              <w:bidi w:val="0"/>
              <w:jc w:val="center"/>
              <w:rPr>
                <w:rFonts w:hint="default" w:ascii="Times New Roman" w:hAnsi="Times New Roman" w:cs="Times New Roman" w:eastAsiaTheme="minorEastAsia"/>
                <w:snapToGrid w:val="0"/>
                <w:color w:val="000000"/>
                <w:kern w:val="0"/>
                <w:sz w:val="24"/>
                <w:szCs w:val="24"/>
                <w:lang w:bidi="ar"/>
              </w:rPr>
            </w:pPr>
          </w:p>
        </w:tc>
      </w:tr>
      <w:tr w14:paraId="2EF7C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F15B8D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w:t>
            </w:r>
          </w:p>
        </w:tc>
        <w:tc>
          <w:tcPr>
            <w:tcW w:w="3014" w:type="dxa"/>
            <w:vAlign w:val="center"/>
          </w:tcPr>
          <w:p w14:paraId="1664CF25">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对受到地质灾害威胁且情况紧急时的强制避灾疏散</w:t>
            </w:r>
          </w:p>
        </w:tc>
        <w:tc>
          <w:tcPr>
            <w:tcW w:w="812" w:type="dxa"/>
            <w:vAlign w:val="center"/>
          </w:tcPr>
          <w:p w14:paraId="01A494B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515D979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强制</w:t>
            </w:r>
          </w:p>
        </w:tc>
        <w:tc>
          <w:tcPr>
            <w:tcW w:w="6667" w:type="dxa"/>
            <w:vAlign w:val="top"/>
          </w:tcPr>
          <w:p w14:paraId="4764820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《地质灾害防治条例》第二十九条</w:t>
            </w:r>
            <w:r>
              <w:rPr>
                <w:rFonts w:hint="default" w:ascii="Times New Roman" w:hAnsi="Times New Roman" w:cs="Times New Roman" w:eastAsiaTheme="minorEastAsia"/>
                <w:snapToGrid w:val="0"/>
                <w:color w:val="000000"/>
                <w:kern w:val="0"/>
                <w:sz w:val="24"/>
                <w:szCs w:val="24"/>
                <w:lang w:bidi="ar"/>
              </w:rPr>
              <w:t>接到地质灾害险情报告的当地人民政府、基层群众自治组织应当根据实际情况，及时动员受到地质灾害威胁的居民以及其他人员转移到安全地带；情况紧急时，可以强行组织避灾疏散。</w:t>
            </w:r>
          </w:p>
        </w:tc>
        <w:tc>
          <w:tcPr>
            <w:tcW w:w="1281" w:type="dxa"/>
            <w:vAlign w:val="center"/>
          </w:tcPr>
          <w:p w14:paraId="6F3156A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EE29AE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2B8F959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CD2F05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4B13210">
            <w:pPr>
              <w:bidi w:val="0"/>
              <w:jc w:val="center"/>
              <w:rPr>
                <w:rFonts w:hint="default" w:ascii="Times New Roman" w:hAnsi="Times New Roman" w:cs="Times New Roman" w:eastAsiaTheme="minorEastAsia"/>
                <w:snapToGrid w:val="0"/>
                <w:color w:val="000000"/>
                <w:kern w:val="0"/>
                <w:sz w:val="24"/>
                <w:szCs w:val="24"/>
                <w:lang w:bidi="ar"/>
              </w:rPr>
            </w:pPr>
          </w:p>
        </w:tc>
      </w:tr>
      <w:tr w14:paraId="5BABC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02A554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w:t>
            </w:r>
          </w:p>
        </w:tc>
        <w:tc>
          <w:tcPr>
            <w:tcW w:w="3014" w:type="dxa"/>
            <w:vAlign w:val="center"/>
          </w:tcPr>
          <w:p w14:paraId="0F7B0D40">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对在乡、村庄规划区内未依法取得乡村建设规划许可证或者未按照乡村建设规划许可证的规定进行建设的，逾期不</w:t>
            </w:r>
            <w:r>
              <w:rPr>
                <w:rFonts w:hint="default" w:ascii="Times New Roman" w:hAnsi="Times New Roman" w:cs="Times New Roman" w:eastAsiaTheme="minorEastAsia"/>
                <w:snapToGrid w:val="0"/>
                <w:color w:val="000000"/>
                <w:kern w:val="0"/>
                <w:sz w:val="24"/>
                <w:szCs w:val="24"/>
                <w:lang w:eastAsia="zh-CN" w:bidi="ar"/>
              </w:rPr>
              <w:t>改正的强制拆除</w:t>
            </w:r>
          </w:p>
        </w:tc>
        <w:tc>
          <w:tcPr>
            <w:tcW w:w="812" w:type="dxa"/>
            <w:vAlign w:val="center"/>
          </w:tcPr>
          <w:p w14:paraId="63A5FE1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7A71391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强制</w:t>
            </w:r>
          </w:p>
        </w:tc>
        <w:tc>
          <w:tcPr>
            <w:tcW w:w="6667" w:type="dxa"/>
            <w:vAlign w:val="top"/>
          </w:tcPr>
          <w:p w14:paraId="741438A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《中华人民共和国城乡规划法》第六十五条</w:t>
            </w:r>
            <w:r>
              <w:rPr>
                <w:rFonts w:hint="default" w:ascii="Times New Roman" w:hAnsi="Times New Roman" w:cs="Times New Roman" w:eastAsiaTheme="minorEastAsia"/>
                <w:snapToGrid w:val="0"/>
                <w:color w:val="000000"/>
                <w:kern w:val="0"/>
                <w:sz w:val="24"/>
                <w:szCs w:val="24"/>
                <w:lang w:bidi="ar"/>
              </w:rPr>
              <w:t>在乡、村庄规划区内未依法取得乡村建设规划许可证或者未按照乡村建设规划许可证的规定进行建设的，由乡、镇人民政府责令停止建设、限期改正；逾期不改正的，可以拆除。</w:t>
            </w:r>
          </w:p>
        </w:tc>
        <w:tc>
          <w:tcPr>
            <w:tcW w:w="1281" w:type="dxa"/>
            <w:vAlign w:val="center"/>
          </w:tcPr>
          <w:p w14:paraId="51167CA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9B6A8D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5F1468B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0E85E6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04B0D46">
            <w:pPr>
              <w:bidi w:val="0"/>
              <w:jc w:val="center"/>
              <w:rPr>
                <w:rFonts w:hint="default" w:ascii="Times New Roman" w:hAnsi="Times New Roman" w:cs="Times New Roman" w:eastAsiaTheme="minorEastAsia"/>
                <w:snapToGrid w:val="0"/>
                <w:color w:val="000000"/>
                <w:kern w:val="0"/>
                <w:sz w:val="24"/>
                <w:szCs w:val="24"/>
                <w:lang w:bidi="ar"/>
              </w:rPr>
            </w:pPr>
          </w:p>
        </w:tc>
      </w:tr>
      <w:tr w14:paraId="18A85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B30547A">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val="en-US" w:eastAsia="zh-CN" w:bidi="ar-SA"/>
              </w:rPr>
              <w:t>11</w:t>
            </w:r>
          </w:p>
        </w:tc>
        <w:tc>
          <w:tcPr>
            <w:tcW w:w="3014" w:type="dxa"/>
            <w:vAlign w:val="center"/>
          </w:tcPr>
          <w:p w14:paraId="539F2369">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对地质灾害险情的检查</w:t>
            </w:r>
          </w:p>
        </w:tc>
        <w:tc>
          <w:tcPr>
            <w:tcW w:w="812" w:type="dxa"/>
            <w:vAlign w:val="center"/>
          </w:tcPr>
          <w:p w14:paraId="3D66E198">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7C818C6C">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643E8F6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《地质灾害防治条例》第十五条第一款</w:t>
            </w:r>
            <w:r>
              <w:rPr>
                <w:rFonts w:hint="default" w:ascii="Times New Roman" w:hAnsi="Times New Roman" w:cs="Times New Roman" w:eastAsiaTheme="minorEastAsia"/>
                <w:snapToGrid w:val="0"/>
                <w:color w:val="000000"/>
                <w:kern w:val="0"/>
                <w:sz w:val="24"/>
                <w:szCs w:val="24"/>
                <w:lang w:bidi="ar"/>
              </w:rPr>
              <w:t>地质灾害易发区的县、乡、村应当加强地质灾害的群测群防工作。在地质灾害重点防范期内，乡镇人民政府、基层群众自治组织应当加强地质灾害险情的巡回检查，发现险情及时处理和报告。</w:t>
            </w:r>
          </w:p>
        </w:tc>
        <w:tc>
          <w:tcPr>
            <w:tcW w:w="1281" w:type="dxa"/>
            <w:vAlign w:val="center"/>
          </w:tcPr>
          <w:p w14:paraId="6B7E199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7E3086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5DA2D4F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4AF6F9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44D8545">
            <w:pPr>
              <w:bidi w:val="0"/>
              <w:jc w:val="center"/>
              <w:rPr>
                <w:rFonts w:hint="default" w:ascii="Times New Roman" w:hAnsi="Times New Roman" w:cs="Times New Roman" w:eastAsiaTheme="minorEastAsia"/>
                <w:snapToGrid w:val="0"/>
                <w:color w:val="000000"/>
                <w:kern w:val="0"/>
                <w:sz w:val="24"/>
                <w:szCs w:val="24"/>
                <w:lang w:bidi="ar"/>
              </w:rPr>
            </w:pPr>
          </w:p>
        </w:tc>
      </w:tr>
      <w:tr w14:paraId="3D3A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A0F280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w:t>
            </w:r>
          </w:p>
        </w:tc>
        <w:tc>
          <w:tcPr>
            <w:tcW w:w="3014" w:type="dxa"/>
            <w:vAlign w:val="center"/>
          </w:tcPr>
          <w:p w14:paraId="33EDAD21">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对环境保护隐患的检查</w:t>
            </w:r>
          </w:p>
        </w:tc>
        <w:tc>
          <w:tcPr>
            <w:tcW w:w="812" w:type="dxa"/>
            <w:vAlign w:val="center"/>
          </w:tcPr>
          <w:p w14:paraId="7607F5D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4A0C0BE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10EC837B">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bidi="ar"/>
              </w:rPr>
              <w:t>1.</w:t>
            </w:r>
            <w:r>
              <w:rPr>
                <w:rFonts w:hint="default" w:ascii="Times New Roman" w:hAnsi="Times New Roman" w:cs="Times New Roman" w:eastAsiaTheme="minorEastAsia"/>
                <w:b/>
                <w:bCs/>
                <w:snapToGrid w:val="0"/>
                <w:color w:val="000000"/>
                <w:kern w:val="0"/>
                <w:sz w:val="24"/>
                <w:szCs w:val="24"/>
                <w:lang w:bidi="ar"/>
              </w:rPr>
              <w:t>《四川省环境保护条例》第三条第四款</w:t>
            </w:r>
            <w:r>
              <w:rPr>
                <w:rFonts w:hint="default" w:ascii="Times New Roman" w:hAnsi="Times New Roman" w:cs="Times New Roman" w:eastAsiaTheme="minorEastAsia"/>
                <w:snapToGrid w:val="0"/>
                <w:color w:val="000000"/>
                <w:kern w:val="0"/>
                <w:sz w:val="24"/>
                <w:szCs w:val="24"/>
                <w:lang w:bidi="ar"/>
              </w:rPr>
              <w:t>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p>
          <w:p w14:paraId="2E6FE3A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2.</w:t>
            </w:r>
            <w:r>
              <w:rPr>
                <w:rFonts w:hint="default" w:ascii="Times New Roman" w:hAnsi="Times New Roman" w:cs="Times New Roman" w:eastAsiaTheme="minorEastAsia"/>
                <w:b/>
                <w:bCs/>
                <w:snapToGrid w:val="0"/>
                <w:color w:val="000000"/>
                <w:kern w:val="0"/>
                <w:sz w:val="24"/>
                <w:szCs w:val="24"/>
                <w:lang w:bidi="ar"/>
              </w:rPr>
              <w:t>《四川省</w:t>
            </w:r>
            <w:r>
              <w:rPr>
                <w:rFonts w:hint="eastAsia" w:ascii="Times New Roman" w:hAnsi="Times New Roman" w:cs="Times New Roman" w:eastAsiaTheme="minorEastAsia"/>
                <w:b/>
                <w:bCs/>
                <w:snapToGrid w:val="0"/>
                <w:color w:val="000000"/>
                <w:kern w:val="0"/>
                <w:sz w:val="24"/>
                <w:szCs w:val="24"/>
                <w:lang w:eastAsia="zh-CN" w:bidi="ar"/>
              </w:rPr>
              <w:t>〈</w:t>
            </w:r>
            <w:r>
              <w:rPr>
                <w:rFonts w:hint="default" w:ascii="Times New Roman" w:hAnsi="Times New Roman" w:cs="Times New Roman" w:eastAsiaTheme="minorEastAsia"/>
                <w:b/>
                <w:bCs/>
                <w:snapToGrid w:val="0"/>
                <w:color w:val="000000"/>
                <w:kern w:val="0"/>
                <w:sz w:val="24"/>
                <w:szCs w:val="24"/>
                <w:lang w:bidi="ar"/>
              </w:rPr>
              <w:t>中华人民共和国大气污染防治法</w:t>
            </w:r>
            <w:r>
              <w:rPr>
                <w:rFonts w:hint="eastAsia" w:ascii="Times New Roman" w:hAnsi="Times New Roman" w:cs="Times New Roman" w:eastAsiaTheme="minorEastAsia"/>
                <w:b/>
                <w:bCs/>
                <w:snapToGrid w:val="0"/>
                <w:color w:val="000000"/>
                <w:kern w:val="0"/>
                <w:sz w:val="24"/>
                <w:szCs w:val="24"/>
                <w:lang w:eastAsia="zh-CN" w:bidi="ar"/>
              </w:rPr>
              <w:t>〉</w:t>
            </w:r>
            <w:r>
              <w:rPr>
                <w:rFonts w:hint="default" w:ascii="Times New Roman" w:hAnsi="Times New Roman" w:cs="Times New Roman" w:eastAsiaTheme="minorEastAsia"/>
                <w:b/>
                <w:bCs/>
                <w:snapToGrid w:val="0"/>
                <w:color w:val="000000"/>
                <w:kern w:val="0"/>
                <w:sz w:val="24"/>
                <w:szCs w:val="24"/>
                <w:lang w:bidi="ar"/>
              </w:rPr>
              <w:t>实施办法》第三条第三款</w:t>
            </w:r>
            <w:r>
              <w:rPr>
                <w:rFonts w:hint="default" w:ascii="Times New Roman" w:hAnsi="Times New Roman" w:cs="Times New Roman" w:eastAsiaTheme="minorEastAsia"/>
                <w:snapToGrid w:val="0"/>
                <w:color w:val="000000"/>
                <w:kern w:val="0"/>
                <w:sz w:val="24"/>
                <w:szCs w:val="24"/>
                <w:lang w:bidi="ar"/>
              </w:rPr>
              <w:t>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c>
          <w:tcPr>
            <w:tcW w:w="1281" w:type="dxa"/>
            <w:vAlign w:val="center"/>
          </w:tcPr>
          <w:p w14:paraId="2D1FB1D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EAE8D3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281B0D5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A56258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F3111E1">
            <w:pPr>
              <w:bidi w:val="0"/>
              <w:jc w:val="center"/>
              <w:rPr>
                <w:rFonts w:hint="default" w:ascii="Times New Roman" w:hAnsi="Times New Roman" w:cs="Times New Roman" w:eastAsiaTheme="minorEastAsia"/>
                <w:snapToGrid w:val="0"/>
                <w:color w:val="000000"/>
                <w:kern w:val="0"/>
                <w:sz w:val="24"/>
                <w:szCs w:val="24"/>
                <w:lang w:bidi="ar"/>
              </w:rPr>
            </w:pPr>
          </w:p>
        </w:tc>
      </w:tr>
      <w:tr w14:paraId="1CC0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28F9DD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w:t>
            </w:r>
          </w:p>
        </w:tc>
        <w:tc>
          <w:tcPr>
            <w:tcW w:w="3014" w:type="dxa"/>
            <w:vAlign w:val="center"/>
          </w:tcPr>
          <w:p w14:paraId="0C2015AF">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对秸秆禁烧区开展秸秆焚烧现场检查</w:t>
            </w:r>
          </w:p>
        </w:tc>
        <w:tc>
          <w:tcPr>
            <w:tcW w:w="812" w:type="dxa"/>
            <w:vAlign w:val="center"/>
          </w:tcPr>
          <w:p w14:paraId="1FDE130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3CD4EF4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1AEF463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《四川省环境保护条例》第五十一条</w:t>
            </w:r>
            <w:r>
              <w:rPr>
                <w:rFonts w:hint="default" w:ascii="Times New Roman" w:hAnsi="Times New Roman" w:cs="Times New Roman" w:eastAsiaTheme="minorEastAsia"/>
                <w:snapToGrid w:val="0"/>
                <w:color w:val="000000"/>
                <w:kern w:val="0"/>
                <w:sz w:val="24"/>
                <w:szCs w:val="24"/>
                <w:lang w:bidi="ar"/>
              </w:rPr>
              <w:t>乡（镇）人民政府和街道办事处应当在依法划定的秸秆禁烧区开展秸秆焚烧现场检查。发现违法焚烧秸秆的，应当及时制止，并报告县级以上环境保护主管部门及有关部门。</w:t>
            </w:r>
          </w:p>
        </w:tc>
        <w:tc>
          <w:tcPr>
            <w:tcW w:w="1281" w:type="dxa"/>
            <w:vAlign w:val="center"/>
          </w:tcPr>
          <w:p w14:paraId="6BCE674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A0DAF7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0A03D3A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710DC9C">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E5551C3">
            <w:pPr>
              <w:bidi w:val="0"/>
              <w:jc w:val="center"/>
              <w:rPr>
                <w:rFonts w:hint="default" w:ascii="Times New Roman" w:hAnsi="Times New Roman" w:cs="Times New Roman" w:eastAsiaTheme="minorEastAsia"/>
                <w:snapToGrid w:val="0"/>
                <w:color w:val="000000"/>
                <w:kern w:val="0"/>
                <w:sz w:val="24"/>
                <w:szCs w:val="24"/>
                <w:lang w:bidi="ar"/>
              </w:rPr>
            </w:pPr>
          </w:p>
        </w:tc>
      </w:tr>
      <w:tr w14:paraId="15E68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A4278C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14</w:t>
            </w:r>
          </w:p>
        </w:tc>
        <w:tc>
          <w:tcPr>
            <w:tcW w:w="3014" w:type="dxa"/>
            <w:vAlign w:val="center"/>
          </w:tcPr>
          <w:p w14:paraId="694A1CCC">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对乡（镇）、村农村住房建设质量安全的检查</w:t>
            </w:r>
          </w:p>
        </w:tc>
        <w:tc>
          <w:tcPr>
            <w:tcW w:w="812" w:type="dxa"/>
            <w:vAlign w:val="center"/>
          </w:tcPr>
          <w:p w14:paraId="5B8BCBD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120D3A0E">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674C50E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《四川省农村住房建设管理办法》第六条第一款</w:t>
            </w:r>
            <w:r>
              <w:rPr>
                <w:rFonts w:hint="default" w:ascii="Times New Roman" w:hAnsi="Times New Roman" w:cs="Times New Roman" w:eastAsiaTheme="minorEastAsia"/>
                <w:snapToGrid w:val="0"/>
                <w:color w:val="000000"/>
                <w:kern w:val="0"/>
                <w:sz w:val="24"/>
                <w:szCs w:val="24"/>
                <w:lang w:bidi="ar"/>
              </w:rPr>
              <w:t>乡（镇）人民政府应当建立乡（镇）、村农村住房建设质量安全监督制度和巡查制度。</w:t>
            </w:r>
          </w:p>
        </w:tc>
        <w:tc>
          <w:tcPr>
            <w:tcW w:w="1281" w:type="dxa"/>
            <w:vAlign w:val="center"/>
          </w:tcPr>
          <w:p w14:paraId="0F341EF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88AA20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015977BE">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849EF7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6EEA1F8">
            <w:pPr>
              <w:bidi w:val="0"/>
              <w:jc w:val="center"/>
              <w:rPr>
                <w:rFonts w:hint="default" w:ascii="Times New Roman" w:hAnsi="Times New Roman" w:cs="Times New Roman" w:eastAsiaTheme="minorEastAsia"/>
                <w:snapToGrid w:val="0"/>
                <w:color w:val="000000"/>
                <w:kern w:val="0"/>
                <w:sz w:val="24"/>
                <w:szCs w:val="24"/>
                <w:lang w:bidi="ar"/>
              </w:rPr>
            </w:pPr>
          </w:p>
        </w:tc>
      </w:tr>
      <w:tr w14:paraId="3C27C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295F51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15</w:t>
            </w:r>
          </w:p>
        </w:tc>
        <w:tc>
          <w:tcPr>
            <w:tcW w:w="3014" w:type="dxa"/>
            <w:vAlign w:val="center"/>
          </w:tcPr>
          <w:p w14:paraId="5DFC82FE">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对水上交通安全的监督检查</w:t>
            </w:r>
          </w:p>
        </w:tc>
        <w:tc>
          <w:tcPr>
            <w:tcW w:w="812" w:type="dxa"/>
            <w:vAlign w:val="center"/>
          </w:tcPr>
          <w:p w14:paraId="5D92505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1A664A2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6FD4F5F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b/>
                <w:bCs/>
                <w:snapToGrid w:val="0"/>
                <w:color w:val="000000"/>
                <w:kern w:val="0"/>
                <w:sz w:val="24"/>
                <w:szCs w:val="24"/>
                <w:lang w:bidi="ar"/>
              </w:rPr>
              <w:t>《四川省水上交通安全管理条例》第八条第一款第一项</w:t>
            </w:r>
            <w:r>
              <w:rPr>
                <w:rFonts w:hint="default" w:ascii="Times New Roman" w:hAnsi="Times New Roman" w:cs="Times New Roman" w:eastAsiaTheme="minorEastAsia"/>
                <w:snapToGrid w:val="0"/>
                <w:color w:val="000000"/>
                <w:kern w:val="0"/>
                <w:sz w:val="24"/>
                <w:szCs w:val="24"/>
                <w:lang w:bidi="ar"/>
              </w:rPr>
              <w:t>负责本行政区域内的船舶所有人、经营人、船员以及有关单位、个人安全工作的组织、协调和安全隐患的督察整改工作，组织开展安全宣传、安全检查活动。</w:t>
            </w:r>
          </w:p>
          <w:p w14:paraId="7DA10EE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《四川省水上交通安全管理条例》第四十五条第一款</w:t>
            </w:r>
            <w:r>
              <w:rPr>
                <w:rFonts w:hint="default" w:ascii="Times New Roman" w:hAnsi="Times New Roman" w:cs="Times New Roman" w:eastAsiaTheme="minorEastAsia"/>
                <w:snapToGrid w:val="0"/>
                <w:color w:val="000000"/>
                <w:kern w:val="0"/>
                <w:sz w:val="24"/>
                <w:szCs w:val="24"/>
                <w:lang w:bidi="ar"/>
              </w:rPr>
              <w:t>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c>
          <w:tcPr>
            <w:tcW w:w="1281" w:type="dxa"/>
            <w:vAlign w:val="center"/>
          </w:tcPr>
          <w:p w14:paraId="4ED905C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C88DDE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3EE52A5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76A17FE">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2E72D6B">
            <w:pPr>
              <w:bidi w:val="0"/>
              <w:jc w:val="center"/>
              <w:rPr>
                <w:rFonts w:hint="default" w:ascii="Times New Roman" w:hAnsi="Times New Roman" w:cs="Times New Roman" w:eastAsiaTheme="minorEastAsia"/>
                <w:snapToGrid w:val="0"/>
                <w:color w:val="000000"/>
                <w:kern w:val="0"/>
                <w:sz w:val="24"/>
                <w:szCs w:val="24"/>
                <w:lang w:bidi="ar"/>
              </w:rPr>
            </w:pPr>
          </w:p>
        </w:tc>
      </w:tr>
      <w:tr w14:paraId="7344A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19F65D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16</w:t>
            </w:r>
          </w:p>
        </w:tc>
        <w:tc>
          <w:tcPr>
            <w:tcW w:w="3014" w:type="dxa"/>
            <w:vAlign w:val="center"/>
          </w:tcPr>
          <w:p w14:paraId="7CD389A9">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对水库大坝的监督检查</w:t>
            </w:r>
          </w:p>
        </w:tc>
        <w:tc>
          <w:tcPr>
            <w:tcW w:w="812" w:type="dxa"/>
            <w:vAlign w:val="center"/>
          </w:tcPr>
          <w:p w14:paraId="6CC3701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7450394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2DAC0C9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《中华</w:t>
            </w:r>
            <w:r>
              <w:rPr>
                <w:rFonts w:hint="default" w:ascii="Times New Roman" w:hAnsi="Times New Roman" w:cs="Times New Roman" w:eastAsiaTheme="minorEastAsia"/>
                <w:b/>
                <w:bCs/>
                <w:snapToGrid w:val="0"/>
                <w:color w:val="000000"/>
                <w:kern w:val="0"/>
                <w:sz w:val="24"/>
                <w:szCs w:val="24"/>
                <w:lang w:eastAsia="zh-CN" w:bidi="ar"/>
              </w:rPr>
              <w:t>人</w:t>
            </w:r>
            <w:r>
              <w:rPr>
                <w:rFonts w:hint="default" w:ascii="Times New Roman" w:hAnsi="Times New Roman" w:cs="Times New Roman" w:eastAsiaTheme="minorEastAsia"/>
                <w:b/>
                <w:bCs/>
                <w:snapToGrid w:val="0"/>
                <w:color w:val="000000"/>
                <w:kern w:val="0"/>
                <w:sz w:val="24"/>
                <w:szCs w:val="24"/>
                <w:lang w:bidi="ar"/>
              </w:rPr>
              <w:t>民共和国防洪法》第三十六条</w:t>
            </w:r>
            <w:r>
              <w:rPr>
                <w:rFonts w:hint="default" w:ascii="Times New Roman" w:hAnsi="Times New Roman" w:cs="Times New Roman" w:eastAsiaTheme="minorEastAsia"/>
                <w:snapToGrid w:val="0"/>
                <w:color w:val="000000"/>
                <w:kern w:val="0"/>
                <w:sz w:val="24"/>
                <w:szCs w:val="24"/>
                <w:lang w:bidi="ar"/>
              </w:rPr>
              <w:t>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c>
          <w:tcPr>
            <w:tcW w:w="1281" w:type="dxa"/>
            <w:vAlign w:val="center"/>
          </w:tcPr>
          <w:p w14:paraId="4E16326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C6F229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5E3886B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0DA24BB">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D6BDC05">
            <w:pPr>
              <w:bidi w:val="0"/>
              <w:jc w:val="center"/>
              <w:rPr>
                <w:rFonts w:hint="default" w:ascii="Times New Roman" w:hAnsi="Times New Roman" w:cs="Times New Roman" w:eastAsiaTheme="minorEastAsia"/>
                <w:snapToGrid w:val="0"/>
                <w:color w:val="000000"/>
                <w:kern w:val="0"/>
                <w:sz w:val="24"/>
                <w:szCs w:val="24"/>
                <w:lang w:bidi="ar"/>
              </w:rPr>
            </w:pPr>
          </w:p>
        </w:tc>
      </w:tr>
      <w:tr w14:paraId="62FEF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1678B4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17</w:t>
            </w:r>
          </w:p>
        </w:tc>
        <w:tc>
          <w:tcPr>
            <w:tcW w:w="3014" w:type="dxa"/>
            <w:vAlign w:val="center"/>
          </w:tcPr>
          <w:p w14:paraId="4C9F894E">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对流动人口用人单位计划生育工作的监督</w:t>
            </w:r>
            <w:r>
              <w:rPr>
                <w:rFonts w:hint="default" w:ascii="Times New Roman" w:hAnsi="Times New Roman" w:cs="Times New Roman" w:eastAsiaTheme="minorEastAsia"/>
                <w:snapToGrid w:val="0"/>
                <w:color w:val="000000"/>
                <w:kern w:val="0"/>
                <w:sz w:val="24"/>
                <w:szCs w:val="24"/>
                <w:lang w:eastAsia="zh-CN" w:bidi="ar"/>
              </w:rPr>
              <w:t>、</w:t>
            </w:r>
            <w:r>
              <w:rPr>
                <w:rFonts w:hint="default" w:ascii="Times New Roman" w:hAnsi="Times New Roman" w:cs="Times New Roman" w:eastAsiaTheme="minorEastAsia"/>
                <w:snapToGrid w:val="0"/>
                <w:color w:val="000000"/>
                <w:kern w:val="0"/>
                <w:sz w:val="24"/>
                <w:szCs w:val="24"/>
                <w:lang w:bidi="ar"/>
              </w:rPr>
              <w:t>检查</w:t>
            </w:r>
          </w:p>
        </w:tc>
        <w:tc>
          <w:tcPr>
            <w:tcW w:w="812" w:type="dxa"/>
            <w:vAlign w:val="center"/>
          </w:tcPr>
          <w:p w14:paraId="0C0812A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495A24E8">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6338ADC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《流动人口计划生育工作条例》第十五条</w:t>
            </w:r>
            <w:r>
              <w:rPr>
                <w:rFonts w:hint="default" w:ascii="Times New Roman" w:hAnsi="Times New Roman" w:cs="Times New Roman" w:eastAsiaTheme="minorEastAsia"/>
                <w:snapToGrid w:val="0"/>
                <w:color w:val="000000"/>
                <w:kern w:val="0"/>
                <w:sz w:val="24"/>
                <w:szCs w:val="24"/>
                <w:lang w:bidi="ar"/>
              </w:rPr>
              <w:t>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1281" w:type="dxa"/>
            <w:vAlign w:val="center"/>
          </w:tcPr>
          <w:p w14:paraId="6A01CC2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B4418C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79DE2D6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761B0B8">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9356720">
            <w:pPr>
              <w:bidi w:val="0"/>
              <w:jc w:val="center"/>
              <w:rPr>
                <w:rFonts w:hint="default" w:ascii="Times New Roman" w:hAnsi="Times New Roman" w:cs="Times New Roman" w:eastAsiaTheme="minorEastAsia"/>
                <w:snapToGrid w:val="0"/>
                <w:color w:val="000000"/>
                <w:kern w:val="0"/>
                <w:sz w:val="24"/>
                <w:szCs w:val="24"/>
                <w:lang w:bidi="ar"/>
              </w:rPr>
            </w:pPr>
          </w:p>
        </w:tc>
      </w:tr>
      <w:tr w14:paraId="2AA89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EC2664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18</w:t>
            </w:r>
          </w:p>
        </w:tc>
        <w:tc>
          <w:tcPr>
            <w:tcW w:w="3014" w:type="dxa"/>
            <w:vAlign w:val="center"/>
          </w:tcPr>
          <w:p w14:paraId="365737E5">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对预防控制狂犬病工作的督促检查</w:t>
            </w:r>
          </w:p>
        </w:tc>
        <w:tc>
          <w:tcPr>
            <w:tcW w:w="812" w:type="dxa"/>
            <w:vAlign w:val="center"/>
          </w:tcPr>
          <w:p w14:paraId="5431C71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46F3D69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1F378B0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《四川省预防控制狂犬病条例》第三条</w:t>
            </w:r>
            <w:r>
              <w:rPr>
                <w:rFonts w:hint="default" w:ascii="Times New Roman" w:hAnsi="Times New Roman" w:cs="Times New Roman" w:eastAsiaTheme="minorEastAsia"/>
                <w:snapToGrid w:val="0"/>
                <w:color w:val="000000"/>
                <w:kern w:val="0"/>
                <w:sz w:val="24"/>
                <w:szCs w:val="24"/>
                <w:lang w:bidi="ar"/>
              </w:rPr>
              <w:t>地方各级人民政府对</w:t>
            </w:r>
            <w:r>
              <w:rPr>
                <w:rFonts w:hint="default" w:ascii="Times New Roman" w:hAnsi="Times New Roman" w:cs="Times New Roman" w:eastAsiaTheme="minorEastAsia"/>
                <w:snapToGrid w:val="0"/>
                <w:color w:val="000000"/>
                <w:kern w:val="0"/>
                <w:sz w:val="24"/>
                <w:szCs w:val="24"/>
                <w:lang w:eastAsia="zh-CN" w:bidi="ar"/>
              </w:rPr>
              <w:t>预</w:t>
            </w:r>
            <w:r>
              <w:rPr>
                <w:rFonts w:hint="default" w:ascii="Times New Roman" w:hAnsi="Times New Roman" w:cs="Times New Roman" w:eastAsiaTheme="minorEastAsia"/>
                <w:snapToGrid w:val="0"/>
                <w:color w:val="000000"/>
                <w:kern w:val="0"/>
                <w:sz w:val="24"/>
                <w:szCs w:val="24"/>
                <w:lang w:bidi="ar"/>
              </w:rPr>
              <w:t>防控制狂犬病工作要加强组织领导和督促检查。</w:t>
            </w:r>
          </w:p>
        </w:tc>
        <w:tc>
          <w:tcPr>
            <w:tcW w:w="1281" w:type="dxa"/>
            <w:vAlign w:val="center"/>
          </w:tcPr>
          <w:p w14:paraId="4CF5061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6ACA5E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06FAE9E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E7D793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9EFE731">
            <w:pPr>
              <w:bidi w:val="0"/>
              <w:jc w:val="center"/>
              <w:rPr>
                <w:rFonts w:hint="default" w:ascii="Times New Roman" w:hAnsi="Times New Roman" w:cs="Times New Roman" w:eastAsiaTheme="minorEastAsia"/>
                <w:snapToGrid w:val="0"/>
                <w:color w:val="000000"/>
                <w:kern w:val="0"/>
                <w:sz w:val="24"/>
                <w:szCs w:val="24"/>
                <w:lang w:bidi="ar"/>
              </w:rPr>
            </w:pPr>
          </w:p>
        </w:tc>
      </w:tr>
      <w:tr w14:paraId="4AB4A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BF25D3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19</w:t>
            </w:r>
          </w:p>
        </w:tc>
        <w:tc>
          <w:tcPr>
            <w:tcW w:w="3014" w:type="dxa"/>
            <w:vAlign w:val="center"/>
          </w:tcPr>
          <w:p w14:paraId="6863987A">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对生产经营单位安全生产状况的监督检查</w:t>
            </w:r>
          </w:p>
        </w:tc>
        <w:tc>
          <w:tcPr>
            <w:tcW w:w="812" w:type="dxa"/>
            <w:vAlign w:val="center"/>
          </w:tcPr>
          <w:p w14:paraId="485F91C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573E93D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0D4F70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val="en-US" w:eastAsia="en-US" w:bidi="ar"/>
              </w:rPr>
              <w:t>1.</w:t>
            </w:r>
            <w:r>
              <w:rPr>
                <w:rFonts w:hint="default" w:ascii="Times New Roman" w:hAnsi="Times New Roman" w:cs="Times New Roman" w:eastAsiaTheme="minorEastAsia"/>
                <w:b/>
                <w:bCs/>
                <w:snapToGrid w:val="0"/>
                <w:color w:val="000000"/>
                <w:kern w:val="0"/>
                <w:sz w:val="24"/>
                <w:szCs w:val="24"/>
                <w:lang w:bidi="ar"/>
              </w:rPr>
              <w:t>《中华人民共和国安全生产法》第八条第三款</w:t>
            </w:r>
            <w:r>
              <w:rPr>
                <w:rFonts w:hint="default" w:ascii="Times New Roman" w:hAnsi="Times New Roman" w:cs="Times New Roman" w:eastAsiaTheme="minorEastAsia"/>
                <w:snapToGrid w:val="0"/>
                <w:color w:val="000000"/>
                <w:kern w:val="0"/>
                <w:sz w:val="24"/>
                <w:szCs w:val="24"/>
                <w:lang w:bidi="ar"/>
              </w:rPr>
              <w:t>乡、镇人民政府以及街道办事处、开发区管理机构等地方人民政府的派出机关应当按照职责，加强对本行政区域内生产经营单位安全生产状况的监督</w:t>
            </w:r>
            <w:r>
              <w:rPr>
                <w:rFonts w:hint="default" w:ascii="Times New Roman" w:hAnsi="Times New Roman" w:cs="Times New Roman" w:eastAsiaTheme="minorEastAsia"/>
                <w:snapToGrid w:val="0"/>
                <w:color w:val="000000"/>
                <w:kern w:val="0"/>
                <w:sz w:val="24"/>
                <w:szCs w:val="24"/>
                <w:lang w:eastAsia="zh-CN" w:bidi="ar"/>
              </w:rPr>
              <w:t>、</w:t>
            </w:r>
            <w:r>
              <w:rPr>
                <w:rFonts w:hint="default" w:ascii="Times New Roman" w:hAnsi="Times New Roman" w:cs="Times New Roman" w:eastAsiaTheme="minorEastAsia"/>
                <w:snapToGrid w:val="0"/>
                <w:color w:val="000000"/>
                <w:kern w:val="0"/>
                <w:sz w:val="24"/>
                <w:szCs w:val="24"/>
                <w:lang w:bidi="ar"/>
              </w:rPr>
              <w:t>检查，协助上级人民政府有关部门依法履行安全生产监督管理职责。</w:t>
            </w:r>
          </w:p>
          <w:p w14:paraId="129C86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2.</w:t>
            </w:r>
            <w:r>
              <w:rPr>
                <w:rFonts w:hint="default" w:ascii="Times New Roman" w:hAnsi="Times New Roman" w:cs="Times New Roman" w:eastAsiaTheme="minorEastAsia"/>
                <w:b/>
                <w:bCs/>
                <w:snapToGrid w:val="0"/>
                <w:color w:val="000000"/>
                <w:kern w:val="0"/>
                <w:sz w:val="24"/>
                <w:szCs w:val="24"/>
                <w:lang w:bidi="ar"/>
              </w:rPr>
              <w:t>《四川省安全生产条例》第十一条</w:t>
            </w:r>
            <w:r>
              <w:rPr>
                <w:rFonts w:hint="default" w:ascii="Times New Roman" w:hAnsi="Times New Roman" w:cs="Times New Roman" w:eastAsiaTheme="minorEastAsia"/>
                <w:snapToGrid w:val="0"/>
                <w:color w:val="000000"/>
                <w:kern w:val="0"/>
                <w:sz w:val="24"/>
                <w:szCs w:val="24"/>
                <w:lang w:bidi="ar"/>
              </w:rPr>
              <w:t>乡（镇）人民政府、街道</w:t>
            </w:r>
            <w:r>
              <w:rPr>
                <w:rFonts w:hint="eastAsia" w:ascii="Times New Roman" w:hAnsi="Times New Roman" w:cs="Times New Roman" w:eastAsiaTheme="minorEastAsia"/>
                <w:snapToGrid w:val="0"/>
                <w:color w:val="000000"/>
                <w:kern w:val="0"/>
                <w:sz w:val="24"/>
                <w:szCs w:val="24"/>
                <w:lang w:eastAsia="zh-CN" w:bidi="ar"/>
              </w:rPr>
              <w:t>办事处</w:t>
            </w:r>
            <w:r>
              <w:rPr>
                <w:rFonts w:hint="default" w:ascii="Times New Roman" w:hAnsi="Times New Roman" w:cs="Times New Roman" w:eastAsiaTheme="minorEastAsia"/>
                <w:snapToGrid w:val="0"/>
                <w:color w:val="000000"/>
                <w:kern w:val="0"/>
                <w:sz w:val="24"/>
                <w:szCs w:val="24"/>
                <w:lang w:bidi="ar"/>
              </w:rPr>
              <w:t>应当配备必要的人员具体从事安全生产监督管理工作，并根据本条例分级管理的原则对本行政区域内的乡镇、街道企业和个体工商户的安全生产实施监督</w:t>
            </w:r>
            <w:r>
              <w:rPr>
                <w:rFonts w:hint="default" w:ascii="Times New Roman" w:hAnsi="Times New Roman" w:cs="Times New Roman" w:eastAsiaTheme="minorEastAsia"/>
                <w:snapToGrid w:val="0"/>
                <w:color w:val="000000"/>
                <w:kern w:val="0"/>
                <w:sz w:val="24"/>
                <w:szCs w:val="24"/>
                <w:lang w:eastAsia="zh-CN" w:bidi="ar"/>
              </w:rPr>
              <w:t>、</w:t>
            </w:r>
            <w:r>
              <w:rPr>
                <w:rFonts w:hint="default" w:ascii="Times New Roman" w:hAnsi="Times New Roman" w:cs="Times New Roman" w:eastAsiaTheme="minorEastAsia"/>
                <w:snapToGrid w:val="0"/>
                <w:color w:val="000000"/>
                <w:kern w:val="0"/>
                <w:sz w:val="24"/>
                <w:szCs w:val="24"/>
                <w:lang w:bidi="ar"/>
              </w:rPr>
              <w:t>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c>
          <w:tcPr>
            <w:tcW w:w="1281" w:type="dxa"/>
            <w:vAlign w:val="center"/>
          </w:tcPr>
          <w:p w14:paraId="271DC7D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88254B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59576EA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21AAB9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631F96A">
            <w:pPr>
              <w:bidi w:val="0"/>
              <w:jc w:val="center"/>
              <w:rPr>
                <w:rFonts w:hint="default" w:ascii="Times New Roman" w:hAnsi="Times New Roman" w:cs="Times New Roman" w:eastAsiaTheme="minorEastAsia"/>
                <w:snapToGrid w:val="0"/>
                <w:color w:val="000000"/>
                <w:kern w:val="0"/>
                <w:sz w:val="24"/>
                <w:szCs w:val="24"/>
                <w:lang w:bidi="ar"/>
              </w:rPr>
            </w:pPr>
          </w:p>
        </w:tc>
      </w:tr>
      <w:tr w14:paraId="089FE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D75222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20</w:t>
            </w:r>
          </w:p>
        </w:tc>
        <w:tc>
          <w:tcPr>
            <w:tcW w:w="3014" w:type="dxa"/>
            <w:vAlign w:val="center"/>
          </w:tcPr>
          <w:p w14:paraId="7130CD18">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对食品安全的监督检查</w:t>
            </w:r>
          </w:p>
        </w:tc>
        <w:tc>
          <w:tcPr>
            <w:tcW w:w="812" w:type="dxa"/>
            <w:vAlign w:val="center"/>
          </w:tcPr>
          <w:p w14:paraId="1B82A76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024570E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7C912BF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《四川省食品小作坊、小经营店及摊贩管理条例》第三十二条</w:t>
            </w:r>
            <w:r>
              <w:rPr>
                <w:rFonts w:hint="default" w:ascii="Times New Roman" w:hAnsi="Times New Roman" w:cs="Times New Roman" w:eastAsiaTheme="minorEastAsia"/>
                <w:snapToGrid w:val="0"/>
                <w:color w:val="000000"/>
                <w:kern w:val="0"/>
                <w:sz w:val="24"/>
                <w:szCs w:val="24"/>
                <w:lang w:bidi="ar"/>
              </w:rPr>
              <w:t>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村（居）民委员会应当协助乡（镇）人民政府、街道办事处开展食品安全监督检查，及时报告食品安全违法情况。</w:t>
            </w:r>
          </w:p>
        </w:tc>
        <w:tc>
          <w:tcPr>
            <w:tcW w:w="1281" w:type="dxa"/>
            <w:vAlign w:val="center"/>
          </w:tcPr>
          <w:p w14:paraId="35473FA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EFDDE4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49B656F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142698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2E0ECEB">
            <w:pPr>
              <w:bidi w:val="0"/>
              <w:jc w:val="center"/>
              <w:rPr>
                <w:rFonts w:hint="default" w:ascii="Times New Roman" w:hAnsi="Times New Roman" w:cs="Times New Roman" w:eastAsiaTheme="minorEastAsia"/>
                <w:snapToGrid w:val="0"/>
                <w:color w:val="000000"/>
                <w:kern w:val="0"/>
                <w:sz w:val="24"/>
                <w:szCs w:val="24"/>
                <w:lang w:bidi="ar"/>
              </w:rPr>
            </w:pPr>
          </w:p>
        </w:tc>
      </w:tr>
      <w:tr w14:paraId="1CF27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856863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21</w:t>
            </w:r>
          </w:p>
        </w:tc>
        <w:tc>
          <w:tcPr>
            <w:tcW w:w="3014" w:type="dxa"/>
            <w:vAlign w:val="center"/>
          </w:tcPr>
          <w:p w14:paraId="7AEFFE72">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配合开展电信设施建设和保护工作的监督</w:t>
            </w:r>
            <w:r>
              <w:rPr>
                <w:rFonts w:hint="default" w:ascii="Times New Roman" w:hAnsi="Times New Roman" w:cs="Times New Roman" w:eastAsiaTheme="minorEastAsia"/>
                <w:snapToGrid w:val="0"/>
                <w:color w:val="000000"/>
                <w:kern w:val="0"/>
                <w:sz w:val="24"/>
                <w:szCs w:val="24"/>
                <w:lang w:eastAsia="zh-CN" w:bidi="ar"/>
              </w:rPr>
              <w:t>、</w:t>
            </w:r>
            <w:r>
              <w:rPr>
                <w:rFonts w:hint="default" w:ascii="Times New Roman" w:hAnsi="Times New Roman" w:cs="Times New Roman" w:eastAsiaTheme="minorEastAsia"/>
                <w:snapToGrid w:val="0"/>
                <w:color w:val="000000"/>
                <w:kern w:val="0"/>
                <w:sz w:val="24"/>
                <w:szCs w:val="24"/>
                <w:lang w:bidi="ar"/>
              </w:rPr>
              <w:t>检查</w:t>
            </w:r>
          </w:p>
        </w:tc>
        <w:tc>
          <w:tcPr>
            <w:tcW w:w="812" w:type="dxa"/>
            <w:vAlign w:val="center"/>
          </w:tcPr>
          <w:p w14:paraId="79A5B3E8">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7D6BECC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15737BD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bidi="ar"/>
              </w:rPr>
              <w:t>《四川省电信设施建设和保护条例》第三十三条</w:t>
            </w:r>
            <w:r>
              <w:rPr>
                <w:rFonts w:hint="default" w:ascii="Times New Roman" w:hAnsi="Times New Roman" w:cs="Times New Roman" w:eastAsiaTheme="minorEastAsia"/>
                <w:snapToGrid w:val="0"/>
                <w:color w:val="000000"/>
                <w:kern w:val="0"/>
                <w:sz w:val="24"/>
                <w:szCs w:val="24"/>
                <w:lang w:bidi="ar"/>
              </w:rPr>
              <w:t>乡（镇）人民政府、街道办事处、村（居）民委员会应当配合省电信管理机构对电信设施建设和保护工作开展监督检查，指导、督促有关单位和个人履行电信设施建设和保护义务。</w:t>
            </w:r>
          </w:p>
        </w:tc>
        <w:tc>
          <w:tcPr>
            <w:tcW w:w="1281" w:type="dxa"/>
            <w:vAlign w:val="center"/>
          </w:tcPr>
          <w:p w14:paraId="1233451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671BF6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4FE0703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6E3AF9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0DDD9E3">
            <w:pPr>
              <w:bidi w:val="0"/>
              <w:jc w:val="center"/>
              <w:rPr>
                <w:rFonts w:hint="default" w:ascii="Times New Roman" w:hAnsi="Times New Roman" w:cs="Times New Roman" w:eastAsiaTheme="minorEastAsia"/>
                <w:snapToGrid w:val="0"/>
                <w:color w:val="000000"/>
                <w:kern w:val="0"/>
                <w:sz w:val="24"/>
                <w:szCs w:val="24"/>
                <w:lang w:bidi="ar"/>
              </w:rPr>
            </w:pPr>
          </w:p>
        </w:tc>
      </w:tr>
      <w:tr w14:paraId="6A3FA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F78F14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22</w:t>
            </w:r>
          </w:p>
        </w:tc>
        <w:tc>
          <w:tcPr>
            <w:tcW w:w="3014" w:type="dxa"/>
            <w:vAlign w:val="center"/>
          </w:tcPr>
          <w:p w14:paraId="4353C563">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对消防安全的检查</w:t>
            </w:r>
          </w:p>
        </w:tc>
        <w:tc>
          <w:tcPr>
            <w:tcW w:w="812" w:type="dxa"/>
            <w:vAlign w:val="center"/>
          </w:tcPr>
          <w:p w14:paraId="5634BB2C">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5BBFE59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37CD6AF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bidi="ar"/>
              </w:rPr>
              <w:t>1.</w:t>
            </w:r>
            <w:r>
              <w:rPr>
                <w:rFonts w:hint="default" w:ascii="Times New Roman" w:hAnsi="Times New Roman" w:cs="Times New Roman" w:eastAsiaTheme="minorEastAsia"/>
                <w:b/>
                <w:bCs/>
                <w:snapToGrid w:val="0"/>
                <w:color w:val="000000"/>
                <w:kern w:val="0"/>
                <w:sz w:val="24"/>
                <w:szCs w:val="24"/>
                <w:lang w:bidi="ar"/>
              </w:rPr>
              <w:t>《中华人民共和国消防法》第三十条</w:t>
            </w:r>
            <w:r>
              <w:rPr>
                <w:rFonts w:hint="default" w:ascii="Times New Roman" w:hAnsi="Times New Roman" w:cs="Times New Roman" w:eastAsiaTheme="minorEastAsia"/>
                <w:snapToGrid w:val="0"/>
                <w:color w:val="000000"/>
                <w:kern w:val="0"/>
                <w:sz w:val="24"/>
                <w:szCs w:val="24"/>
                <w:lang w:bidi="ar"/>
              </w:rPr>
              <w:t>地方各级人民政府应当加强对农村消防工作的领导，采取措施加强公共消防设施建设，组织建立和督促落实消防安全责任制。</w:t>
            </w:r>
          </w:p>
          <w:p w14:paraId="55DD9A4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b/>
                <w:bCs/>
                <w:snapToGrid w:val="0"/>
                <w:color w:val="000000"/>
                <w:kern w:val="0"/>
                <w:sz w:val="24"/>
                <w:szCs w:val="24"/>
                <w:lang w:bidi="ar"/>
              </w:rPr>
              <w:t>《中华人民共和国消防法》第三十一条</w:t>
            </w:r>
            <w:r>
              <w:rPr>
                <w:rFonts w:hint="default" w:ascii="Times New Roman" w:hAnsi="Times New Roman" w:cs="Times New Roman" w:eastAsiaTheme="minorEastAsia"/>
                <w:snapToGrid w:val="0"/>
                <w:color w:val="000000"/>
                <w:kern w:val="0"/>
                <w:sz w:val="24"/>
                <w:szCs w:val="24"/>
                <w:lang w:bidi="ar"/>
              </w:rPr>
              <w:t>在农业收获季节、森林和草原防火期间、重大节假日期间以及火灾多发季节，地方各级人民政府应当组织开展有针对性的消防宣传教育，采取防火措施，进行消防安全检查。</w:t>
            </w:r>
          </w:p>
          <w:p w14:paraId="3902241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b/>
                <w:bCs/>
                <w:snapToGrid w:val="0"/>
                <w:color w:val="000000"/>
                <w:kern w:val="0"/>
                <w:sz w:val="24"/>
                <w:szCs w:val="24"/>
                <w:lang w:bidi="ar"/>
              </w:rPr>
              <w:t>《中华人民共和国消防法》第三十二条</w:t>
            </w:r>
            <w:r>
              <w:rPr>
                <w:rFonts w:hint="default" w:ascii="Times New Roman" w:hAnsi="Times New Roman" w:cs="Times New Roman" w:eastAsiaTheme="minorEastAsia"/>
                <w:snapToGrid w:val="0"/>
                <w:color w:val="000000"/>
                <w:kern w:val="0"/>
                <w:sz w:val="24"/>
                <w:szCs w:val="24"/>
                <w:lang w:bidi="ar"/>
              </w:rPr>
              <w:t>乡镇人民政府、城市街道办事处应当指导、支持和帮助村民委员会、居民委员会开展群众性的消防工作。村民委员会、居民委员会应当确定消防安全管理人，组织制定防火安全公约，进行防火安全检查。</w:t>
            </w:r>
          </w:p>
          <w:p w14:paraId="465093F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bidi="ar"/>
              </w:rPr>
              <w:t>2.</w:t>
            </w:r>
            <w:r>
              <w:rPr>
                <w:rFonts w:hint="default" w:ascii="Times New Roman" w:hAnsi="Times New Roman" w:cs="Times New Roman" w:eastAsiaTheme="minorEastAsia"/>
                <w:b/>
                <w:bCs/>
                <w:snapToGrid w:val="0"/>
                <w:color w:val="000000"/>
                <w:kern w:val="0"/>
                <w:sz w:val="24"/>
                <w:szCs w:val="24"/>
                <w:lang w:bidi="ar"/>
              </w:rPr>
              <w:t>《四川省消防条例》第九条</w:t>
            </w:r>
            <w:r>
              <w:rPr>
                <w:rFonts w:hint="default" w:ascii="Times New Roman" w:hAnsi="Times New Roman" w:cs="Times New Roman" w:eastAsiaTheme="minorEastAsia"/>
                <w:snapToGrid w:val="0"/>
                <w:color w:val="000000"/>
                <w:kern w:val="0"/>
                <w:sz w:val="24"/>
                <w:szCs w:val="24"/>
                <w:lang w:bidi="ar"/>
              </w:rPr>
              <w:t>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c>
          <w:tcPr>
            <w:tcW w:w="1281" w:type="dxa"/>
            <w:vAlign w:val="center"/>
          </w:tcPr>
          <w:p w14:paraId="726A1F9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63E577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435" w:type="dxa"/>
            <w:vAlign w:val="center"/>
          </w:tcPr>
          <w:p w14:paraId="220EA83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EB5957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72C7F72">
            <w:pPr>
              <w:bidi w:val="0"/>
              <w:jc w:val="center"/>
              <w:rPr>
                <w:rFonts w:hint="default" w:ascii="Times New Roman" w:hAnsi="Times New Roman" w:cs="Times New Roman" w:eastAsiaTheme="minorEastAsia"/>
                <w:snapToGrid w:val="0"/>
                <w:color w:val="000000"/>
                <w:kern w:val="0"/>
                <w:sz w:val="24"/>
                <w:szCs w:val="24"/>
                <w:lang w:bidi="ar"/>
              </w:rPr>
            </w:pPr>
          </w:p>
        </w:tc>
      </w:tr>
      <w:tr w14:paraId="62D3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660" w:type="dxa"/>
            <w:vAlign w:val="center"/>
          </w:tcPr>
          <w:p w14:paraId="7ED1CEB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23</w:t>
            </w:r>
          </w:p>
        </w:tc>
        <w:tc>
          <w:tcPr>
            <w:tcW w:w="3014" w:type="dxa"/>
            <w:vAlign w:val="center"/>
          </w:tcPr>
          <w:p w14:paraId="16E787D0">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对重点排污单位环境信息公开活动的监督、检查</w:t>
            </w:r>
          </w:p>
        </w:tc>
        <w:tc>
          <w:tcPr>
            <w:tcW w:w="812" w:type="dxa"/>
            <w:vAlign w:val="center"/>
          </w:tcPr>
          <w:p w14:paraId="063FFD6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39C9F05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21CDD4C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《企业事业单位环境信息公开办法》第十四条</w:t>
            </w:r>
            <w:r>
              <w:rPr>
                <w:rFonts w:hint="default" w:ascii="Times New Roman" w:hAnsi="Times New Roman" w:cs="Times New Roman" w:eastAsiaTheme="minorEastAsia"/>
                <w:snapToGrid w:val="0"/>
                <w:color w:val="000000"/>
                <w:kern w:val="0"/>
                <w:sz w:val="24"/>
                <w:szCs w:val="24"/>
                <w:lang w:val="en-US" w:eastAsia="zh-CN" w:bidi="ar"/>
              </w:rPr>
              <w:t>环境保护主管部门有权对重点排污单位环境信息公开活动进行监督检查。被检查者应当如实反映情况，提供必要的资料。</w:t>
            </w:r>
          </w:p>
        </w:tc>
        <w:tc>
          <w:tcPr>
            <w:tcW w:w="1281" w:type="dxa"/>
            <w:vAlign w:val="center"/>
          </w:tcPr>
          <w:p w14:paraId="639B4FB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9DFAE1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71CB37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生态环境局</w:t>
            </w:r>
          </w:p>
        </w:tc>
        <w:tc>
          <w:tcPr>
            <w:tcW w:w="1435" w:type="dxa"/>
            <w:vAlign w:val="center"/>
          </w:tcPr>
          <w:p w14:paraId="2D18D35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FF8AB78">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B73D9E9">
            <w:pPr>
              <w:bidi w:val="0"/>
              <w:jc w:val="center"/>
              <w:rPr>
                <w:rFonts w:hint="default" w:ascii="Times New Roman" w:hAnsi="Times New Roman" w:cs="Times New Roman" w:eastAsiaTheme="minorEastAsia"/>
                <w:snapToGrid w:val="0"/>
                <w:color w:val="000000"/>
                <w:kern w:val="0"/>
                <w:sz w:val="24"/>
                <w:szCs w:val="24"/>
                <w:lang w:bidi="ar"/>
              </w:rPr>
            </w:pPr>
          </w:p>
        </w:tc>
      </w:tr>
      <w:tr w14:paraId="288D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DA6418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24</w:t>
            </w:r>
          </w:p>
        </w:tc>
        <w:tc>
          <w:tcPr>
            <w:tcW w:w="3014" w:type="dxa"/>
            <w:vAlign w:val="center"/>
          </w:tcPr>
          <w:p w14:paraId="69E340B8">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对从事可能造成土壤污染活动的企业、事业单位和其他</w:t>
            </w:r>
          </w:p>
          <w:p w14:paraId="78254D64">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生产经营者的监督、检查</w:t>
            </w:r>
          </w:p>
        </w:tc>
        <w:tc>
          <w:tcPr>
            <w:tcW w:w="812" w:type="dxa"/>
            <w:vAlign w:val="center"/>
          </w:tcPr>
          <w:p w14:paraId="1E2C9DA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09583A8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7427679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《中华人民共和国土壤污染防治法》第七十七条</w:t>
            </w:r>
            <w:r>
              <w:rPr>
                <w:rFonts w:hint="default" w:ascii="Times New Roman" w:hAnsi="Times New Roman" w:cs="Times New Roman" w:eastAsiaTheme="minorEastAsia"/>
                <w:snapToGrid w:val="0"/>
                <w:color w:val="000000"/>
                <w:kern w:val="0"/>
                <w:sz w:val="24"/>
                <w:szCs w:val="24"/>
                <w:lang w:val="en-US" w:eastAsia="zh-CN" w:bidi="ar"/>
              </w:rPr>
              <w:t>生态环境主管部门及其环境执法机构和其他负有土壤污染防治监督管理职责的部门，有权对从事可能造成土壤污染活动的企业事业单位和其他生产经营者进行现场检查、取样，要求被检查者提供有关资料</w:t>
            </w:r>
            <w:r>
              <w:rPr>
                <w:rFonts w:hint="eastAsia" w:ascii="Times New Roman" w:hAnsi="Times New Roman" w:cs="Times New Roman" w:eastAsiaTheme="minorEastAsia"/>
                <w:snapToGrid w:val="0"/>
                <w:color w:val="000000"/>
                <w:kern w:val="0"/>
                <w:sz w:val="24"/>
                <w:szCs w:val="24"/>
                <w:lang w:val="en-US" w:eastAsia="zh-CN" w:bidi="ar"/>
              </w:rPr>
              <w:t>，就</w:t>
            </w:r>
            <w:r>
              <w:rPr>
                <w:rFonts w:hint="default" w:ascii="Times New Roman" w:hAnsi="Times New Roman" w:cs="Times New Roman" w:eastAsiaTheme="minorEastAsia"/>
                <w:snapToGrid w:val="0"/>
                <w:color w:val="000000"/>
                <w:kern w:val="0"/>
                <w:sz w:val="24"/>
                <w:szCs w:val="24"/>
                <w:lang w:val="en-US" w:eastAsia="zh-CN" w:bidi="ar"/>
              </w:rPr>
              <w:t>有关问题作出说明。被检查者应当配合检查工作，如实反映情况，提供必要的资料。实施现场检查的部门、机构及其工作人员应当为被检查者保守商业秘密。</w:t>
            </w:r>
          </w:p>
        </w:tc>
        <w:tc>
          <w:tcPr>
            <w:tcW w:w="1281" w:type="dxa"/>
            <w:vAlign w:val="center"/>
          </w:tcPr>
          <w:p w14:paraId="4680CDC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DB7043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3B0C48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生态环境局</w:t>
            </w:r>
          </w:p>
        </w:tc>
        <w:tc>
          <w:tcPr>
            <w:tcW w:w="1435" w:type="dxa"/>
            <w:vAlign w:val="center"/>
          </w:tcPr>
          <w:p w14:paraId="0F0EC31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180F92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419CC7A">
            <w:pPr>
              <w:bidi w:val="0"/>
              <w:jc w:val="center"/>
              <w:rPr>
                <w:rFonts w:hint="default" w:ascii="Times New Roman" w:hAnsi="Times New Roman" w:cs="Times New Roman" w:eastAsiaTheme="minorEastAsia"/>
                <w:snapToGrid w:val="0"/>
                <w:color w:val="000000"/>
                <w:kern w:val="0"/>
                <w:sz w:val="24"/>
                <w:szCs w:val="24"/>
                <w:lang w:bidi="ar"/>
              </w:rPr>
            </w:pPr>
          </w:p>
        </w:tc>
      </w:tr>
      <w:tr w14:paraId="4DBF3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90BF87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25</w:t>
            </w:r>
          </w:p>
        </w:tc>
        <w:tc>
          <w:tcPr>
            <w:tcW w:w="3014" w:type="dxa"/>
            <w:vAlign w:val="center"/>
          </w:tcPr>
          <w:p w14:paraId="15A97979">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对排放污染物的企业、事业单位和其他生产经营者的</w:t>
            </w:r>
          </w:p>
          <w:p w14:paraId="061474C5">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监督、检查</w:t>
            </w:r>
          </w:p>
          <w:p w14:paraId="1CBDB5F7">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（不含监测）</w:t>
            </w:r>
          </w:p>
        </w:tc>
        <w:tc>
          <w:tcPr>
            <w:tcW w:w="812" w:type="dxa"/>
            <w:vAlign w:val="center"/>
          </w:tcPr>
          <w:p w14:paraId="4183D3A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6F96612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539E2E4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b/>
                <w:bCs/>
                <w:snapToGrid w:val="0"/>
                <w:color w:val="000000"/>
                <w:kern w:val="0"/>
                <w:sz w:val="24"/>
                <w:szCs w:val="24"/>
                <w:lang w:val="en-US" w:eastAsia="zh-CN" w:bidi="ar"/>
              </w:rPr>
              <w:t>《中华人民共和国环境保护法》第二十四条</w:t>
            </w:r>
            <w:r>
              <w:rPr>
                <w:rFonts w:hint="default" w:ascii="Times New Roman" w:hAnsi="Times New Roman" w:cs="Times New Roman" w:eastAsiaTheme="minorEastAsia"/>
                <w:snapToGrid w:val="0"/>
                <w:color w:val="000000"/>
                <w:kern w:val="0"/>
                <w:sz w:val="24"/>
                <w:szCs w:val="24"/>
                <w:lang w:val="en-US" w:eastAsia="zh-CN" w:bidi="ar"/>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14:paraId="54EC19F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2.</w:t>
            </w:r>
            <w:r>
              <w:rPr>
                <w:rFonts w:hint="default" w:ascii="Times New Roman" w:hAnsi="Times New Roman" w:cs="Times New Roman" w:eastAsiaTheme="minorEastAsia"/>
                <w:b/>
                <w:bCs/>
                <w:snapToGrid w:val="0"/>
                <w:color w:val="000000"/>
                <w:kern w:val="0"/>
                <w:sz w:val="24"/>
                <w:szCs w:val="24"/>
                <w:lang w:val="en-US" w:eastAsia="zh-CN" w:bidi="ar"/>
              </w:rPr>
              <w:t>《中华人民共和国水污染防治法》第三十条</w:t>
            </w:r>
            <w:r>
              <w:rPr>
                <w:rFonts w:hint="default" w:ascii="Times New Roman" w:hAnsi="Times New Roman" w:cs="Times New Roman" w:eastAsiaTheme="minorEastAsia"/>
                <w:snapToGrid w:val="0"/>
                <w:color w:val="000000"/>
                <w:kern w:val="0"/>
                <w:sz w:val="24"/>
                <w:szCs w:val="24"/>
                <w:lang w:val="en-US" w:eastAsia="zh-CN" w:bidi="ar"/>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中华人民共和国水污染防治法》第五十条第三款环境保护主管部门应当对城镇污水集中处理设施的出水水质和水量进行监督检查。</w:t>
            </w:r>
          </w:p>
          <w:p w14:paraId="3B8256B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3.</w:t>
            </w:r>
            <w:r>
              <w:rPr>
                <w:rFonts w:hint="default" w:ascii="Times New Roman" w:hAnsi="Times New Roman" w:cs="Times New Roman" w:eastAsiaTheme="minorEastAsia"/>
                <w:b/>
                <w:bCs/>
                <w:snapToGrid w:val="0"/>
                <w:color w:val="000000"/>
                <w:kern w:val="0"/>
                <w:sz w:val="24"/>
                <w:szCs w:val="24"/>
                <w:lang w:val="en-US" w:eastAsia="zh-CN" w:bidi="ar"/>
              </w:rPr>
              <w:t>《中华人民共和国大气污染防治法》第二十九条</w:t>
            </w:r>
            <w:r>
              <w:rPr>
                <w:rFonts w:hint="default" w:ascii="Times New Roman" w:hAnsi="Times New Roman" w:cs="Times New Roman" w:eastAsiaTheme="minorEastAsia"/>
                <w:snapToGrid w:val="0"/>
                <w:color w:val="000000"/>
                <w:kern w:val="0"/>
                <w:sz w:val="24"/>
                <w:szCs w:val="24"/>
                <w:lang w:val="en-US" w:eastAsia="zh-CN" w:bidi="ar"/>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w:t>
            </w:r>
            <w:r>
              <w:rPr>
                <w:rFonts w:hint="eastAsia" w:ascii="Times New Roman" w:hAnsi="Times New Roman" w:cs="Times New Roman" w:eastAsiaTheme="minorEastAsia"/>
                <w:snapToGrid w:val="0"/>
                <w:color w:val="000000"/>
                <w:kern w:val="0"/>
                <w:sz w:val="24"/>
                <w:szCs w:val="24"/>
                <w:lang w:val="en-US" w:eastAsia="zh-CN" w:bidi="ar"/>
              </w:rPr>
              <w:t>者应</w:t>
            </w:r>
            <w:r>
              <w:rPr>
                <w:rFonts w:hint="default" w:ascii="Times New Roman" w:hAnsi="Times New Roman" w:cs="Times New Roman" w:eastAsiaTheme="minorEastAsia"/>
                <w:snapToGrid w:val="0"/>
                <w:color w:val="000000"/>
                <w:kern w:val="0"/>
                <w:sz w:val="24"/>
                <w:szCs w:val="24"/>
                <w:lang w:val="en-US" w:eastAsia="zh-CN" w:bidi="ar"/>
              </w:rPr>
              <w:t>当如实反映情况，提供必要的资料。实施检查的部门、机构及其工作人员应当为被检查者保守商业秘密。</w:t>
            </w:r>
          </w:p>
          <w:p w14:paraId="0FE54F7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val="en-US" w:eastAsia="zh-CN" w:bidi="ar"/>
              </w:rPr>
              <w:t>4.</w:t>
            </w:r>
            <w:r>
              <w:rPr>
                <w:rFonts w:hint="default" w:ascii="Times New Roman" w:hAnsi="Times New Roman" w:cs="Times New Roman" w:eastAsiaTheme="minorEastAsia"/>
                <w:b/>
                <w:bCs/>
                <w:snapToGrid w:val="0"/>
                <w:color w:val="000000"/>
                <w:kern w:val="0"/>
                <w:sz w:val="24"/>
                <w:szCs w:val="24"/>
                <w:lang w:val="en-US" w:eastAsia="zh-CN" w:bidi="ar"/>
              </w:rPr>
              <w:t>《中华人民共和国固体废物污染环境防治法》第二十六条</w:t>
            </w:r>
            <w:r>
              <w:rPr>
                <w:rFonts w:hint="default" w:ascii="Times New Roman" w:hAnsi="Times New Roman" w:cs="Times New Roman" w:eastAsiaTheme="minorEastAsia"/>
                <w:snapToGrid w:val="0"/>
                <w:color w:val="000000"/>
                <w:kern w:val="0"/>
                <w:sz w:val="24"/>
                <w:szCs w:val="24"/>
                <w:lang w:val="en-US" w:eastAsia="zh-CN" w:bidi="ar"/>
              </w:rPr>
              <w:t>生态环境主管部门及其环境执法机构和其他负有固体废物污染环境防治监督管理职责的部门，在各自职责范围内有权对从事</w:t>
            </w:r>
            <w:r>
              <w:rPr>
                <w:rFonts w:hint="eastAsia" w:ascii="Times New Roman" w:hAnsi="Times New Roman" w:cs="Times New Roman" w:eastAsiaTheme="minorEastAsia"/>
                <w:snapToGrid w:val="0"/>
                <w:color w:val="000000"/>
                <w:kern w:val="0"/>
                <w:sz w:val="24"/>
                <w:szCs w:val="24"/>
                <w:lang w:val="en-US" w:eastAsia="zh-CN" w:bidi="ar"/>
              </w:rPr>
              <w:t>生产</w:t>
            </w:r>
            <w:r>
              <w:rPr>
                <w:rFonts w:hint="default" w:ascii="Times New Roman" w:hAnsi="Times New Roman" w:cs="Times New Roman" w:eastAsiaTheme="minorEastAsia"/>
                <w:snapToGrid w:val="0"/>
                <w:color w:val="000000"/>
                <w:kern w:val="0"/>
                <w:sz w:val="24"/>
                <w:szCs w:val="24"/>
                <w:lang w:val="en-US" w:eastAsia="zh-CN" w:bidi="ar"/>
              </w:rPr>
              <w:t>、收集、贮存、运输、利用、处置固体废物等活动的单位和其他生产经营者进行现场检查。被检查者应当如实反映情况，并提供必要的资料。实施现场检查，可以采取现场监测、采集样品、查阅或者复制与固体废物污染环境防治相关的资料等措施。检查人员进行现场检查，应当出示证件。对现场检查中知悉的商业秘密应当保密。</w:t>
            </w:r>
          </w:p>
          <w:p w14:paraId="39AF455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val="en-US" w:eastAsia="zh-CN" w:bidi="ar"/>
              </w:rPr>
              <w:t>5.</w:t>
            </w:r>
            <w:r>
              <w:rPr>
                <w:rFonts w:hint="default" w:ascii="Times New Roman" w:hAnsi="Times New Roman" w:cs="Times New Roman" w:eastAsiaTheme="minorEastAsia"/>
                <w:b/>
                <w:bCs/>
                <w:snapToGrid w:val="0"/>
                <w:color w:val="000000"/>
                <w:kern w:val="0"/>
                <w:sz w:val="24"/>
                <w:szCs w:val="24"/>
                <w:lang w:val="en-US" w:eastAsia="zh-CN" w:bidi="ar"/>
              </w:rPr>
              <w:t>《中华人民共和国环境噪声污染防治法》第二十一条</w:t>
            </w:r>
            <w:r>
              <w:rPr>
                <w:rFonts w:hint="default" w:ascii="Times New Roman" w:hAnsi="Times New Roman" w:cs="Times New Roman" w:eastAsiaTheme="minorEastAsia"/>
                <w:snapToGrid w:val="0"/>
                <w:color w:val="000000"/>
                <w:kern w:val="0"/>
                <w:sz w:val="24"/>
                <w:szCs w:val="24"/>
                <w:lang w:val="en-US" w:eastAsia="zh-CN" w:bidi="ar"/>
              </w:rPr>
              <w:t>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检查人员进行现场检查，应当出示证件。</w:t>
            </w:r>
          </w:p>
          <w:p w14:paraId="0FAC2DA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bidi="ar"/>
              </w:rPr>
            </w:pPr>
            <w:r>
              <w:rPr>
                <w:rFonts w:hint="default" w:ascii="Times New Roman" w:hAnsi="Times New Roman" w:cs="Times New Roman" w:eastAsiaTheme="minorEastAsia"/>
                <w:snapToGrid w:val="0"/>
                <w:color w:val="000000"/>
                <w:kern w:val="0"/>
                <w:sz w:val="24"/>
                <w:szCs w:val="24"/>
                <w:lang w:val="en-US" w:eastAsia="zh-CN" w:bidi="ar"/>
              </w:rPr>
              <w:t>6.</w:t>
            </w:r>
            <w:r>
              <w:rPr>
                <w:rFonts w:hint="default" w:ascii="Times New Roman" w:hAnsi="Times New Roman" w:cs="Times New Roman" w:eastAsiaTheme="minorEastAsia"/>
                <w:b/>
                <w:bCs/>
                <w:snapToGrid w:val="0"/>
                <w:color w:val="000000"/>
                <w:kern w:val="0"/>
                <w:sz w:val="24"/>
                <w:szCs w:val="24"/>
                <w:lang w:val="en-US" w:eastAsia="zh-CN" w:bidi="ar"/>
              </w:rPr>
              <w:t>《畜禽规模养殖污染防治条例》第二十三条</w:t>
            </w:r>
            <w:r>
              <w:rPr>
                <w:rFonts w:hint="default" w:ascii="Times New Roman" w:hAnsi="Times New Roman" w:cs="Times New Roman" w:eastAsiaTheme="minorEastAsia"/>
                <w:snapToGrid w:val="0"/>
                <w:color w:val="000000"/>
                <w:kern w:val="0"/>
                <w:sz w:val="24"/>
                <w:szCs w:val="24"/>
                <w:lang w:val="en-US" w:eastAsia="zh-CN" w:bidi="ar"/>
              </w:rPr>
              <w:t>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14:paraId="47CF143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7.</w:t>
            </w:r>
            <w:r>
              <w:rPr>
                <w:rFonts w:hint="default" w:ascii="Times New Roman" w:hAnsi="Times New Roman" w:cs="Times New Roman" w:eastAsiaTheme="minorEastAsia"/>
                <w:b/>
                <w:bCs/>
                <w:snapToGrid w:val="0"/>
                <w:color w:val="000000"/>
                <w:kern w:val="0"/>
                <w:sz w:val="24"/>
                <w:szCs w:val="24"/>
                <w:lang w:val="en-US" w:eastAsia="zh-CN" w:bidi="ar"/>
              </w:rPr>
              <w:t>《四川省〈中华人民共和国大气污染防治法〉实施办法》第二十条</w:t>
            </w:r>
            <w:r>
              <w:rPr>
                <w:rFonts w:hint="default" w:ascii="Times New Roman" w:hAnsi="Times New Roman" w:cs="Times New Roman" w:eastAsiaTheme="minorEastAsia"/>
                <w:snapToGrid w:val="0"/>
                <w:color w:val="000000"/>
                <w:kern w:val="0"/>
                <w:sz w:val="24"/>
                <w:szCs w:val="24"/>
                <w:lang w:val="en-US" w:eastAsia="zh-CN" w:bidi="ar"/>
              </w:rPr>
              <w:t>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资料，不得拒绝、阻挠和拖延。实施监督检查的部门、机构及其工作人员应当为被检查者保守商业秘密。</w:t>
            </w:r>
          </w:p>
        </w:tc>
        <w:tc>
          <w:tcPr>
            <w:tcW w:w="1281" w:type="dxa"/>
            <w:vAlign w:val="center"/>
          </w:tcPr>
          <w:p w14:paraId="1E9B7FB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7B6D03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16E3C6B">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生态环境局</w:t>
            </w:r>
          </w:p>
        </w:tc>
        <w:tc>
          <w:tcPr>
            <w:tcW w:w="1435" w:type="dxa"/>
            <w:vAlign w:val="center"/>
          </w:tcPr>
          <w:p w14:paraId="49093AF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2529D4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3CE4F5A">
            <w:pPr>
              <w:bidi w:val="0"/>
              <w:jc w:val="center"/>
              <w:rPr>
                <w:rFonts w:hint="default" w:ascii="Times New Roman" w:hAnsi="Times New Roman" w:cs="Times New Roman" w:eastAsiaTheme="minorEastAsia"/>
                <w:snapToGrid w:val="0"/>
                <w:color w:val="000000"/>
                <w:kern w:val="0"/>
                <w:sz w:val="24"/>
                <w:szCs w:val="24"/>
                <w:lang w:bidi="ar"/>
              </w:rPr>
            </w:pPr>
          </w:p>
        </w:tc>
      </w:tr>
      <w:tr w14:paraId="06663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A0ABFC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26</w:t>
            </w:r>
          </w:p>
        </w:tc>
        <w:tc>
          <w:tcPr>
            <w:tcW w:w="3014" w:type="dxa"/>
            <w:vAlign w:val="center"/>
          </w:tcPr>
          <w:p w14:paraId="708EE76A">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对燃气经营、燃气使用</w:t>
            </w:r>
          </w:p>
          <w:p w14:paraId="5932878A">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安全状况的监督、检查</w:t>
            </w:r>
          </w:p>
        </w:tc>
        <w:tc>
          <w:tcPr>
            <w:tcW w:w="812" w:type="dxa"/>
            <w:vAlign w:val="center"/>
          </w:tcPr>
          <w:p w14:paraId="3886CA6B">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3ABAD04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4EC747A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《城镇燃气管理条例》第四十一条</w:t>
            </w:r>
            <w:r>
              <w:rPr>
                <w:rFonts w:hint="default" w:ascii="Times New Roman" w:hAnsi="Times New Roman" w:cs="Times New Roman" w:eastAsiaTheme="minorEastAsia"/>
                <w:snapToGrid w:val="0"/>
                <w:color w:val="000000"/>
                <w:kern w:val="0"/>
                <w:sz w:val="24"/>
                <w:szCs w:val="24"/>
                <w:lang w:val="en-US" w:eastAsia="zh-CN" w:bidi="ar"/>
              </w:rPr>
              <w:t>燃气经营者应当建立健全燃气安全评估和风险管理体系，发现燃气安全事故隐患的，应当及时采取措施消除隐患。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c>
          <w:tcPr>
            <w:tcW w:w="1281" w:type="dxa"/>
            <w:vAlign w:val="center"/>
          </w:tcPr>
          <w:p w14:paraId="7A2BF50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DDBCB2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03145E2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综合执法局</w:t>
            </w:r>
          </w:p>
        </w:tc>
        <w:tc>
          <w:tcPr>
            <w:tcW w:w="1435" w:type="dxa"/>
            <w:vAlign w:val="center"/>
          </w:tcPr>
          <w:p w14:paraId="4807CFE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172A48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27493BB">
            <w:pPr>
              <w:bidi w:val="0"/>
              <w:jc w:val="center"/>
              <w:rPr>
                <w:rFonts w:hint="default" w:ascii="Times New Roman" w:hAnsi="Times New Roman" w:cs="Times New Roman" w:eastAsiaTheme="minorEastAsia"/>
                <w:snapToGrid w:val="0"/>
                <w:color w:val="000000"/>
                <w:kern w:val="0"/>
                <w:sz w:val="24"/>
                <w:szCs w:val="24"/>
                <w:lang w:bidi="ar"/>
              </w:rPr>
            </w:pPr>
          </w:p>
        </w:tc>
      </w:tr>
      <w:tr w14:paraId="04A4F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3972FA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27</w:t>
            </w:r>
          </w:p>
        </w:tc>
        <w:tc>
          <w:tcPr>
            <w:tcW w:w="3014" w:type="dxa"/>
            <w:vAlign w:val="center"/>
          </w:tcPr>
          <w:p w14:paraId="78D66590">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对水土保持情况的监督、检查</w:t>
            </w:r>
          </w:p>
        </w:tc>
        <w:tc>
          <w:tcPr>
            <w:tcW w:w="812" w:type="dxa"/>
            <w:vAlign w:val="center"/>
          </w:tcPr>
          <w:p w14:paraId="319D825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2974A748">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029B228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《中华人民共和国水土保持法》第四十三条</w:t>
            </w:r>
            <w:r>
              <w:rPr>
                <w:rFonts w:hint="default" w:ascii="Times New Roman" w:hAnsi="Times New Roman" w:cs="Times New Roman" w:eastAsiaTheme="minorEastAsia"/>
                <w:snapToGrid w:val="0"/>
                <w:color w:val="000000"/>
                <w:kern w:val="0"/>
                <w:sz w:val="24"/>
                <w:szCs w:val="24"/>
                <w:lang w:val="en-US" w:eastAsia="zh-CN" w:bidi="ar"/>
              </w:rPr>
              <w:t>县级以上人民政府水行政主管部门负责对水土保持情况进行监督检查。流域管理机构在其管辖范围内可以行使国务院水行政主管部门的监督检查职权。</w:t>
            </w:r>
          </w:p>
        </w:tc>
        <w:tc>
          <w:tcPr>
            <w:tcW w:w="1281" w:type="dxa"/>
            <w:vAlign w:val="center"/>
          </w:tcPr>
          <w:p w14:paraId="214BBB4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9DDCA4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379E15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水利局</w:t>
            </w:r>
          </w:p>
        </w:tc>
        <w:tc>
          <w:tcPr>
            <w:tcW w:w="1435" w:type="dxa"/>
            <w:vAlign w:val="center"/>
          </w:tcPr>
          <w:p w14:paraId="51AC5AC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7974D1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9F81640">
            <w:pPr>
              <w:bidi w:val="0"/>
              <w:jc w:val="center"/>
              <w:rPr>
                <w:rFonts w:hint="default" w:ascii="Times New Roman" w:hAnsi="Times New Roman" w:cs="Times New Roman" w:eastAsiaTheme="minorEastAsia"/>
                <w:snapToGrid w:val="0"/>
                <w:color w:val="000000"/>
                <w:kern w:val="0"/>
                <w:sz w:val="24"/>
                <w:szCs w:val="24"/>
                <w:lang w:bidi="ar"/>
              </w:rPr>
            </w:pPr>
          </w:p>
        </w:tc>
      </w:tr>
      <w:tr w14:paraId="6C6E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3C67C2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28</w:t>
            </w:r>
          </w:p>
        </w:tc>
        <w:tc>
          <w:tcPr>
            <w:tcW w:w="3014" w:type="dxa"/>
            <w:vAlign w:val="center"/>
          </w:tcPr>
          <w:p w14:paraId="04ABA28B">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检查督促防洪工程设施的建设和水毁工程的修复</w:t>
            </w:r>
          </w:p>
        </w:tc>
        <w:tc>
          <w:tcPr>
            <w:tcW w:w="812" w:type="dxa"/>
            <w:vAlign w:val="center"/>
          </w:tcPr>
          <w:p w14:paraId="717B132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78A91B2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34C4B1B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《四川省〈中华人民共和国防洪法〉实施办法》第十三条</w:t>
            </w:r>
            <w:r>
              <w:rPr>
                <w:rFonts w:hint="default" w:ascii="Times New Roman" w:hAnsi="Times New Roman" w:cs="Times New Roman" w:eastAsiaTheme="minorEastAsia"/>
                <w:snapToGrid w:val="0"/>
                <w:color w:val="000000"/>
                <w:kern w:val="0"/>
                <w:sz w:val="24"/>
                <w:szCs w:val="24"/>
                <w:lang w:val="en-US" w:eastAsia="zh-CN" w:bidi="ar"/>
              </w:rPr>
              <w:t>有防汛抗洪任务的县级以上地方人民政府应当设立防汛指挥机构，负责领导、组织本行政区域的防汛抗洪工作。防汛指挥机构的主要职责是：（一）编制本地区防御洪水方案；（二）负责本地区的防汛检查，督促有关部门及时处理影响安全度汛的有关问题；（三）贯彻执行上级防汛调度指令和批准的洪水调度方案，实施洪水调度并落实各项措施；（四）发布本地区的汛情、灾情，宣布紧急防汛期；（五）负责防汛经费和物资的计划、管理和调度；（六）检查督促防洪工程设施的建设和水毁工程的修复。防汛指挥机构的办事机构设在同级人民政府水行政主管部门。</w:t>
            </w:r>
          </w:p>
        </w:tc>
        <w:tc>
          <w:tcPr>
            <w:tcW w:w="1281" w:type="dxa"/>
            <w:vAlign w:val="center"/>
          </w:tcPr>
          <w:p w14:paraId="3054CA3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6A5140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24AD99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水利局</w:t>
            </w:r>
          </w:p>
        </w:tc>
        <w:tc>
          <w:tcPr>
            <w:tcW w:w="1435" w:type="dxa"/>
            <w:vAlign w:val="center"/>
          </w:tcPr>
          <w:p w14:paraId="568E5CA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E0447E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352BB29">
            <w:pPr>
              <w:bidi w:val="0"/>
              <w:jc w:val="center"/>
              <w:rPr>
                <w:rFonts w:hint="default" w:ascii="Times New Roman" w:hAnsi="Times New Roman" w:cs="Times New Roman" w:eastAsiaTheme="minorEastAsia"/>
                <w:snapToGrid w:val="0"/>
                <w:color w:val="000000"/>
                <w:kern w:val="0"/>
                <w:sz w:val="24"/>
                <w:szCs w:val="24"/>
                <w:lang w:bidi="ar"/>
              </w:rPr>
            </w:pPr>
          </w:p>
        </w:tc>
      </w:tr>
      <w:tr w14:paraId="60C87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5E9115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29</w:t>
            </w:r>
          </w:p>
        </w:tc>
        <w:tc>
          <w:tcPr>
            <w:tcW w:w="3014" w:type="dxa"/>
            <w:vAlign w:val="center"/>
          </w:tcPr>
          <w:p w14:paraId="7634601B">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对其他有防汛抗洪任务的部门和单位做好本行业和本单位防汛工作情况的监督检查</w:t>
            </w:r>
          </w:p>
        </w:tc>
        <w:tc>
          <w:tcPr>
            <w:tcW w:w="812" w:type="dxa"/>
            <w:vAlign w:val="center"/>
          </w:tcPr>
          <w:p w14:paraId="2E2C314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53AC083E">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03FE05F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《四川省〈中华人民共和国防洪法〉实施办法》第十四条</w:t>
            </w:r>
            <w:r>
              <w:rPr>
                <w:rFonts w:hint="default" w:ascii="Times New Roman" w:hAnsi="Times New Roman" w:cs="Times New Roman" w:eastAsiaTheme="minorEastAsia"/>
                <w:snapToGrid w:val="0"/>
                <w:color w:val="000000"/>
                <w:kern w:val="0"/>
                <w:sz w:val="24"/>
                <w:szCs w:val="24"/>
                <w:lang w:val="en-US" w:eastAsia="zh-CN" w:bidi="ar"/>
              </w:rPr>
              <w:t>各级防汛指挥机构的组成部门和单位应当按照各自的职责分工承担相应的防汛任务。其他有防汛抗洪任务的部门和单位，应当负责做好本行业和本单位的防汛工作，并接受当地防汛指挥机构的统一指挥、监督和检查。</w:t>
            </w:r>
          </w:p>
        </w:tc>
        <w:tc>
          <w:tcPr>
            <w:tcW w:w="1281" w:type="dxa"/>
            <w:vAlign w:val="center"/>
          </w:tcPr>
          <w:p w14:paraId="10EC88D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2C1C7C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089046C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水利局</w:t>
            </w:r>
          </w:p>
        </w:tc>
        <w:tc>
          <w:tcPr>
            <w:tcW w:w="1435" w:type="dxa"/>
            <w:vAlign w:val="center"/>
          </w:tcPr>
          <w:p w14:paraId="5EB52A2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7B333C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3545B7B">
            <w:pPr>
              <w:bidi w:val="0"/>
              <w:jc w:val="center"/>
              <w:rPr>
                <w:rFonts w:hint="default" w:ascii="Times New Roman" w:hAnsi="Times New Roman" w:cs="Times New Roman" w:eastAsiaTheme="minorEastAsia"/>
                <w:snapToGrid w:val="0"/>
                <w:color w:val="000000"/>
                <w:kern w:val="0"/>
                <w:sz w:val="24"/>
                <w:szCs w:val="24"/>
                <w:lang w:bidi="ar"/>
              </w:rPr>
            </w:pPr>
          </w:p>
        </w:tc>
      </w:tr>
      <w:tr w14:paraId="1D24D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34D416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30</w:t>
            </w:r>
          </w:p>
        </w:tc>
        <w:tc>
          <w:tcPr>
            <w:tcW w:w="3014" w:type="dxa"/>
            <w:vAlign w:val="center"/>
          </w:tcPr>
          <w:p w14:paraId="19DD0D07">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对供用水单位的取水、供水和用水情况的监督、检查</w:t>
            </w:r>
          </w:p>
        </w:tc>
        <w:tc>
          <w:tcPr>
            <w:tcW w:w="812" w:type="dxa"/>
            <w:vAlign w:val="center"/>
          </w:tcPr>
          <w:p w14:paraId="5FC6D09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28B1700C">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23A0E991">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b/>
                <w:bCs/>
                <w:snapToGrid w:val="0"/>
                <w:color w:val="000000"/>
                <w:kern w:val="0"/>
                <w:sz w:val="24"/>
                <w:szCs w:val="24"/>
                <w:lang w:val="en-US" w:eastAsia="zh-CN" w:bidi="ar"/>
              </w:rPr>
              <w:t>《四川省〈中华人民共和国水法〉实施办法》第三十二条第二款</w:t>
            </w:r>
            <w:r>
              <w:rPr>
                <w:rFonts w:hint="default" w:ascii="Times New Roman" w:hAnsi="Times New Roman" w:cs="Times New Roman" w:eastAsiaTheme="minorEastAsia"/>
                <w:snapToGrid w:val="0"/>
                <w:color w:val="000000"/>
                <w:kern w:val="0"/>
                <w:sz w:val="24"/>
                <w:szCs w:val="24"/>
                <w:lang w:val="en-US" w:eastAsia="zh-CN" w:bidi="ar"/>
              </w:rPr>
              <w:t>县级以上水行政主管部门和有关主管部门在各自的职责范围内对供用水单位的取水、供水和用水情况进行监督检查。供用水单位应当对供水管网定期进行普查和检测，建立技术档案，制定节水技术改造计划，降低管网漏失率。</w:t>
            </w:r>
          </w:p>
          <w:p w14:paraId="25995F6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2.</w:t>
            </w:r>
            <w:r>
              <w:rPr>
                <w:rFonts w:hint="default" w:ascii="Times New Roman" w:hAnsi="Times New Roman" w:cs="Times New Roman" w:eastAsiaTheme="minorEastAsia"/>
                <w:b/>
                <w:bCs/>
                <w:snapToGrid w:val="0"/>
                <w:color w:val="000000"/>
                <w:kern w:val="0"/>
                <w:sz w:val="24"/>
                <w:szCs w:val="24"/>
                <w:lang w:val="en-US" w:eastAsia="zh-CN" w:bidi="ar"/>
              </w:rPr>
              <w:t>《四川省取水许可和水资源费征收管理办法》第二十四条</w:t>
            </w:r>
            <w:r>
              <w:rPr>
                <w:rFonts w:hint="default" w:ascii="Times New Roman" w:hAnsi="Times New Roman" w:cs="Times New Roman" w:eastAsiaTheme="minorEastAsia"/>
                <w:snapToGrid w:val="0"/>
                <w:color w:val="000000"/>
                <w:kern w:val="0"/>
                <w:sz w:val="24"/>
                <w:szCs w:val="24"/>
                <w:lang w:val="en-US" w:eastAsia="zh-CN" w:bidi="ar"/>
              </w:rPr>
              <w:t>县级以上地方人民政府水行政主管部门进入取水单位或者个人的生产场所进行检查时，取水单位或者个人应当予以配合，提供有关文件、证照、资料等，并说明情况。</w:t>
            </w:r>
          </w:p>
        </w:tc>
        <w:tc>
          <w:tcPr>
            <w:tcW w:w="1281" w:type="dxa"/>
            <w:vAlign w:val="center"/>
          </w:tcPr>
          <w:p w14:paraId="5C9C407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2B6566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6C08175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水利局</w:t>
            </w:r>
          </w:p>
        </w:tc>
        <w:tc>
          <w:tcPr>
            <w:tcW w:w="1435" w:type="dxa"/>
            <w:vAlign w:val="center"/>
          </w:tcPr>
          <w:p w14:paraId="7265F11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680745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8955A0E">
            <w:pPr>
              <w:bidi w:val="0"/>
              <w:jc w:val="center"/>
              <w:rPr>
                <w:rFonts w:hint="default" w:ascii="Times New Roman" w:hAnsi="Times New Roman" w:cs="Times New Roman" w:eastAsiaTheme="minorEastAsia"/>
                <w:snapToGrid w:val="0"/>
                <w:color w:val="000000"/>
                <w:kern w:val="0"/>
                <w:sz w:val="24"/>
                <w:szCs w:val="24"/>
                <w:lang w:bidi="ar"/>
              </w:rPr>
            </w:pPr>
          </w:p>
        </w:tc>
      </w:tr>
      <w:tr w14:paraId="22DF4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62496F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31</w:t>
            </w:r>
          </w:p>
        </w:tc>
        <w:tc>
          <w:tcPr>
            <w:tcW w:w="3014" w:type="dxa"/>
            <w:vAlign w:val="center"/>
          </w:tcPr>
          <w:p w14:paraId="6B297E73">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对河道采砂的监督、检查（仅下放对村民生活自用河砂开采及使用的检查）</w:t>
            </w:r>
          </w:p>
        </w:tc>
        <w:tc>
          <w:tcPr>
            <w:tcW w:w="812" w:type="dxa"/>
            <w:vAlign w:val="center"/>
          </w:tcPr>
          <w:p w14:paraId="1A9A9F4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61479B0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1DD4A7E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《四川省河道采砂管理条例》第五条第一款</w:t>
            </w:r>
            <w:r>
              <w:rPr>
                <w:rFonts w:hint="default" w:ascii="Times New Roman" w:hAnsi="Times New Roman" w:cs="Times New Roman" w:eastAsiaTheme="minorEastAsia"/>
                <w:snapToGrid w:val="0"/>
                <w:color w:val="000000"/>
                <w:kern w:val="0"/>
                <w:sz w:val="24"/>
                <w:szCs w:val="24"/>
                <w:lang w:val="en-US" w:eastAsia="zh-CN" w:bidi="ar"/>
              </w:rPr>
              <w:t>县级以上地方人民政府水行政主管部门具体负责河道采砂的管理和监督工作。</w:t>
            </w:r>
          </w:p>
          <w:p w14:paraId="2877DC8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《四川省河道采砂管理条例》第二十八条</w:t>
            </w:r>
            <w:r>
              <w:rPr>
                <w:rFonts w:hint="default" w:ascii="Times New Roman" w:hAnsi="Times New Roman" w:cs="Times New Roman" w:eastAsiaTheme="minorEastAsia"/>
                <w:snapToGrid w:val="0"/>
                <w:color w:val="000000"/>
                <w:kern w:val="0"/>
                <w:sz w:val="24"/>
                <w:szCs w:val="24"/>
                <w:lang w:val="en-US" w:eastAsia="zh-CN" w:bidi="ar"/>
              </w:rPr>
              <w:t>从事河道采砂的单位或者个人应当做好采砂安全管理工作，接受县级以上地方人民政府水行政主管部门及相关部门的现场监管，如实提供有关资料，配合监督检查，并遵守下列规定：（一）按照河道采砂许可证的规定和河道采砂权出让合同的约定采砂作业；（二）不得在禁采区、禁采期采砂作业；（三）不得在河道采砂许可证有效期届满或者累计采砂量达到河道采砂许可证规定的总量后继续采砂作业；（四）不得破坏河势稳定、损坏水工程、恶化通航条件、破坏水生态环境等；（五）在航道和通航水域内采砂的，应当服从通航安全要求，并在作业区设立明显标志；（六）不得违反相关法律法规的禁止性规定。</w:t>
            </w:r>
          </w:p>
        </w:tc>
        <w:tc>
          <w:tcPr>
            <w:tcW w:w="1281" w:type="dxa"/>
            <w:vAlign w:val="center"/>
          </w:tcPr>
          <w:p w14:paraId="316F867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34C917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3DA7E1F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水利局</w:t>
            </w:r>
          </w:p>
        </w:tc>
        <w:tc>
          <w:tcPr>
            <w:tcW w:w="1435" w:type="dxa"/>
            <w:vAlign w:val="center"/>
          </w:tcPr>
          <w:p w14:paraId="774A991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8941AE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2FA1DD1">
            <w:pPr>
              <w:bidi w:val="0"/>
              <w:jc w:val="center"/>
              <w:rPr>
                <w:rFonts w:hint="default" w:ascii="Times New Roman" w:hAnsi="Times New Roman" w:cs="Times New Roman" w:eastAsiaTheme="minorEastAsia"/>
                <w:snapToGrid w:val="0"/>
                <w:color w:val="000000"/>
                <w:kern w:val="0"/>
                <w:sz w:val="24"/>
                <w:szCs w:val="24"/>
                <w:lang w:bidi="ar"/>
              </w:rPr>
            </w:pPr>
          </w:p>
        </w:tc>
      </w:tr>
      <w:tr w14:paraId="0117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EDA70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32</w:t>
            </w:r>
          </w:p>
        </w:tc>
        <w:tc>
          <w:tcPr>
            <w:tcW w:w="3014" w:type="dxa"/>
            <w:vAlign w:val="center"/>
          </w:tcPr>
          <w:p w14:paraId="5F4235DD">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对农村饮水安全的监督、检查</w:t>
            </w:r>
          </w:p>
        </w:tc>
        <w:tc>
          <w:tcPr>
            <w:tcW w:w="812" w:type="dxa"/>
            <w:vAlign w:val="center"/>
          </w:tcPr>
          <w:p w14:paraId="09C2DBE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7B5A66F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6B33297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1.</w:t>
            </w:r>
            <w:r>
              <w:rPr>
                <w:rFonts w:hint="default" w:ascii="Times New Roman" w:hAnsi="Times New Roman" w:cs="Times New Roman" w:eastAsiaTheme="minorEastAsia"/>
                <w:b/>
                <w:bCs/>
                <w:snapToGrid w:val="0"/>
                <w:color w:val="000000"/>
                <w:kern w:val="0"/>
                <w:sz w:val="24"/>
                <w:szCs w:val="24"/>
                <w:lang w:val="en-US" w:eastAsia="zh-CN" w:bidi="ar"/>
              </w:rPr>
              <w:t>《四川省〈中华人民共和国水法〉实施办法》第三十二条第二款</w:t>
            </w:r>
            <w:r>
              <w:rPr>
                <w:rFonts w:hint="default" w:ascii="Times New Roman" w:hAnsi="Times New Roman" w:cs="Times New Roman" w:eastAsiaTheme="minorEastAsia"/>
                <w:snapToGrid w:val="0"/>
                <w:color w:val="000000"/>
                <w:kern w:val="0"/>
                <w:sz w:val="24"/>
                <w:szCs w:val="24"/>
                <w:lang w:val="en-US" w:eastAsia="zh-CN" w:bidi="ar"/>
              </w:rPr>
              <w:t>县级以上水行政主管部门和有关主管部门在各自的职责范围内对供用水位的取水、供水和用水情况进行监督检查。供用水单位应当对供水管网定期进行普查和检测，建立技术档案，制定节水技术改造计划，降低管网漏失率。</w:t>
            </w:r>
          </w:p>
          <w:p w14:paraId="6257120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2.</w:t>
            </w:r>
            <w:r>
              <w:rPr>
                <w:rFonts w:hint="default" w:ascii="Times New Roman" w:hAnsi="Times New Roman" w:cs="Times New Roman" w:eastAsiaTheme="minorEastAsia"/>
                <w:b/>
                <w:bCs/>
                <w:snapToGrid w:val="0"/>
                <w:color w:val="000000"/>
                <w:kern w:val="0"/>
                <w:sz w:val="24"/>
                <w:szCs w:val="24"/>
                <w:lang w:val="en-US" w:eastAsia="zh-CN" w:bidi="ar"/>
              </w:rPr>
              <w:t>《四川省村镇供水条例》第三十三条</w:t>
            </w:r>
            <w:r>
              <w:rPr>
                <w:rFonts w:hint="default" w:ascii="Times New Roman" w:hAnsi="Times New Roman" w:cs="Times New Roman" w:eastAsiaTheme="minorEastAsia"/>
                <w:snapToGrid w:val="0"/>
                <w:color w:val="000000"/>
                <w:kern w:val="0"/>
                <w:sz w:val="24"/>
                <w:szCs w:val="24"/>
                <w:lang w:val="en-US" w:eastAsia="zh-CN" w:bidi="ar"/>
              </w:rPr>
              <w:t>供水单位应当遵守下列规定：</w:t>
            </w:r>
          </w:p>
          <w:p w14:paraId="518F9D1E">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一）定期检查、维护供水设施，保证供水正常；（二）供水水质、水量和水压符合国家规定标准；（三）依照村镇供水价格标准计量收费；（四）接受用水户的监督；（五）接受水行政及卫生、环境保护、价格、审计、质量技术监督等有关部门的监督检查。</w:t>
            </w:r>
          </w:p>
        </w:tc>
        <w:tc>
          <w:tcPr>
            <w:tcW w:w="1281" w:type="dxa"/>
            <w:vAlign w:val="center"/>
          </w:tcPr>
          <w:p w14:paraId="2EE9996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F14EEA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0C827B77">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水利局</w:t>
            </w:r>
          </w:p>
        </w:tc>
        <w:tc>
          <w:tcPr>
            <w:tcW w:w="1435" w:type="dxa"/>
            <w:vAlign w:val="center"/>
          </w:tcPr>
          <w:p w14:paraId="2C0A8EA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42C77F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4963A85">
            <w:pPr>
              <w:bidi w:val="0"/>
              <w:jc w:val="center"/>
              <w:rPr>
                <w:rFonts w:hint="default" w:ascii="Times New Roman" w:hAnsi="Times New Roman" w:cs="Times New Roman" w:eastAsiaTheme="minorEastAsia"/>
                <w:snapToGrid w:val="0"/>
                <w:color w:val="000000"/>
                <w:kern w:val="0"/>
                <w:sz w:val="24"/>
                <w:szCs w:val="24"/>
                <w:lang w:bidi="ar"/>
              </w:rPr>
            </w:pPr>
          </w:p>
        </w:tc>
      </w:tr>
      <w:tr w14:paraId="50706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2482C5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33</w:t>
            </w:r>
          </w:p>
        </w:tc>
        <w:tc>
          <w:tcPr>
            <w:tcW w:w="3014" w:type="dxa"/>
            <w:vAlign w:val="center"/>
          </w:tcPr>
          <w:p w14:paraId="49B13742">
            <w:pPr>
              <w:bidi w:val="0"/>
              <w:jc w:val="both"/>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森林防火检查</w:t>
            </w:r>
          </w:p>
        </w:tc>
        <w:tc>
          <w:tcPr>
            <w:tcW w:w="812" w:type="dxa"/>
            <w:vAlign w:val="center"/>
          </w:tcPr>
          <w:p w14:paraId="6D2F7D0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行政</w:t>
            </w:r>
          </w:p>
          <w:p w14:paraId="25AE6E0C">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检查</w:t>
            </w:r>
          </w:p>
        </w:tc>
        <w:tc>
          <w:tcPr>
            <w:tcW w:w="6667" w:type="dxa"/>
            <w:vAlign w:val="top"/>
          </w:tcPr>
          <w:p w14:paraId="5C8A340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b/>
                <w:bCs/>
                <w:snapToGrid w:val="0"/>
                <w:color w:val="000000"/>
                <w:kern w:val="0"/>
                <w:sz w:val="24"/>
                <w:szCs w:val="24"/>
                <w:lang w:val="en-US" w:eastAsia="zh-CN" w:bidi="ar"/>
              </w:rPr>
              <w:t>《森林防火条例》第二十四条</w:t>
            </w:r>
            <w:r>
              <w:rPr>
                <w:rFonts w:hint="default" w:ascii="Times New Roman" w:hAnsi="Times New Roman" w:cs="Times New Roman" w:eastAsiaTheme="minorEastAsia"/>
                <w:snapToGrid w:val="0"/>
                <w:color w:val="000000"/>
                <w:kern w:val="0"/>
                <w:sz w:val="24"/>
                <w:szCs w:val="24"/>
                <w:lang w:val="en-US" w:eastAsia="zh-CN" w:bidi="ar"/>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c>
          <w:tcPr>
            <w:tcW w:w="1281" w:type="dxa"/>
            <w:vAlign w:val="center"/>
          </w:tcPr>
          <w:p w14:paraId="2EB3D0F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D94E540">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6E98A5C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林业局</w:t>
            </w:r>
          </w:p>
        </w:tc>
        <w:tc>
          <w:tcPr>
            <w:tcW w:w="1435" w:type="dxa"/>
            <w:vAlign w:val="center"/>
          </w:tcPr>
          <w:p w14:paraId="1197CFE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B3C5EAE">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0C80336">
            <w:pPr>
              <w:bidi w:val="0"/>
              <w:jc w:val="center"/>
              <w:rPr>
                <w:rFonts w:hint="default" w:ascii="Times New Roman" w:hAnsi="Times New Roman" w:cs="Times New Roman" w:eastAsiaTheme="minorEastAsia"/>
                <w:snapToGrid w:val="0"/>
                <w:color w:val="000000"/>
                <w:kern w:val="0"/>
                <w:sz w:val="24"/>
                <w:szCs w:val="24"/>
                <w:lang w:bidi="ar"/>
              </w:rPr>
            </w:pPr>
          </w:p>
        </w:tc>
      </w:tr>
      <w:tr w14:paraId="1867F4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660" w:type="dxa"/>
            <w:vAlign w:val="center"/>
          </w:tcPr>
          <w:p w14:paraId="046C293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34</w:t>
            </w:r>
          </w:p>
        </w:tc>
        <w:tc>
          <w:tcPr>
            <w:tcW w:w="3014" w:type="dxa"/>
            <w:vAlign w:val="center"/>
          </w:tcPr>
          <w:p w14:paraId="1637AB9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bidi="ar"/>
              </w:rPr>
              <w:t>对违反规定占用耕地建窑、建坟或者擅自在耕地上建房、挖砂、采石、采矿、取土等的行政处罚</w:t>
            </w:r>
          </w:p>
        </w:tc>
        <w:tc>
          <w:tcPr>
            <w:tcW w:w="812" w:type="dxa"/>
            <w:vAlign w:val="center"/>
          </w:tcPr>
          <w:p w14:paraId="3B28C09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B9035A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0A9DED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《中华人民共和国土地管理法》第七十五条</w:t>
            </w:r>
            <w:r>
              <w:rPr>
                <w:rFonts w:hint="default" w:ascii="Times New Roman" w:hAnsi="Times New Roman" w:cs="Times New Roman" w:eastAsiaTheme="minorEastAsia"/>
                <w:sz w:val="24"/>
                <w:szCs w:val="24"/>
                <w:lang w:val="en-US" w:eastAsia="zh-CN"/>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281" w:type="dxa"/>
            <w:vAlign w:val="center"/>
          </w:tcPr>
          <w:p w14:paraId="0925D2E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57927F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自然资源和规划局仁和区分局</w:t>
            </w:r>
          </w:p>
        </w:tc>
        <w:tc>
          <w:tcPr>
            <w:tcW w:w="1435" w:type="dxa"/>
            <w:vAlign w:val="center"/>
          </w:tcPr>
          <w:p w14:paraId="6C909E6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CC20D1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4202061">
            <w:pPr>
              <w:pStyle w:val="6"/>
              <w:jc w:val="center"/>
              <w:rPr>
                <w:rFonts w:hint="default" w:ascii="Times New Roman" w:hAnsi="Times New Roman" w:cs="Times New Roman" w:eastAsiaTheme="minorEastAsia"/>
                <w:sz w:val="24"/>
                <w:szCs w:val="24"/>
              </w:rPr>
            </w:pPr>
          </w:p>
        </w:tc>
      </w:tr>
      <w:tr w14:paraId="0BA58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DC3E9E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35</w:t>
            </w:r>
          </w:p>
        </w:tc>
        <w:tc>
          <w:tcPr>
            <w:tcW w:w="3014" w:type="dxa"/>
            <w:vAlign w:val="center"/>
          </w:tcPr>
          <w:p w14:paraId="314F42F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bidi="ar"/>
              </w:rPr>
              <w:t>对违反规定破坏或者擅自改变永久基本农田保护区标志的行政处罚</w:t>
            </w:r>
          </w:p>
        </w:tc>
        <w:tc>
          <w:tcPr>
            <w:tcW w:w="812" w:type="dxa"/>
            <w:vAlign w:val="center"/>
          </w:tcPr>
          <w:p w14:paraId="2A9613F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CEAE2F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FC0F33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《基本农田保护条例》第三十二条</w:t>
            </w:r>
            <w:r>
              <w:rPr>
                <w:rFonts w:hint="default" w:ascii="Times New Roman" w:hAnsi="Times New Roman" w:cs="Times New Roman" w:eastAsiaTheme="minorEastAsia"/>
                <w:sz w:val="24"/>
                <w:szCs w:val="24"/>
                <w:lang w:val="en-US" w:eastAsia="zh-CN"/>
              </w:rPr>
              <w:t>违反本条例规定，破坏或者擅自改变基本农田保护区标志的，由县级以上地方人民政府土地行政主管部门或者农业行政主管部门责令恢复原状，可以处1000元以下罚款。</w:t>
            </w:r>
          </w:p>
        </w:tc>
        <w:tc>
          <w:tcPr>
            <w:tcW w:w="1281" w:type="dxa"/>
            <w:vAlign w:val="center"/>
          </w:tcPr>
          <w:p w14:paraId="1008DDC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A76C54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自然资源和规划局仁和区分局</w:t>
            </w:r>
          </w:p>
        </w:tc>
        <w:tc>
          <w:tcPr>
            <w:tcW w:w="1435" w:type="dxa"/>
            <w:vAlign w:val="center"/>
          </w:tcPr>
          <w:p w14:paraId="020AD2F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5D66DE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344D7EF">
            <w:pPr>
              <w:pStyle w:val="6"/>
              <w:jc w:val="center"/>
              <w:rPr>
                <w:rFonts w:hint="default" w:ascii="Times New Roman" w:hAnsi="Times New Roman" w:cs="Times New Roman" w:eastAsiaTheme="minorEastAsia"/>
                <w:sz w:val="24"/>
                <w:szCs w:val="24"/>
              </w:rPr>
            </w:pPr>
          </w:p>
        </w:tc>
      </w:tr>
      <w:tr w14:paraId="56E47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4ED554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36</w:t>
            </w:r>
          </w:p>
        </w:tc>
        <w:tc>
          <w:tcPr>
            <w:tcW w:w="3014" w:type="dxa"/>
            <w:vAlign w:val="center"/>
          </w:tcPr>
          <w:p w14:paraId="1E60D02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对违反规定在地质灾害危险区内爆破、削坡、进行工程建设以及从事其他可能引发地质灾害活动的行政处罚</w:t>
            </w:r>
          </w:p>
        </w:tc>
        <w:tc>
          <w:tcPr>
            <w:tcW w:w="812" w:type="dxa"/>
            <w:vAlign w:val="center"/>
          </w:tcPr>
          <w:p w14:paraId="28F8470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BE8332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B9F065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《地质灾害防治条例》第四十三条</w:t>
            </w:r>
            <w:r>
              <w:rPr>
                <w:rFonts w:hint="default" w:ascii="Times New Roman" w:hAnsi="Times New Roman" w:cs="Times New Roman" w:eastAsiaTheme="minorEastAsia"/>
                <w:sz w:val="24"/>
                <w:szCs w:val="24"/>
                <w:lang w:val="en-US" w:eastAsia="zh-CN"/>
              </w:rPr>
              <w:t>违反本条例规定，在地质灾害危险区内爆破、削坡、进行工程建设以及从事其他可能引发地质灾害活动的，由县级以上地方人民政府国土资源主管部门责令停止违法行为，对单位处5万元以上20万元以下的罚款，对个人处1万元以上5万元以下的罚款；构成犯罪的，依法追究刑事责任；给他人造成损失的，依法承担赔偿责任。</w:t>
            </w:r>
          </w:p>
        </w:tc>
        <w:tc>
          <w:tcPr>
            <w:tcW w:w="1281" w:type="dxa"/>
            <w:vAlign w:val="center"/>
          </w:tcPr>
          <w:p w14:paraId="0B28998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A8EF1A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自然资源和规划局仁和区分局</w:t>
            </w:r>
          </w:p>
        </w:tc>
        <w:tc>
          <w:tcPr>
            <w:tcW w:w="1435" w:type="dxa"/>
            <w:vAlign w:val="center"/>
          </w:tcPr>
          <w:p w14:paraId="0067535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0C4E8E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4E6D294">
            <w:pPr>
              <w:pStyle w:val="6"/>
              <w:jc w:val="center"/>
              <w:rPr>
                <w:rFonts w:hint="default" w:ascii="Times New Roman" w:hAnsi="Times New Roman" w:cs="Times New Roman" w:eastAsiaTheme="minorEastAsia"/>
                <w:sz w:val="24"/>
                <w:szCs w:val="24"/>
              </w:rPr>
            </w:pPr>
          </w:p>
        </w:tc>
      </w:tr>
      <w:tr w14:paraId="081E0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5" w:hRule="atLeast"/>
        </w:trPr>
        <w:tc>
          <w:tcPr>
            <w:tcW w:w="660" w:type="dxa"/>
            <w:vAlign w:val="center"/>
          </w:tcPr>
          <w:p w14:paraId="1C8E62B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37</w:t>
            </w:r>
          </w:p>
        </w:tc>
        <w:tc>
          <w:tcPr>
            <w:tcW w:w="3014" w:type="dxa"/>
            <w:vAlign w:val="center"/>
          </w:tcPr>
          <w:p w14:paraId="6889049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对违反规定占用永久基本农田建窑、建房、建坟、挖砂、采石、采矿、取土、堆放固体废弃物或者从事其他活动破坏永久基本农田，毁坏种植条件的行政处罚</w:t>
            </w:r>
          </w:p>
        </w:tc>
        <w:tc>
          <w:tcPr>
            <w:tcW w:w="812" w:type="dxa"/>
            <w:vAlign w:val="center"/>
          </w:tcPr>
          <w:p w14:paraId="4AF19AF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5D713F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608C71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《基本农田保护条例》第三十三条</w:t>
            </w:r>
            <w:r>
              <w:rPr>
                <w:rFonts w:hint="default" w:ascii="Times New Roman" w:hAnsi="Times New Roman" w:cs="Times New Roman" w:eastAsiaTheme="minorEastAsia"/>
                <w:sz w:val="24"/>
                <w:szCs w:val="24"/>
                <w:lang w:val="en-US" w:eastAsia="zh-CN"/>
              </w:rPr>
              <w:t>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1281" w:type="dxa"/>
            <w:vAlign w:val="center"/>
          </w:tcPr>
          <w:p w14:paraId="304B205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FF904E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自然资源和规划局仁和区分局</w:t>
            </w:r>
          </w:p>
        </w:tc>
        <w:tc>
          <w:tcPr>
            <w:tcW w:w="1435" w:type="dxa"/>
            <w:vAlign w:val="center"/>
          </w:tcPr>
          <w:p w14:paraId="0E90F55E">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4ECCF2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8AD4329">
            <w:pPr>
              <w:pStyle w:val="6"/>
              <w:jc w:val="center"/>
              <w:rPr>
                <w:rFonts w:hint="default" w:ascii="Times New Roman" w:hAnsi="Times New Roman" w:cs="Times New Roman" w:eastAsiaTheme="minorEastAsia"/>
                <w:sz w:val="24"/>
                <w:szCs w:val="24"/>
              </w:rPr>
            </w:pPr>
          </w:p>
        </w:tc>
      </w:tr>
      <w:tr w14:paraId="45C60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720A08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38</w:t>
            </w:r>
          </w:p>
        </w:tc>
        <w:tc>
          <w:tcPr>
            <w:tcW w:w="3014" w:type="dxa"/>
            <w:vAlign w:val="center"/>
          </w:tcPr>
          <w:p w14:paraId="3F781D7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对未经批准或者未按照批准内容进行临时建设以及临时建筑物、构筑物超过批准期限不拆除的行政处罚</w:t>
            </w:r>
          </w:p>
        </w:tc>
        <w:tc>
          <w:tcPr>
            <w:tcW w:w="812" w:type="dxa"/>
            <w:vAlign w:val="center"/>
          </w:tcPr>
          <w:p w14:paraId="3519C87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9A8972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1934425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《中华人民共和国城乡规划法》第六十六条</w:t>
            </w:r>
            <w:r>
              <w:rPr>
                <w:rFonts w:hint="default" w:ascii="Times New Roman" w:hAnsi="Times New Roman" w:cs="Times New Roman" w:eastAsiaTheme="minorEastAsia"/>
                <w:sz w:val="24"/>
                <w:szCs w:val="24"/>
                <w:lang w:val="en-US" w:eastAsia="zh-CN"/>
              </w:rPr>
              <w:t>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281" w:type="dxa"/>
            <w:vAlign w:val="center"/>
          </w:tcPr>
          <w:p w14:paraId="6DA7724E">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9EBDCF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4241D55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0CBBA4E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3C1920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EA2F89F">
            <w:pPr>
              <w:pStyle w:val="6"/>
              <w:jc w:val="center"/>
              <w:rPr>
                <w:rFonts w:hint="default" w:ascii="Times New Roman" w:hAnsi="Times New Roman" w:cs="Times New Roman" w:eastAsiaTheme="minorEastAsia"/>
                <w:sz w:val="24"/>
                <w:szCs w:val="24"/>
              </w:rPr>
            </w:pPr>
          </w:p>
        </w:tc>
      </w:tr>
      <w:tr w14:paraId="028C2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D36ADD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39</w:t>
            </w:r>
          </w:p>
        </w:tc>
        <w:tc>
          <w:tcPr>
            <w:tcW w:w="3014" w:type="dxa"/>
            <w:vAlign w:val="center"/>
          </w:tcPr>
          <w:p w14:paraId="6B8311CA">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对在历史文化名城、名镇名村保护范围内在历史建筑上刻划、涂污的行政处罚</w:t>
            </w:r>
          </w:p>
        </w:tc>
        <w:tc>
          <w:tcPr>
            <w:tcW w:w="812" w:type="dxa"/>
            <w:vAlign w:val="center"/>
          </w:tcPr>
          <w:p w14:paraId="6C42149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AF3FBB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589966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《历史文化名城名镇名村保护条例》第四十二条</w:t>
            </w:r>
            <w:r>
              <w:rPr>
                <w:rFonts w:hint="default" w:ascii="Times New Roman" w:hAnsi="Times New Roman" w:cs="Times New Roman" w:eastAsiaTheme="minorEastAsia"/>
                <w:sz w:val="24"/>
                <w:szCs w:val="24"/>
                <w:lang w:val="en-US" w:eastAsia="zh-CN"/>
              </w:rPr>
              <w:t>违反本条例规定，在历史建筑上刻划、涂污的，由城市、县人民政府城乡规划主管部门责令恢复原状或者采取其他补救措施，处50元的罚款。</w:t>
            </w:r>
          </w:p>
        </w:tc>
        <w:tc>
          <w:tcPr>
            <w:tcW w:w="1281" w:type="dxa"/>
            <w:vAlign w:val="center"/>
          </w:tcPr>
          <w:p w14:paraId="4AE9F56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FAD359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019FDFB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498F68C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E71728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95A8AF5">
            <w:pPr>
              <w:pStyle w:val="6"/>
              <w:jc w:val="center"/>
              <w:rPr>
                <w:rFonts w:hint="default" w:ascii="Times New Roman" w:hAnsi="Times New Roman" w:cs="Times New Roman" w:eastAsiaTheme="minorEastAsia"/>
                <w:sz w:val="24"/>
                <w:szCs w:val="24"/>
              </w:rPr>
            </w:pPr>
          </w:p>
        </w:tc>
      </w:tr>
      <w:tr w14:paraId="7513A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32F310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40</w:t>
            </w:r>
          </w:p>
        </w:tc>
        <w:tc>
          <w:tcPr>
            <w:tcW w:w="3014" w:type="dxa"/>
            <w:vAlign w:val="center"/>
          </w:tcPr>
          <w:p w14:paraId="5F62C27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对在历史文化名城、名镇、名村保护范围内擅自设置、移动、涂改或者损毁历史文化街区、名镇、名村标志牌的行政处罚</w:t>
            </w:r>
          </w:p>
        </w:tc>
        <w:tc>
          <w:tcPr>
            <w:tcW w:w="812" w:type="dxa"/>
            <w:vAlign w:val="center"/>
          </w:tcPr>
          <w:p w14:paraId="13B944D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37008F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779B2A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《历史文化名城名镇名村保护条例》第四十五条</w:t>
            </w:r>
            <w:r>
              <w:rPr>
                <w:rFonts w:hint="default" w:ascii="Times New Roman" w:hAnsi="Times New Roman" w:cs="Times New Roman" w:eastAsiaTheme="minorEastAsia"/>
                <w:sz w:val="24"/>
                <w:szCs w:val="24"/>
                <w:lang w:val="en-US" w:eastAsia="zh-CN"/>
              </w:rPr>
              <w:t>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1281" w:type="dxa"/>
            <w:vAlign w:val="center"/>
          </w:tcPr>
          <w:p w14:paraId="342F53B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7E87F4E">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B5B8E4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78269D1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4CC644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8F4A085">
            <w:pPr>
              <w:pStyle w:val="6"/>
              <w:jc w:val="center"/>
              <w:rPr>
                <w:rFonts w:hint="default" w:ascii="Times New Roman" w:hAnsi="Times New Roman" w:cs="Times New Roman" w:eastAsiaTheme="minorEastAsia"/>
                <w:sz w:val="24"/>
                <w:szCs w:val="24"/>
              </w:rPr>
            </w:pPr>
          </w:p>
        </w:tc>
      </w:tr>
      <w:tr w14:paraId="2F8FE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50C1A7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41</w:t>
            </w:r>
          </w:p>
        </w:tc>
        <w:tc>
          <w:tcPr>
            <w:tcW w:w="3014" w:type="dxa"/>
            <w:vAlign w:val="center"/>
          </w:tcPr>
          <w:p w14:paraId="5745D2E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对违反摊点卫生管理</w:t>
            </w:r>
          </w:p>
          <w:p w14:paraId="0E4DFA59">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规定的行政处罚</w:t>
            </w:r>
          </w:p>
        </w:tc>
        <w:tc>
          <w:tcPr>
            <w:tcW w:w="812" w:type="dxa"/>
            <w:vAlign w:val="center"/>
          </w:tcPr>
          <w:p w14:paraId="1A209CF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CF467D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26B964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《四川省城乡环境综合治理条例》第三十七条第二款</w:t>
            </w:r>
            <w:r>
              <w:rPr>
                <w:rFonts w:hint="default" w:ascii="Times New Roman" w:hAnsi="Times New Roman" w:cs="Times New Roman" w:eastAsiaTheme="minorEastAsia"/>
                <w:sz w:val="24"/>
                <w:szCs w:val="24"/>
                <w:lang w:val="en-US" w:eastAsia="zh-CN"/>
              </w:rPr>
              <w:t>集贸市场内的经营者应当保持摊位和经营场所的整洁。餐饮、农产品等易产生垃圾的摊位应当配置垃圾收集容器，保持摊点干净和卫生。</w:t>
            </w:r>
          </w:p>
          <w:p w14:paraId="2A6D50C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第三十八条</w:t>
            </w:r>
            <w:r>
              <w:rPr>
                <w:rFonts w:hint="default" w:ascii="Times New Roman" w:hAnsi="Times New Roman" w:cs="Times New Roman" w:eastAsiaTheme="minorEastAsia"/>
                <w:sz w:val="24"/>
                <w:szCs w:val="24"/>
                <w:lang w:val="en-US" w:eastAsia="zh-CN"/>
              </w:rPr>
              <w:t>早市、夜市、摊区、临时农副产品市场应当定时定点经营，保持摊位整洁，收市时应当将垃圾、污渍清理干净。临时饮食摊点应当采取有效措施防止油污、污水和垃圾污染环境。</w:t>
            </w:r>
          </w:p>
          <w:p w14:paraId="61C25B8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第六十五条第四项</w:t>
            </w:r>
            <w:r>
              <w:rPr>
                <w:rFonts w:hint="default" w:ascii="Times New Roman" w:hAnsi="Times New Roman" w:cs="Times New Roman" w:eastAsiaTheme="minorEastAsia"/>
                <w:sz w:val="24"/>
                <w:szCs w:val="24"/>
                <w:lang w:val="en-US" w:eastAsia="zh-CN"/>
              </w:rPr>
              <w:t>单位或者个人有下列情形之一的，责令改正或者限期清除；拒不改正或者清除的，依法代为清除，其费用由违法行为人承担。可以并处五十元以上二百元以下罚款：（四）违反本条例第三十七条第二款、第三十八条摊点卫生管理规定的。</w:t>
            </w:r>
          </w:p>
        </w:tc>
        <w:tc>
          <w:tcPr>
            <w:tcW w:w="1281" w:type="dxa"/>
            <w:vAlign w:val="center"/>
          </w:tcPr>
          <w:p w14:paraId="7337CE4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1B5A43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322D742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312ECCC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BA6FBB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473E83D">
            <w:pPr>
              <w:pStyle w:val="6"/>
              <w:jc w:val="center"/>
              <w:rPr>
                <w:rFonts w:hint="default" w:ascii="Times New Roman" w:hAnsi="Times New Roman" w:cs="Times New Roman" w:eastAsiaTheme="minorEastAsia"/>
                <w:sz w:val="24"/>
                <w:szCs w:val="24"/>
              </w:rPr>
            </w:pPr>
          </w:p>
        </w:tc>
      </w:tr>
      <w:tr w14:paraId="71FD6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CC8709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42</w:t>
            </w:r>
          </w:p>
        </w:tc>
        <w:tc>
          <w:tcPr>
            <w:tcW w:w="3014" w:type="dxa"/>
            <w:vAlign w:val="center"/>
          </w:tcPr>
          <w:p w14:paraId="50DAA03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对侵占、毁损、围挡园林绿地；损毁、盗窃、占用城乡环境卫生设施，擅自关闭、拆除、迁移或者改变用途的行政处罚</w:t>
            </w:r>
          </w:p>
        </w:tc>
        <w:tc>
          <w:tcPr>
            <w:tcW w:w="812" w:type="dxa"/>
            <w:vAlign w:val="center"/>
          </w:tcPr>
          <w:p w14:paraId="5429689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7BF779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D2768E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《四川省城乡环境综合治理条例》第二十五条第一款</w:t>
            </w:r>
            <w:r>
              <w:rPr>
                <w:rFonts w:hint="default" w:ascii="Times New Roman" w:hAnsi="Times New Roman" w:cs="Times New Roman" w:eastAsiaTheme="minorEastAsia"/>
                <w:sz w:val="24"/>
                <w:szCs w:val="24"/>
                <w:lang w:val="en-US" w:eastAsia="zh-CN"/>
              </w:rPr>
              <w:t>城镇园林绿地建设应当具有市容美化、防灾避险功能，应当定期维护，保持整洁美观，禁止侵占、毁损、围挡园林绿地。</w:t>
            </w:r>
          </w:p>
          <w:p w14:paraId="16EC9D6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第五十五条</w:t>
            </w:r>
            <w:r>
              <w:rPr>
                <w:rFonts w:hint="default" w:ascii="Times New Roman" w:hAnsi="Times New Roman" w:cs="Times New Roman" w:eastAsiaTheme="minorEastAsia"/>
                <w:sz w:val="24"/>
                <w:szCs w:val="24"/>
                <w:lang w:val="en-US" w:eastAsia="zh-CN"/>
              </w:rPr>
              <w:t>单位和个人应当保护和正确使用城乡环境卫生设施，禁止损毁、盗窃、占用；禁止擅自关闭、拆除、迁移或者改变其使用性质和内部结构。</w:t>
            </w:r>
          </w:p>
          <w:p w14:paraId="6B08F2E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第六十六条</w:t>
            </w:r>
            <w:r>
              <w:rPr>
                <w:rFonts w:hint="default" w:ascii="Times New Roman" w:hAnsi="Times New Roman" w:cs="Times New Roman" w:eastAsiaTheme="minorEastAsia"/>
                <w:sz w:val="24"/>
                <w:szCs w:val="24"/>
                <w:lang w:val="en-US" w:eastAsia="zh-CN"/>
              </w:rPr>
              <w:t>违反本条例第二十五条第一款规定，侵占、毁损、围挡园林绿地的，或者违反本条例第五十五条规定损毁、盗窃、占用相关设施设备，擅自关闭、拆除、迁移或者改变用途的，责令限期改正，并处两千元以上一万元以下罚款，依法承担相应民事赔偿责任；违反《中华人民共和国治安管理处罚法》的，由公安机关予以处罚；构成犯罪的，依法追究刑事责任。</w:t>
            </w:r>
          </w:p>
        </w:tc>
        <w:tc>
          <w:tcPr>
            <w:tcW w:w="1281" w:type="dxa"/>
            <w:vAlign w:val="center"/>
          </w:tcPr>
          <w:p w14:paraId="4B98463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B28990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4E98DC3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2F4F679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5EE0B0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5D76CD1">
            <w:pPr>
              <w:pStyle w:val="6"/>
              <w:jc w:val="center"/>
              <w:rPr>
                <w:rFonts w:hint="default" w:ascii="Times New Roman" w:hAnsi="Times New Roman" w:cs="Times New Roman" w:eastAsiaTheme="minorEastAsia"/>
                <w:sz w:val="24"/>
                <w:szCs w:val="24"/>
              </w:rPr>
            </w:pPr>
          </w:p>
        </w:tc>
      </w:tr>
      <w:tr w14:paraId="72ACD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C0D4E2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43</w:t>
            </w:r>
          </w:p>
        </w:tc>
        <w:tc>
          <w:tcPr>
            <w:tcW w:w="3014" w:type="dxa"/>
            <w:vAlign w:val="center"/>
          </w:tcPr>
          <w:p w14:paraId="648F3B2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对占用公共道路和公共场所从事车辆修理、清洗、装饰和再生资源回收的行政处罚</w:t>
            </w:r>
          </w:p>
        </w:tc>
        <w:tc>
          <w:tcPr>
            <w:tcW w:w="812" w:type="dxa"/>
            <w:vAlign w:val="center"/>
          </w:tcPr>
          <w:p w14:paraId="2C2D1C2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F9981A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F82F15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《四川省城乡环境综合治理条例》第三十九条</w:t>
            </w:r>
            <w:r>
              <w:rPr>
                <w:rFonts w:hint="default" w:ascii="Times New Roman" w:hAnsi="Times New Roman" w:cs="Times New Roman" w:eastAsiaTheme="minorEastAsia"/>
                <w:sz w:val="24"/>
                <w:szCs w:val="24"/>
                <w:lang w:val="en-US" w:eastAsia="zh-CN"/>
              </w:rPr>
              <w:t>从事车辆修理、清洗、装饰和再生资源回收的，应当符合国土空间规划、城乡容貌管理的要求，保持经营场所及周边环境整洁卫生，不得占用公共道路和公共场所。</w:t>
            </w:r>
          </w:p>
          <w:p w14:paraId="7D1BA6F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第六十九条</w:t>
            </w:r>
            <w:r>
              <w:rPr>
                <w:rFonts w:hint="default" w:ascii="Times New Roman" w:hAnsi="Times New Roman" w:cs="Times New Roman" w:eastAsiaTheme="minorEastAsia"/>
                <w:sz w:val="24"/>
                <w:szCs w:val="24"/>
                <w:lang w:val="en-US" w:eastAsia="zh-CN"/>
              </w:rPr>
              <w:t>违反本条例第三十九条规定，占用公共道路和公共场所从事车辆修理、清洗、装饰和再生资源回收的，责令改正，恢复原状，并处五百元以上两千元以下罚款。</w:t>
            </w:r>
          </w:p>
        </w:tc>
        <w:tc>
          <w:tcPr>
            <w:tcW w:w="1281" w:type="dxa"/>
            <w:vAlign w:val="center"/>
          </w:tcPr>
          <w:p w14:paraId="4B9A516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D83542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3235EF3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1C869C5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DBE6AC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02D86D5">
            <w:pPr>
              <w:pStyle w:val="6"/>
              <w:jc w:val="center"/>
              <w:rPr>
                <w:rFonts w:hint="default" w:ascii="Times New Roman" w:hAnsi="Times New Roman" w:cs="Times New Roman" w:eastAsiaTheme="minorEastAsia"/>
                <w:sz w:val="24"/>
                <w:szCs w:val="24"/>
              </w:rPr>
            </w:pPr>
          </w:p>
        </w:tc>
      </w:tr>
      <w:tr w14:paraId="6612B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5FBA6E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44</w:t>
            </w:r>
          </w:p>
        </w:tc>
        <w:tc>
          <w:tcPr>
            <w:tcW w:w="3014" w:type="dxa"/>
            <w:vAlign w:val="center"/>
          </w:tcPr>
          <w:p w14:paraId="7FB559A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对随地吐痰、吐口香</w:t>
            </w:r>
          </w:p>
          <w:p w14:paraId="44F993C9">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812" w:type="dxa"/>
            <w:vAlign w:val="center"/>
          </w:tcPr>
          <w:p w14:paraId="1412FCC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CAC76B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97A70E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《四川省城乡环境综合治理条例》第四十五条</w:t>
            </w:r>
            <w:r>
              <w:rPr>
                <w:rFonts w:hint="default" w:ascii="Times New Roman" w:hAnsi="Times New Roman" w:cs="Times New Roman" w:eastAsiaTheme="minorEastAsia"/>
                <w:sz w:val="24"/>
                <w:szCs w:val="24"/>
                <w:lang w:val="en-US" w:eastAsia="zh-CN"/>
              </w:rPr>
              <w:t>禁止影响城镇环境卫生的下列行为：（一）随地吐痰、吐口香糖，乱扔烟蒂、纸屑、果皮及食品包装等废弃物，随地便溺；（二）从车辆内或者建（构）筑物上向外抛掷杂物、废弃物；（三）在非指定地点倾倒垃圾、污水、粪便等废弃物或者将废弃物扫入、排入城市排水沟、地下管道；（四）在非指定区域、指定时间燃放烟花爆竹；（五）在露天场所或者垃圾收集容器内焚烧秸秆、树叶、垃圾或者其他废弃物；（六）在住宅区内从事产生废气、废水、废渣的经营活动，影响居民正常生活；（七）占用道路、桥梁、人行天桥、地下通道、广场等公共场地摆摊设点、堆放物料及从事经营性活动。</w:t>
            </w:r>
          </w:p>
          <w:p w14:paraId="6C3A532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第七十一条</w:t>
            </w:r>
            <w:r>
              <w:rPr>
                <w:rFonts w:hint="default" w:ascii="Times New Roman" w:hAnsi="Times New Roman" w:cs="Times New Roman" w:eastAsiaTheme="minorEastAsia"/>
                <w:sz w:val="24"/>
                <w:szCs w:val="24"/>
                <w:lang w:val="en-US" w:eastAsia="zh-CN"/>
              </w:rPr>
              <w:t>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c>
          <w:tcPr>
            <w:tcW w:w="1281" w:type="dxa"/>
            <w:vAlign w:val="center"/>
          </w:tcPr>
          <w:p w14:paraId="0D53158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EBBFE0D">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7FC7E33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66FC4CC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185A42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4B5BAFA">
            <w:pPr>
              <w:pStyle w:val="6"/>
              <w:jc w:val="center"/>
              <w:rPr>
                <w:rFonts w:hint="default" w:ascii="Times New Roman" w:hAnsi="Times New Roman" w:cs="Times New Roman" w:eastAsiaTheme="minorEastAsia"/>
                <w:sz w:val="24"/>
                <w:szCs w:val="24"/>
              </w:rPr>
            </w:pPr>
          </w:p>
        </w:tc>
      </w:tr>
      <w:tr w14:paraId="3002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8" w:hRule="atLeast"/>
        </w:trPr>
        <w:tc>
          <w:tcPr>
            <w:tcW w:w="660" w:type="dxa"/>
            <w:vAlign w:val="center"/>
          </w:tcPr>
          <w:p w14:paraId="6CFEF9B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45</w:t>
            </w:r>
          </w:p>
        </w:tc>
        <w:tc>
          <w:tcPr>
            <w:tcW w:w="3014" w:type="dxa"/>
            <w:vAlign w:val="center"/>
          </w:tcPr>
          <w:p w14:paraId="55BBE1C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对堆放、吊挂影响市</w:t>
            </w:r>
          </w:p>
          <w:p w14:paraId="322CACA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容市貌物品的行政处罚</w:t>
            </w:r>
          </w:p>
        </w:tc>
        <w:tc>
          <w:tcPr>
            <w:tcW w:w="812" w:type="dxa"/>
            <w:vAlign w:val="center"/>
          </w:tcPr>
          <w:p w14:paraId="76189BD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E329F1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C8B78C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《四川省城乡环境综合治理条例》第二十条第一款</w:t>
            </w:r>
            <w:r>
              <w:rPr>
                <w:rFonts w:hint="default" w:ascii="Times New Roman" w:hAnsi="Times New Roman" w:cs="Times New Roman" w:eastAsiaTheme="minorEastAsia"/>
                <w:sz w:val="24"/>
                <w:szCs w:val="24"/>
                <w:lang w:val="en-US" w:eastAsia="zh-CN"/>
              </w:rPr>
              <w:t>城镇临街建（构）筑物立面应当保持整洁、完好，其造型、色调和风格应当与周围环境景观相协调。屋顶、阳台、平台、外走廊及窗外不得堆放、吊挂影响市容市貌的物品；各类附属设施应当规范设置。</w:t>
            </w:r>
          </w:p>
          <w:p w14:paraId="7CF9CCE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第六十五条第一项</w:t>
            </w:r>
            <w:r>
              <w:rPr>
                <w:rFonts w:hint="default" w:ascii="Times New Roman" w:hAnsi="Times New Roman" w:cs="Times New Roman" w:eastAsiaTheme="minorEastAsia"/>
                <w:sz w:val="24"/>
                <w:szCs w:val="24"/>
                <w:lang w:val="en-US" w:eastAsia="zh-CN"/>
              </w:rPr>
              <w:t>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w:t>
            </w:r>
          </w:p>
        </w:tc>
        <w:tc>
          <w:tcPr>
            <w:tcW w:w="1281" w:type="dxa"/>
            <w:vAlign w:val="center"/>
          </w:tcPr>
          <w:p w14:paraId="3B19448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C1D9BD2">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0D4B0F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5E85E3C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436AA1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6255178">
            <w:pPr>
              <w:pStyle w:val="6"/>
              <w:jc w:val="center"/>
              <w:rPr>
                <w:rFonts w:hint="default" w:ascii="Times New Roman" w:hAnsi="Times New Roman" w:cs="Times New Roman" w:eastAsiaTheme="minorEastAsia"/>
                <w:sz w:val="24"/>
                <w:szCs w:val="24"/>
              </w:rPr>
            </w:pPr>
          </w:p>
        </w:tc>
      </w:tr>
      <w:tr w14:paraId="55FCB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909FCF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46</w:t>
            </w:r>
          </w:p>
        </w:tc>
        <w:tc>
          <w:tcPr>
            <w:tcW w:w="3014" w:type="dxa"/>
            <w:vAlign w:val="center"/>
          </w:tcPr>
          <w:p w14:paraId="76192B2C">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对违反施工现场容貌管理规定逾期不改正的行政处罚</w:t>
            </w:r>
          </w:p>
        </w:tc>
        <w:tc>
          <w:tcPr>
            <w:tcW w:w="812" w:type="dxa"/>
            <w:vAlign w:val="center"/>
          </w:tcPr>
          <w:p w14:paraId="2B6140A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81BCC4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7A77D1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《四川省城乡环境综合治理条例》第二十七条第一款</w:t>
            </w:r>
            <w:r>
              <w:rPr>
                <w:rFonts w:hint="default" w:ascii="Times New Roman" w:hAnsi="Times New Roman" w:cs="Times New Roman" w:eastAsiaTheme="minorEastAsia"/>
                <w:sz w:val="24"/>
                <w:szCs w:val="24"/>
                <w:lang w:val="en-US" w:eastAsia="zh-CN"/>
              </w:rPr>
              <w:t>建筑施工现场应当按照规定设置隔离护栏、警示标志和施工公告牌等；施工现场材料、机具应当放置整齐；施工中应当采取封闭、降尘、降噪等措施控制扬尘、噪声等污染，产生的建筑垃圾应当按规定及时清运；工程竣工后应当及时清理和平整场地。</w:t>
            </w:r>
          </w:p>
          <w:p w14:paraId="4EAF13A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第六十八</w:t>
            </w:r>
            <w:r>
              <w:rPr>
                <w:rFonts w:hint="default" w:ascii="Times New Roman" w:hAnsi="Times New Roman" w:cs="Times New Roman" w:eastAsiaTheme="minorEastAsia"/>
                <w:sz w:val="24"/>
                <w:szCs w:val="24"/>
                <w:lang w:val="en-US" w:eastAsia="zh-CN"/>
              </w:rPr>
              <w:t>条违反本条例第二十七条第一款施工现场容貌管理规定的，责令限期改正，处二万元以上十万元以下罚款；拒不改正的，责令停工整治。</w:t>
            </w:r>
          </w:p>
        </w:tc>
        <w:tc>
          <w:tcPr>
            <w:tcW w:w="1281" w:type="dxa"/>
            <w:vAlign w:val="center"/>
          </w:tcPr>
          <w:p w14:paraId="71E4835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E48202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081524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0DBBE44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F960D0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8ED3C15">
            <w:pPr>
              <w:pStyle w:val="6"/>
              <w:jc w:val="center"/>
              <w:rPr>
                <w:rFonts w:hint="default" w:ascii="Times New Roman" w:hAnsi="Times New Roman" w:cs="Times New Roman" w:eastAsiaTheme="minorEastAsia"/>
                <w:sz w:val="24"/>
                <w:szCs w:val="24"/>
              </w:rPr>
            </w:pPr>
          </w:p>
        </w:tc>
      </w:tr>
      <w:tr w14:paraId="7D237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409B75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47</w:t>
            </w:r>
          </w:p>
        </w:tc>
        <w:tc>
          <w:tcPr>
            <w:tcW w:w="3014" w:type="dxa"/>
            <w:vAlign w:val="center"/>
          </w:tcPr>
          <w:p w14:paraId="7EE16AD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对城乡环境综合治理责任人不履行义务，责任区的容貌秩序、环境卫生未达到有关标准的行政处罚</w:t>
            </w:r>
          </w:p>
        </w:tc>
        <w:tc>
          <w:tcPr>
            <w:tcW w:w="812" w:type="dxa"/>
            <w:vAlign w:val="center"/>
          </w:tcPr>
          <w:p w14:paraId="0F15B48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425E8F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0420FE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《四川省城乡环境综合治理条例》第六十四条</w:t>
            </w:r>
            <w:r>
              <w:rPr>
                <w:rFonts w:hint="default" w:ascii="Times New Roman" w:hAnsi="Times New Roman" w:cs="Times New Roman" w:eastAsiaTheme="minorEastAsia"/>
                <w:sz w:val="24"/>
                <w:szCs w:val="24"/>
                <w:lang w:val="en-US" w:eastAsia="zh-CN"/>
              </w:rPr>
              <w:t>城乡环境综合治理责任人不履行义务，责任区的容貌秩序、环境卫生未达到有关标准的，予以警告，责令改正；拒不改正的，可以对个人处一百元以上二百元以下罚款，对单位处五百元以上二千元以下罚款，或者建议其上级主管部门对直接责任人及其主管人员给予处分。</w:t>
            </w:r>
          </w:p>
        </w:tc>
        <w:tc>
          <w:tcPr>
            <w:tcW w:w="1281" w:type="dxa"/>
            <w:vAlign w:val="center"/>
          </w:tcPr>
          <w:p w14:paraId="2E18461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B4FB89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AD211A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03FAF8B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395EAE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6B054A9">
            <w:pPr>
              <w:pStyle w:val="6"/>
              <w:jc w:val="center"/>
              <w:rPr>
                <w:rFonts w:hint="default" w:ascii="Times New Roman" w:hAnsi="Times New Roman" w:cs="Times New Roman" w:eastAsiaTheme="minorEastAsia"/>
                <w:sz w:val="24"/>
                <w:szCs w:val="24"/>
              </w:rPr>
            </w:pPr>
          </w:p>
        </w:tc>
      </w:tr>
      <w:tr w14:paraId="50F4D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401837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48</w:t>
            </w:r>
          </w:p>
        </w:tc>
        <w:tc>
          <w:tcPr>
            <w:tcW w:w="3014" w:type="dxa"/>
            <w:vAlign w:val="center"/>
          </w:tcPr>
          <w:p w14:paraId="0BB18D69">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对运输煤炭、垃圾、渣土、砂石、土方、灰浆等散装、流体物料的车辆，未采取密闭或者其他措施防止物料遗撒的行政处罚</w:t>
            </w:r>
          </w:p>
        </w:tc>
        <w:tc>
          <w:tcPr>
            <w:tcW w:w="812" w:type="dxa"/>
            <w:vAlign w:val="center"/>
          </w:tcPr>
          <w:p w14:paraId="7D003DE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C5F5A1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340FB3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《中华人民共和国大气污染防治法》第一百一十六条</w:t>
            </w:r>
            <w:r>
              <w:rPr>
                <w:rFonts w:hint="default" w:ascii="Times New Roman" w:hAnsi="Times New Roman" w:cs="Times New Roman" w:eastAsiaTheme="minorEastAsia"/>
                <w:sz w:val="24"/>
                <w:szCs w:val="24"/>
                <w:lang w:val="en-US" w:eastAsia="zh-CN"/>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1281" w:type="dxa"/>
            <w:vAlign w:val="center"/>
          </w:tcPr>
          <w:p w14:paraId="6FC4B5C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FE7A92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7E4A991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3C0825D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C99F34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195EE19">
            <w:pPr>
              <w:pStyle w:val="6"/>
              <w:jc w:val="center"/>
              <w:rPr>
                <w:rFonts w:hint="default" w:ascii="Times New Roman" w:hAnsi="Times New Roman" w:cs="Times New Roman" w:eastAsiaTheme="minorEastAsia"/>
                <w:sz w:val="24"/>
                <w:szCs w:val="24"/>
              </w:rPr>
            </w:pPr>
          </w:p>
        </w:tc>
      </w:tr>
      <w:tr w14:paraId="5909C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36E44E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49</w:t>
            </w:r>
          </w:p>
        </w:tc>
        <w:tc>
          <w:tcPr>
            <w:tcW w:w="3014" w:type="dxa"/>
            <w:vAlign w:val="center"/>
          </w:tcPr>
          <w:p w14:paraId="02B40C8A">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对车辆未采取覆盖或者密闭措施，造成泄漏遗撒的或者违规倾倒的行政处罚</w:t>
            </w:r>
          </w:p>
        </w:tc>
        <w:tc>
          <w:tcPr>
            <w:tcW w:w="812" w:type="dxa"/>
            <w:vAlign w:val="center"/>
          </w:tcPr>
          <w:p w14:paraId="1D8F5E1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BE58A3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1DE7B4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《四川省城乡环境综合治理条例》第二十六条第二款</w:t>
            </w:r>
            <w:r>
              <w:rPr>
                <w:rFonts w:hint="default" w:ascii="Times New Roman" w:hAnsi="Times New Roman" w:cs="Times New Roman" w:eastAsiaTheme="minorEastAsia"/>
                <w:sz w:val="24"/>
                <w:szCs w:val="24"/>
                <w:lang w:val="en-US" w:eastAsia="zh-CN"/>
              </w:rPr>
              <w:t>城乡道路上行驶的各种机动车辆应当保持车容整洁。运载垃圾、泥土、砂石、水泥、混凝土、灰浆、煤炭等易飘洒物和液体的机动车辆，应当采取外层覆盖或者密闭措施，不得泄漏遗撒和违规倾倒。</w:t>
            </w:r>
          </w:p>
          <w:p w14:paraId="7C3D318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第六十七条</w:t>
            </w:r>
            <w:r>
              <w:rPr>
                <w:rFonts w:hint="default" w:ascii="Times New Roman" w:hAnsi="Times New Roman" w:cs="Times New Roman" w:eastAsiaTheme="minorEastAsia"/>
                <w:sz w:val="24"/>
                <w:szCs w:val="24"/>
                <w:lang w:val="en-US" w:eastAsia="zh-CN"/>
              </w:rPr>
              <w:t>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c>
          <w:tcPr>
            <w:tcW w:w="1281" w:type="dxa"/>
            <w:vAlign w:val="center"/>
          </w:tcPr>
          <w:p w14:paraId="546C0B6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CE49A63">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4EBF3DF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786703C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00C6E6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A1D4EB0">
            <w:pPr>
              <w:pStyle w:val="6"/>
              <w:jc w:val="center"/>
              <w:rPr>
                <w:rFonts w:hint="default" w:ascii="Times New Roman" w:hAnsi="Times New Roman" w:cs="Times New Roman" w:eastAsiaTheme="minorEastAsia"/>
                <w:sz w:val="24"/>
                <w:szCs w:val="24"/>
              </w:rPr>
            </w:pPr>
          </w:p>
        </w:tc>
      </w:tr>
      <w:tr w14:paraId="3EB9E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4" w:hRule="atLeast"/>
        </w:trPr>
        <w:tc>
          <w:tcPr>
            <w:tcW w:w="660" w:type="dxa"/>
            <w:vAlign w:val="center"/>
          </w:tcPr>
          <w:p w14:paraId="1B5586F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50</w:t>
            </w:r>
          </w:p>
        </w:tc>
        <w:tc>
          <w:tcPr>
            <w:tcW w:w="3014" w:type="dxa"/>
            <w:vAlign w:val="center"/>
          </w:tcPr>
          <w:p w14:paraId="64F9B78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对排放油烟的餐饮服务业经营者未安装油烟净化设施、不正常使用油烟净化设施或者未采取其他油烟净化措施，超过排放标准排放油烟的行政处罚</w:t>
            </w:r>
          </w:p>
        </w:tc>
        <w:tc>
          <w:tcPr>
            <w:tcW w:w="812" w:type="dxa"/>
            <w:vAlign w:val="center"/>
          </w:tcPr>
          <w:p w14:paraId="74A4EA0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0D1AB9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611689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《中华人民共和国大气污染防治法》第一百一十八条第一款</w:t>
            </w:r>
            <w:r>
              <w:rPr>
                <w:rFonts w:hint="default" w:ascii="Times New Roman" w:hAnsi="Times New Roman" w:cs="Times New Roman" w:eastAsiaTheme="minorEastAsia"/>
                <w:sz w:val="24"/>
                <w:szCs w:val="24"/>
                <w:lang w:val="en-US" w:eastAsia="zh-CN"/>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1281" w:type="dxa"/>
            <w:vAlign w:val="center"/>
          </w:tcPr>
          <w:p w14:paraId="04B49C8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4D5EB26">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6E981F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07BA9CC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EBE7C9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B640EAB">
            <w:pPr>
              <w:pStyle w:val="6"/>
              <w:jc w:val="center"/>
              <w:rPr>
                <w:rFonts w:hint="default" w:ascii="Times New Roman" w:hAnsi="Times New Roman" w:cs="Times New Roman" w:eastAsiaTheme="minorEastAsia"/>
                <w:sz w:val="24"/>
                <w:szCs w:val="24"/>
              </w:rPr>
            </w:pPr>
          </w:p>
        </w:tc>
      </w:tr>
      <w:tr w14:paraId="24277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D8621A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51</w:t>
            </w:r>
          </w:p>
        </w:tc>
        <w:tc>
          <w:tcPr>
            <w:tcW w:w="3014" w:type="dxa"/>
            <w:vAlign w:val="center"/>
          </w:tcPr>
          <w:p w14:paraId="3B28998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对在当地人民政府禁止的时段和区域内露天烧烤食品或者为露天烧烤食品提供场地的行政处罚</w:t>
            </w:r>
          </w:p>
        </w:tc>
        <w:tc>
          <w:tcPr>
            <w:tcW w:w="812" w:type="dxa"/>
            <w:vAlign w:val="center"/>
          </w:tcPr>
          <w:p w14:paraId="24B88AB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E75A4E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1D3DB1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《中华人民共和国大气污染防治法》第一百一十八条第三款</w:t>
            </w:r>
            <w:r>
              <w:rPr>
                <w:rFonts w:hint="default" w:ascii="Times New Roman" w:hAnsi="Times New Roman" w:cs="Times New Roman" w:eastAsiaTheme="minorEastAsia"/>
                <w:sz w:val="24"/>
                <w:szCs w:val="24"/>
                <w:lang w:val="en-US" w:eastAsia="zh-CN"/>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1281" w:type="dxa"/>
            <w:vAlign w:val="center"/>
          </w:tcPr>
          <w:p w14:paraId="78CEC58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FC27E5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57ADDDB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074BA67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6EA2E7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8CA3C08">
            <w:pPr>
              <w:pStyle w:val="6"/>
              <w:jc w:val="center"/>
              <w:rPr>
                <w:rFonts w:hint="default" w:ascii="Times New Roman" w:hAnsi="Times New Roman" w:cs="Times New Roman" w:eastAsiaTheme="minorEastAsia"/>
                <w:sz w:val="24"/>
                <w:szCs w:val="24"/>
              </w:rPr>
            </w:pPr>
          </w:p>
        </w:tc>
      </w:tr>
      <w:tr w14:paraId="2DE89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5D605D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52</w:t>
            </w:r>
          </w:p>
        </w:tc>
        <w:tc>
          <w:tcPr>
            <w:tcW w:w="3014" w:type="dxa"/>
            <w:vAlign w:val="center"/>
          </w:tcPr>
          <w:p w14:paraId="3D3E2BF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对露天焚烧秸秆、落叶等产生烟尘污染的物质的行政处罚</w:t>
            </w:r>
          </w:p>
        </w:tc>
        <w:tc>
          <w:tcPr>
            <w:tcW w:w="812" w:type="dxa"/>
            <w:vAlign w:val="center"/>
          </w:tcPr>
          <w:p w14:paraId="5BA2226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8AE48F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BC41E1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《中华人民共和国大气污染防治法》第一百一十九条第一款</w:t>
            </w:r>
            <w:r>
              <w:rPr>
                <w:rFonts w:hint="default" w:ascii="Times New Roman" w:hAnsi="Times New Roman" w:cs="Times New Roman" w:eastAsiaTheme="minorEastAsia"/>
                <w:sz w:val="24"/>
                <w:szCs w:val="24"/>
                <w:lang w:val="en-US" w:eastAsia="zh-CN"/>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1281" w:type="dxa"/>
            <w:vAlign w:val="center"/>
          </w:tcPr>
          <w:p w14:paraId="33FC303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D1F5FEB">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98DC1F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0B565B2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1CA44B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7643D44">
            <w:pPr>
              <w:pStyle w:val="6"/>
              <w:jc w:val="center"/>
              <w:rPr>
                <w:rFonts w:hint="default" w:ascii="Times New Roman" w:hAnsi="Times New Roman" w:cs="Times New Roman" w:eastAsiaTheme="minorEastAsia"/>
                <w:sz w:val="24"/>
                <w:szCs w:val="24"/>
              </w:rPr>
            </w:pPr>
          </w:p>
        </w:tc>
      </w:tr>
      <w:tr w14:paraId="6D7F3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7D8611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53</w:t>
            </w:r>
          </w:p>
        </w:tc>
        <w:tc>
          <w:tcPr>
            <w:tcW w:w="3014" w:type="dxa"/>
            <w:vAlign w:val="center"/>
          </w:tcPr>
          <w:p w14:paraId="26141B1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对在人口集中地区和其他依法需要特殊保护的区域内，焚烧沥青、油毡、橡胶、塑料、皮革、垃圾以及其他产生有毒有害烟尘和恶臭气体的物质的行政处罚</w:t>
            </w:r>
          </w:p>
        </w:tc>
        <w:tc>
          <w:tcPr>
            <w:tcW w:w="812" w:type="dxa"/>
            <w:vAlign w:val="center"/>
          </w:tcPr>
          <w:p w14:paraId="19F1E0D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19D91E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4F7243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《中华人民共和国大气污染防治法》第一百一十九条第二款</w:t>
            </w:r>
            <w:r>
              <w:rPr>
                <w:rFonts w:hint="default" w:ascii="Times New Roman" w:hAnsi="Times New Roman" w:cs="Times New Roman" w:eastAsiaTheme="minorEastAsia"/>
                <w:sz w:val="24"/>
                <w:szCs w:val="24"/>
                <w:lang w:val="en-US" w:eastAsia="zh-CN"/>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tc>
        <w:tc>
          <w:tcPr>
            <w:tcW w:w="1281" w:type="dxa"/>
            <w:vAlign w:val="center"/>
          </w:tcPr>
          <w:p w14:paraId="0679B51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D99A07F">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402C521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城市管理局</w:t>
            </w:r>
          </w:p>
        </w:tc>
        <w:tc>
          <w:tcPr>
            <w:tcW w:w="1435" w:type="dxa"/>
            <w:vAlign w:val="center"/>
          </w:tcPr>
          <w:p w14:paraId="62D483B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98DA66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EBF2A09">
            <w:pPr>
              <w:pStyle w:val="6"/>
              <w:jc w:val="center"/>
              <w:rPr>
                <w:rFonts w:hint="default" w:ascii="Times New Roman" w:hAnsi="Times New Roman" w:cs="Times New Roman" w:eastAsiaTheme="minorEastAsia"/>
                <w:sz w:val="24"/>
                <w:szCs w:val="24"/>
              </w:rPr>
            </w:pPr>
          </w:p>
        </w:tc>
      </w:tr>
      <w:tr w14:paraId="33023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817B69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54</w:t>
            </w:r>
          </w:p>
        </w:tc>
        <w:tc>
          <w:tcPr>
            <w:tcW w:w="3014" w:type="dxa"/>
            <w:vAlign w:val="center"/>
          </w:tcPr>
          <w:p w14:paraId="787469B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对擅自进行涉路施工等行为的行政处罚</w:t>
            </w:r>
          </w:p>
        </w:tc>
        <w:tc>
          <w:tcPr>
            <w:tcW w:w="812" w:type="dxa"/>
            <w:vAlign w:val="center"/>
          </w:tcPr>
          <w:p w14:paraId="2CB5146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50EA8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AE0D85B">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《中华人民共和国公路法》第四十四条第一款</w:t>
            </w:r>
            <w:r>
              <w:rPr>
                <w:rFonts w:hint="default" w:ascii="Times New Roman" w:hAnsi="Times New Roman" w:cs="Times New Roman" w:eastAsiaTheme="minorEastAsia"/>
                <w:sz w:val="24"/>
                <w:szCs w:val="24"/>
                <w:lang w:val="en-US" w:eastAsia="zh-CN"/>
              </w:rPr>
              <w:t>任何单位和个人不得擅自占用、挖掘公路。</w:t>
            </w:r>
          </w:p>
          <w:p w14:paraId="23E7A31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第四十五条</w:t>
            </w:r>
            <w:r>
              <w:rPr>
                <w:rFonts w:hint="default" w:ascii="Times New Roman" w:hAnsi="Times New Roman" w:cs="Times New Roman" w:eastAsiaTheme="minorEastAsia"/>
                <w:sz w:val="24"/>
                <w:szCs w:val="24"/>
                <w:lang w:val="en-US" w:eastAsia="zh-CN"/>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14:paraId="70CD26B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第五十五条</w:t>
            </w:r>
            <w:r>
              <w:rPr>
                <w:rFonts w:hint="default" w:ascii="Times New Roman" w:hAnsi="Times New Roman" w:cs="Times New Roman" w:eastAsiaTheme="minorEastAsia"/>
                <w:sz w:val="24"/>
                <w:szCs w:val="24"/>
                <w:lang w:val="en-US" w:eastAsia="zh-CN"/>
              </w:rPr>
              <w:t>在公路上增设平面交叉道口，必须按照国家有关规定经过批准，并按照国家规定的技术标准建设。</w:t>
            </w:r>
          </w:p>
          <w:p w14:paraId="060E24D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第七十六条第一项、第二项</w:t>
            </w:r>
            <w:r>
              <w:rPr>
                <w:rFonts w:hint="default" w:ascii="Times New Roman" w:hAnsi="Times New Roman" w:cs="Times New Roman" w:eastAsiaTheme="minorEastAsia"/>
                <w:sz w:val="24"/>
                <w:szCs w:val="24"/>
                <w:lang w:val="en-US" w:eastAsia="zh-CN"/>
              </w:rPr>
              <w:t>有下列违法行为之一的，由交通主管部门责令停止违法行为，可以处三万元以下的罚款：（一）违反本法第四十四条第一款规定，擅自占用、挖掘公路的</w:t>
            </w:r>
            <w:r>
              <w:rPr>
                <w:rFonts w:hint="eastAsia"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lang w:val="en-US" w:eastAsia="zh-CN"/>
              </w:rPr>
              <w:t>（二）违反本法第四十五条规定，未经同意或者未按照公路工程技术标准的要求修建桥梁、渡槽或者架设、埋设管线、电缆等设施的。</w:t>
            </w:r>
          </w:p>
          <w:p w14:paraId="1839AEC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第八十条</w:t>
            </w:r>
            <w:r>
              <w:rPr>
                <w:rFonts w:hint="default" w:ascii="Times New Roman" w:hAnsi="Times New Roman" w:cs="Times New Roman" w:eastAsiaTheme="minorEastAsia"/>
                <w:sz w:val="24"/>
                <w:szCs w:val="24"/>
                <w:lang w:val="en-US" w:eastAsia="zh-CN"/>
              </w:rPr>
              <w:t>违反本法第五十五条规定，未经批准在公路上增设平面交叉道口的，由交通主管部门责令恢复原状，处五万元以下的罚款。</w:t>
            </w:r>
          </w:p>
          <w:p w14:paraId="04BDB8A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《公路安全保护条例》第二十七条</w:t>
            </w:r>
            <w:r>
              <w:rPr>
                <w:rFonts w:hint="default" w:ascii="Times New Roman" w:hAnsi="Times New Roman" w:cs="Times New Roman" w:eastAsiaTheme="minorEastAsia"/>
                <w:sz w:val="24"/>
                <w:szCs w:val="24"/>
                <w:lang w:val="en-US" w:eastAsia="zh-CN"/>
              </w:rPr>
              <w:t>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梁、公路隧道、涵洞铺设电缆等设施；（五）利用跨越公路的设施悬挂非公路标志；（六）在公路上增设或者改造平面交叉道口；（七）在公路建筑控制区内埋设管道、电缆等设施。第六十二条违反本条例的规定，未经许可进行本条例第二十七条第一项至第五项规定的涉路施工活动的，由公路管理机构责令改正，可以处3万元以下的罚款；未经许可进行本条例第二十七条第六项</w:t>
            </w:r>
            <w:r>
              <w:rPr>
                <w:rFonts w:hint="eastAsia" w:ascii="Times New Roman" w:hAnsi="Times New Roman" w:cs="Times New Roman" w:eastAsiaTheme="minorEastAsia"/>
                <w:sz w:val="24"/>
                <w:szCs w:val="24"/>
                <w:lang w:val="en-US" w:eastAsia="zh-CN"/>
              </w:rPr>
              <w:t>规定</w:t>
            </w:r>
            <w:r>
              <w:rPr>
                <w:rFonts w:hint="default" w:ascii="Times New Roman" w:hAnsi="Times New Roman" w:cs="Times New Roman" w:eastAsiaTheme="minorEastAsia"/>
                <w:sz w:val="24"/>
                <w:szCs w:val="24"/>
                <w:lang w:val="en-US" w:eastAsia="zh-CN"/>
              </w:rPr>
              <w:t>的涉路施工活动的，由公路管理机构责令改正，处5万元以下的罚款。</w:t>
            </w:r>
          </w:p>
          <w:p w14:paraId="01B1360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
                <w:bCs/>
                <w:sz w:val="24"/>
                <w:szCs w:val="24"/>
                <w:lang w:val="en-US" w:eastAsia="zh-CN"/>
              </w:rPr>
              <w:t>《四川省农村公路条例》第二十八</w:t>
            </w:r>
            <w:r>
              <w:rPr>
                <w:rFonts w:hint="default" w:ascii="Times New Roman" w:hAnsi="Times New Roman" w:cs="Times New Roman" w:eastAsiaTheme="minorEastAsia"/>
                <w:sz w:val="24"/>
                <w:szCs w:val="24"/>
                <w:lang w:val="en-US" w:eastAsia="zh-CN"/>
              </w:rPr>
              <w:t>条其他建设工程需要占用、挖掘村道等影响村道畅通安全的行为，应当征求村民委员会的意见，并报乡（镇）人民政府同意，由乡（镇）人民政府报县（市、区）人民政府交通运输主管部门公路管理机构备案。占用、挖掘村道的应当按照不低于该路段原有的技术标准予以修复、改建，或者给予相应的经济补偿。</w:t>
            </w:r>
          </w:p>
          <w:p w14:paraId="4F96F99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第五十五条</w:t>
            </w:r>
            <w:r>
              <w:rPr>
                <w:rFonts w:hint="default" w:ascii="Times New Roman" w:hAnsi="Times New Roman" w:cs="Times New Roman" w:eastAsiaTheme="minorEastAsia"/>
                <w:sz w:val="24"/>
                <w:szCs w:val="24"/>
                <w:lang w:val="en-US" w:eastAsia="zh-CN"/>
              </w:rPr>
              <w:t>违反本条例第二十八条规定，实施占用、挖掘村道等影响村道畅通安全的行为，未经乡（镇）人民政府同意的，县（市、区）人民政府交通运输主管部门公路管理机构可以处三万元以下的罚款。</w:t>
            </w:r>
          </w:p>
        </w:tc>
        <w:tc>
          <w:tcPr>
            <w:tcW w:w="1281" w:type="dxa"/>
            <w:vAlign w:val="center"/>
          </w:tcPr>
          <w:p w14:paraId="47F3B46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02E1F7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4BC472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4C17F49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4860BB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D53503A">
            <w:pPr>
              <w:pStyle w:val="6"/>
              <w:jc w:val="center"/>
              <w:rPr>
                <w:rFonts w:hint="default" w:ascii="Times New Roman" w:hAnsi="Times New Roman" w:cs="Times New Roman" w:eastAsiaTheme="minorEastAsia"/>
                <w:sz w:val="24"/>
                <w:szCs w:val="24"/>
              </w:rPr>
            </w:pPr>
          </w:p>
        </w:tc>
      </w:tr>
      <w:tr w14:paraId="0CA35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2DA29C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55</w:t>
            </w:r>
          </w:p>
        </w:tc>
        <w:tc>
          <w:tcPr>
            <w:tcW w:w="3014" w:type="dxa"/>
            <w:vAlign w:val="center"/>
          </w:tcPr>
          <w:p w14:paraId="6903161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对从事挖砂、爆破及其他危及公路、公路桥梁等安全的作业行为的行政处罚</w:t>
            </w:r>
          </w:p>
        </w:tc>
        <w:tc>
          <w:tcPr>
            <w:tcW w:w="812" w:type="dxa"/>
            <w:vAlign w:val="center"/>
          </w:tcPr>
          <w:p w14:paraId="08F9F26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842385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95AEDA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《中华人民共和国公路法》第四十七条</w:t>
            </w:r>
            <w:r>
              <w:rPr>
                <w:rFonts w:hint="default" w:ascii="Times New Roman" w:hAnsi="Times New Roman" w:cs="Times New Roman" w:eastAsiaTheme="minorEastAsia"/>
                <w:sz w:val="24"/>
                <w:szCs w:val="24"/>
                <w:lang w:val="en-US" w:eastAsia="zh-CN"/>
              </w:rPr>
              <w:t>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14:paraId="0F87C40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第七十六条第三项</w:t>
            </w:r>
            <w:r>
              <w:rPr>
                <w:rFonts w:hint="default" w:ascii="Times New Roman" w:hAnsi="Times New Roman" w:cs="Times New Roman" w:eastAsiaTheme="minorEastAsia"/>
                <w:sz w:val="24"/>
                <w:szCs w:val="24"/>
                <w:lang w:val="en-US" w:eastAsia="zh-CN"/>
              </w:rPr>
              <w:t>有下列违法行为之一的，由交通主管部门责令停止违法行为，可以处三万元以下的罚款：（三）违反本法第四十七条规定，从事危及公路安全的作业的。</w:t>
            </w:r>
          </w:p>
          <w:p w14:paraId="3610879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《四川省农村公路条例》第三十一条</w:t>
            </w:r>
            <w:r>
              <w:rPr>
                <w:rFonts w:hint="default" w:ascii="Times New Roman" w:hAnsi="Times New Roman" w:cs="Times New Roman" w:eastAsiaTheme="minorEastAsia"/>
                <w:sz w:val="24"/>
                <w:szCs w:val="24"/>
                <w:lang w:val="en-US" w:eastAsia="zh-CN"/>
              </w:rPr>
              <w:t>禁止在村道的公路用地外缘起向外五十米、大中型桥梁和渡口周围二百米、隧道上方和洞口外一百米范围内从事采矿、爆破等危及村道安全的活动。</w:t>
            </w:r>
          </w:p>
          <w:p w14:paraId="488CA34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第五十七条</w:t>
            </w:r>
            <w:r>
              <w:rPr>
                <w:rFonts w:hint="default" w:ascii="Times New Roman" w:hAnsi="Times New Roman" w:cs="Times New Roman" w:eastAsiaTheme="minorEastAsia"/>
                <w:sz w:val="24"/>
                <w:szCs w:val="24"/>
                <w:lang w:val="en-US" w:eastAsia="zh-CN"/>
              </w:rPr>
              <w:t>违反本条例第三十一条规定，实施危及村道安全活动的，由县（市、区）人民政府交通运输主管部门公路管理机构责令改正，可以处二千元以上一万元以下的罚款；情节严重的，可以处一万元以上三万元以下的罚款。</w:t>
            </w:r>
          </w:p>
        </w:tc>
        <w:tc>
          <w:tcPr>
            <w:tcW w:w="1281" w:type="dxa"/>
            <w:vAlign w:val="center"/>
          </w:tcPr>
          <w:p w14:paraId="42742D7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A07DCA1">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25B2B5D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5DF319D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F9AFE8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35C0E44">
            <w:pPr>
              <w:pStyle w:val="6"/>
              <w:jc w:val="center"/>
              <w:rPr>
                <w:rFonts w:hint="default" w:ascii="Times New Roman" w:hAnsi="Times New Roman" w:cs="Times New Roman" w:eastAsiaTheme="minorEastAsia"/>
                <w:sz w:val="24"/>
                <w:szCs w:val="24"/>
              </w:rPr>
            </w:pPr>
          </w:p>
        </w:tc>
      </w:tr>
      <w:tr w14:paraId="55F5A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A9C2E5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56</w:t>
            </w:r>
          </w:p>
        </w:tc>
        <w:tc>
          <w:tcPr>
            <w:tcW w:w="3014" w:type="dxa"/>
            <w:vAlign w:val="center"/>
          </w:tcPr>
          <w:p w14:paraId="7A1FDB1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对利用公路桥梁进行牵拉、吊装等危及公路桥梁安全的施工作业行为的行政处罚</w:t>
            </w:r>
          </w:p>
        </w:tc>
        <w:tc>
          <w:tcPr>
            <w:tcW w:w="812" w:type="dxa"/>
            <w:vAlign w:val="center"/>
          </w:tcPr>
          <w:p w14:paraId="5C03782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57938F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E41715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《公路安全保护条例》第二十二条第一款</w:t>
            </w:r>
            <w:r>
              <w:rPr>
                <w:rFonts w:hint="default" w:ascii="Times New Roman" w:hAnsi="Times New Roman" w:cs="Times New Roman" w:eastAsiaTheme="minorEastAsia"/>
                <w:sz w:val="24"/>
                <w:szCs w:val="24"/>
                <w:lang w:val="en-US" w:eastAsia="zh-CN"/>
              </w:rPr>
              <w:t>禁止利用公路桥梁进行牵拉、吊装等危及公路桥梁安全的施工作业。</w:t>
            </w:r>
          </w:p>
          <w:p w14:paraId="1BBA29A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第五十九条</w:t>
            </w:r>
            <w:r>
              <w:rPr>
                <w:rFonts w:hint="default" w:ascii="Times New Roman" w:hAnsi="Times New Roman" w:cs="Times New Roman" w:eastAsiaTheme="minorEastAsia"/>
                <w:sz w:val="24"/>
                <w:szCs w:val="24"/>
                <w:lang w:val="en-US" w:eastAsia="zh-CN"/>
              </w:rPr>
              <w:t>违反本条例第二十二条规定的，由公路管理机构责令改正，处2万元以上10万元以下的罚款。</w:t>
            </w:r>
          </w:p>
        </w:tc>
        <w:tc>
          <w:tcPr>
            <w:tcW w:w="1281" w:type="dxa"/>
            <w:vAlign w:val="center"/>
          </w:tcPr>
          <w:p w14:paraId="31F2CF6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138D025">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16ACCF6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22E8DA5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B6B01B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79BAC15">
            <w:pPr>
              <w:pStyle w:val="6"/>
              <w:jc w:val="center"/>
              <w:rPr>
                <w:rFonts w:hint="default" w:ascii="Times New Roman" w:hAnsi="Times New Roman" w:cs="Times New Roman" w:eastAsiaTheme="minorEastAsia"/>
                <w:sz w:val="24"/>
                <w:szCs w:val="24"/>
              </w:rPr>
            </w:pPr>
          </w:p>
        </w:tc>
      </w:tr>
      <w:tr w14:paraId="3C08D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C8D8FA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57</w:t>
            </w:r>
          </w:p>
        </w:tc>
        <w:tc>
          <w:tcPr>
            <w:tcW w:w="3014" w:type="dxa"/>
            <w:vAlign w:val="center"/>
          </w:tcPr>
          <w:p w14:paraId="0A939F7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对铁轮车、履带车和其他可能损害路面的机具擅自在公路上行驶行为的行政处罚</w:t>
            </w:r>
          </w:p>
        </w:tc>
        <w:tc>
          <w:tcPr>
            <w:tcW w:w="812" w:type="dxa"/>
            <w:vAlign w:val="center"/>
          </w:tcPr>
          <w:p w14:paraId="6545698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03D40E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D9E1CF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《中华人民共和国公路法》第四十八条</w:t>
            </w:r>
            <w:r>
              <w:rPr>
                <w:rFonts w:hint="default" w:ascii="Times New Roman" w:hAnsi="Times New Roman" w:cs="Times New Roman" w:eastAsiaTheme="minorEastAsia"/>
                <w:sz w:val="24"/>
                <w:szCs w:val="24"/>
                <w:lang w:val="en-US" w:eastAsia="zh-CN"/>
              </w:rPr>
              <w:t>铁轮车、履带车和其他可能损害公路路面的机具，不得在公路上行驶。农业机械因当地田间作业需要在公路上短距离行驶或者军用车辆执行任务需要在公路上行驶的，可以不受前款限制，但是应当采取安全保护措施。对公路造成损坏的，应当按照损坏程度给予补偿。</w:t>
            </w:r>
          </w:p>
          <w:p w14:paraId="6914DA8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第七十六条第四项</w:t>
            </w:r>
            <w:r>
              <w:rPr>
                <w:rFonts w:hint="default" w:ascii="Times New Roman" w:hAnsi="Times New Roman" w:cs="Times New Roman" w:eastAsiaTheme="minorEastAsia"/>
                <w:sz w:val="24"/>
                <w:szCs w:val="24"/>
                <w:lang w:val="en-US" w:eastAsia="zh-CN"/>
              </w:rPr>
              <w:t>有下列违法行为之一的，由交通主管部门责令停止违法行为，可以处三万元以下的罚款：（四）违反本法第四十八条规定，铁轮车、履带车和其他可能损害路面的机具擅自在公路上行驶的。</w:t>
            </w:r>
          </w:p>
        </w:tc>
        <w:tc>
          <w:tcPr>
            <w:tcW w:w="1281" w:type="dxa"/>
            <w:vAlign w:val="center"/>
          </w:tcPr>
          <w:p w14:paraId="48F5435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62A203A">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3163466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51546F3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4F401E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14BAC20">
            <w:pPr>
              <w:pStyle w:val="6"/>
              <w:jc w:val="center"/>
              <w:rPr>
                <w:rFonts w:hint="default" w:ascii="Times New Roman" w:hAnsi="Times New Roman" w:cs="Times New Roman" w:eastAsiaTheme="minorEastAsia"/>
                <w:sz w:val="24"/>
                <w:szCs w:val="24"/>
              </w:rPr>
            </w:pPr>
          </w:p>
        </w:tc>
      </w:tr>
      <w:tr w14:paraId="3A753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FD7690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58</w:t>
            </w:r>
          </w:p>
        </w:tc>
        <w:tc>
          <w:tcPr>
            <w:tcW w:w="3014" w:type="dxa"/>
            <w:vAlign w:val="center"/>
          </w:tcPr>
          <w:p w14:paraId="1AD1735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对损坏、擅自移动、涂改、遮挡公路附属设施或者利用公路附属设施架设管道、悬挂物品或者损坏、擅自挪动建筑控制区的标桩、界桩等可能危及公路安全等行为的行政处罚</w:t>
            </w:r>
          </w:p>
        </w:tc>
        <w:tc>
          <w:tcPr>
            <w:tcW w:w="812" w:type="dxa"/>
            <w:vAlign w:val="center"/>
          </w:tcPr>
          <w:p w14:paraId="630700D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ACB0B4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CB0DFF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《中华人民共和国公路法》第五十二条</w:t>
            </w:r>
            <w:r>
              <w:rPr>
                <w:rFonts w:hint="default" w:ascii="Times New Roman" w:hAnsi="Times New Roman" w:cs="Times New Roman" w:eastAsiaTheme="minorEastAsia"/>
                <w:sz w:val="24"/>
                <w:szCs w:val="24"/>
                <w:lang w:val="en-US" w:eastAsia="zh-CN"/>
              </w:rPr>
              <w:t>任何单位和个人不得损坏、擅自移动、涂改公路附属设施。前款公路附属设施，是指为保护、养护公路和保障公路安全畅通所设置的公路防护、排水、养护、管理、服务、交通安全、渡运、监控、通信、收费等设施、设备以及专用建筑物、构筑物等。</w:t>
            </w:r>
          </w:p>
          <w:p w14:paraId="08B3362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第五十六条</w:t>
            </w:r>
            <w:r>
              <w:rPr>
                <w:rFonts w:hint="default" w:ascii="Times New Roman" w:hAnsi="Times New Roman" w:cs="Times New Roman" w:eastAsiaTheme="minorEastAsia"/>
                <w:sz w:val="24"/>
                <w:szCs w:val="24"/>
                <w:lang w:val="en-US" w:eastAsia="zh-CN"/>
              </w:rPr>
              <w:t>除公路防护、养护需要的以外，禁止在公路两侧的建筑控制区内修建建筑物和地面构筑物；需要在建筑控制区内埋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w:t>
            </w:r>
          </w:p>
          <w:p w14:paraId="095168A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第七十六条第六项</w:t>
            </w:r>
            <w:r>
              <w:rPr>
                <w:rFonts w:hint="default" w:ascii="Times New Roman" w:hAnsi="Times New Roman" w:cs="Times New Roman" w:eastAsiaTheme="minorEastAsia"/>
                <w:sz w:val="24"/>
                <w:szCs w:val="24"/>
                <w:lang w:val="en-US" w:eastAsia="zh-CN"/>
              </w:rPr>
              <w:t>有下列违法行为之一的，由交通主管部门责令停止违法行为，可以处三万元以下的罚款：（六）违反本法第五十二条、第五十六条规定，损坏、移动、涂改公路附属设施或者损坏、挪动建筑控制区的标桩、界桩，可能危及公路安全的。</w:t>
            </w:r>
          </w:p>
          <w:p w14:paraId="3EFB8FA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《公路安全保护条例》第二十五条</w:t>
            </w:r>
            <w:r>
              <w:rPr>
                <w:rFonts w:hint="default" w:ascii="Times New Roman" w:hAnsi="Times New Roman" w:cs="Times New Roman" w:eastAsiaTheme="minorEastAsia"/>
                <w:sz w:val="24"/>
                <w:szCs w:val="24"/>
                <w:lang w:val="en-US" w:eastAsia="zh-CN"/>
              </w:rPr>
              <w:t>禁止损坏、擅自移动、涂改、遮挡公路附属设施或者利用公路附属设施架设管道、悬挂物品。</w:t>
            </w:r>
          </w:p>
          <w:p w14:paraId="770C110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第六十条第一项</w:t>
            </w:r>
            <w:r>
              <w:rPr>
                <w:rFonts w:hint="default" w:ascii="Times New Roman" w:hAnsi="Times New Roman" w:cs="Times New Roman" w:eastAsiaTheme="minorEastAsia"/>
                <w:sz w:val="24"/>
                <w:szCs w:val="24"/>
                <w:lang w:val="en-US" w:eastAsia="zh-CN"/>
              </w:rPr>
              <w:t>违反本条例的规定，有下列行为之一的，由公路管理机构责令改正，可以处3万元以下的罚款：（一）损坏、擅自移动、涂改、遮挡公路附属设施或者利用公路附属设施架设管道、悬挂物品，可能危及公路安全的。</w:t>
            </w:r>
          </w:p>
        </w:tc>
        <w:tc>
          <w:tcPr>
            <w:tcW w:w="1281" w:type="dxa"/>
            <w:vAlign w:val="center"/>
          </w:tcPr>
          <w:p w14:paraId="2F7EFCF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24A5B94">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4D30CC1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0B0EC5C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7EDAB8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EC086D6">
            <w:pPr>
              <w:pStyle w:val="6"/>
              <w:jc w:val="center"/>
              <w:rPr>
                <w:rFonts w:hint="default" w:ascii="Times New Roman" w:hAnsi="Times New Roman" w:cs="Times New Roman" w:eastAsiaTheme="minorEastAsia"/>
                <w:sz w:val="24"/>
                <w:szCs w:val="24"/>
              </w:rPr>
            </w:pPr>
          </w:p>
        </w:tc>
      </w:tr>
      <w:tr w14:paraId="45DD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3443DC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59</w:t>
            </w:r>
          </w:p>
        </w:tc>
        <w:tc>
          <w:tcPr>
            <w:tcW w:w="3014" w:type="dxa"/>
            <w:vAlign w:val="center"/>
          </w:tcPr>
          <w:p w14:paraId="63F9BA8A">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对造成公路路面损坏、污染或者影响公路畅通行为的行政处罚</w:t>
            </w:r>
          </w:p>
        </w:tc>
        <w:tc>
          <w:tcPr>
            <w:tcW w:w="812" w:type="dxa"/>
            <w:vAlign w:val="center"/>
          </w:tcPr>
          <w:p w14:paraId="0F75035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1C78B7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337A2DF">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《中华人民共和国公路法》第四十六条</w:t>
            </w:r>
            <w:r>
              <w:rPr>
                <w:rFonts w:hint="default" w:ascii="Times New Roman" w:hAnsi="Times New Roman" w:cs="Times New Roman" w:eastAsiaTheme="minorEastAsia"/>
                <w:sz w:val="24"/>
                <w:szCs w:val="24"/>
                <w:lang w:val="en-US" w:eastAsia="zh-CN"/>
              </w:rPr>
              <w:t>任何单位和个人不得在公路上及公路用地范围内摆摊设点、堆放物品、倾倒垃圾、设置障碍、挖沟引水、利用公路边沟排放污物或者进行其他损坏、污染公路和影响公路畅通的活动。</w:t>
            </w:r>
          </w:p>
          <w:p w14:paraId="2CD7855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第七十七条</w:t>
            </w:r>
            <w:r>
              <w:rPr>
                <w:rFonts w:hint="default" w:ascii="Times New Roman" w:hAnsi="Times New Roman" w:cs="Times New Roman" w:eastAsiaTheme="minorEastAsia"/>
                <w:sz w:val="24"/>
                <w:szCs w:val="24"/>
                <w:lang w:val="en-US" w:eastAsia="zh-CN"/>
              </w:rPr>
              <w:t>违反本法第四十六条的规定，造成公路路面损坏、污染或者影响公路畅通的，或者违反本法第五十一条规定，将公路作为试车场地的，由交通主管部门责令停止违法行为，可以处五千元以下的罚款。</w:t>
            </w:r>
          </w:p>
          <w:p w14:paraId="215A7A6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《公路安全保护条例》第六十九条</w:t>
            </w:r>
            <w:r>
              <w:rPr>
                <w:rFonts w:hint="default" w:ascii="Times New Roman" w:hAnsi="Times New Roman" w:cs="Times New Roman" w:eastAsiaTheme="minorEastAsia"/>
                <w:sz w:val="24"/>
                <w:szCs w:val="24"/>
                <w:lang w:val="en-US" w:eastAsia="zh-CN"/>
              </w:rPr>
              <w:t>车辆装载物触地拖行、掉落、遗洒或者飘散，造成公路路面损坏、污染的，由公路管理机构责令改正，处5000元以下的罚款。</w:t>
            </w:r>
          </w:p>
        </w:tc>
        <w:tc>
          <w:tcPr>
            <w:tcW w:w="1281" w:type="dxa"/>
            <w:vAlign w:val="center"/>
          </w:tcPr>
          <w:p w14:paraId="7750349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282E009">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6A5D436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0F22AB9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0EB47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11D820D">
            <w:pPr>
              <w:pStyle w:val="6"/>
              <w:jc w:val="center"/>
              <w:rPr>
                <w:rFonts w:hint="default" w:ascii="Times New Roman" w:hAnsi="Times New Roman" w:cs="Times New Roman" w:eastAsiaTheme="minorEastAsia"/>
                <w:sz w:val="24"/>
                <w:szCs w:val="24"/>
              </w:rPr>
            </w:pPr>
          </w:p>
        </w:tc>
      </w:tr>
      <w:tr w14:paraId="437E6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F37891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60</w:t>
            </w:r>
          </w:p>
        </w:tc>
        <w:tc>
          <w:tcPr>
            <w:tcW w:w="3014" w:type="dxa"/>
            <w:vAlign w:val="center"/>
          </w:tcPr>
          <w:p w14:paraId="607F68F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对在公路建筑控制区内修建、扩建建筑物、地面构筑物或擅自埋设管道、电缆等设施行为的行政处罚</w:t>
            </w:r>
          </w:p>
        </w:tc>
        <w:tc>
          <w:tcPr>
            <w:tcW w:w="812" w:type="dxa"/>
            <w:vAlign w:val="center"/>
          </w:tcPr>
          <w:p w14:paraId="7F497E2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45C77F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95357C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《中华人民共和国公路法》第五十六条</w:t>
            </w:r>
            <w:r>
              <w:rPr>
                <w:rFonts w:hint="default" w:ascii="Times New Roman" w:hAnsi="Times New Roman" w:cs="Times New Roman" w:eastAsiaTheme="minorEastAsia"/>
                <w:sz w:val="24"/>
                <w:szCs w:val="24"/>
                <w:lang w:val="en-US" w:eastAsia="zh-CN"/>
              </w:rPr>
              <w:t>除公路防护、养护需要的以外，禁止在公路两侧的建筑控制区内修建建筑物和地面构筑物；需要在建筑控制区内增设管线、电缆等设施的，应当事先经县级以上地方人民政府交通主管部门批准。前款规定的建筑控制区的范围，由县级以上地方人民政府按照保障公路运行安全和节约用地的原则，依照国务院的规定划定。建筑控制区范围经县级以上地方人民政府依照前款规定划定后，由县级以上地方人民政府交通主管部门设置标桩、界桩。任何单位和个人不得损坏、擅自挪动该标桩、界桩。</w:t>
            </w:r>
          </w:p>
          <w:p w14:paraId="5740E0A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第八十一条</w:t>
            </w:r>
            <w:r>
              <w:rPr>
                <w:rFonts w:hint="default" w:ascii="Times New Roman" w:hAnsi="Times New Roman" w:cs="Times New Roman" w:eastAsiaTheme="minorEastAsia"/>
                <w:sz w:val="24"/>
                <w:szCs w:val="24"/>
                <w:lang w:val="en-US" w:eastAsia="zh-CN"/>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14:paraId="012EC7A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.《公路安全保护条例》第五十六条第一项</w:t>
            </w:r>
            <w:r>
              <w:rPr>
                <w:rFonts w:hint="default" w:ascii="Times New Roman" w:hAnsi="Times New Roman" w:cs="Times New Roman" w:eastAsiaTheme="minorEastAsia"/>
                <w:sz w:val="24"/>
                <w:szCs w:val="24"/>
                <w:lang w:val="en-US" w:eastAsia="zh-CN"/>
              </w:rPr>
              <w:t>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p w14:paraId="65C5768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
                <w:bCs/>
                <w:sz w:val="24"/>
                <w:szCs w:val="24"/>
                <w:lang w:val="en-US" w:eastAsia="zh-CN"/>
              </w:rPr>
              <w:t>《四川省农村公路条例》第二十七条</w:t>
            </w:r>
            <w:r>
              <w:rPr>
                <w:rFonts w:hint="default" w:ascii="Times New Roman" w:hAnsi="Times New Roman" w:cs="Times New Roman" w:eastAsiaTheme="minorEastAsia"/>
                <w:sz w:val="24"/>
                <w:szCs w:val="24"/>
                <w:lang w:val="en-US" w:eastAsia="zh-CN"/>
              </w:rPr>
              <w:t>在农村公路建筑控制区内，除农村公路保护需要外，禁止修建建筑物和地面构筑物。农村公路建筑控制区划定前已经合法修建的不得扩建，因农村公路建设、养护或者保障公路通行安全等原因需要拆除的应当依法给予补偿。在农村公路建筑控制区外修建的建筑物、地面构筑物以及其他设施不得遮挡公路安全标志、妨碍安全视距。</w:t>
            </w:r>
          </w:p>
          <w:p w14:paraId="0A866FA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第五十四条</w:t>
            </w:r>
            <w:r>
              <w:rPr>
                <w:rFonts w:hint="default" w:ascii="Times New Roman" w:hAnsi="Times New Roman" w:cs="Times New Roman" w:eastAsiaTheme="minorEastAsia"/>
                <w:sz w:val="24"/>
                <w:szCs w:val="24"/>
                <w:lang w:val="en-US" w:eastAsia="zh-CN"/>
              </w:rPr>
              <w:t>违反本条例第二十七条规定，在村道建筑控制区内修建、扩建建筑物、地面构筑物，或者在村道建筑控制区外修建的建筑物、地面构筑物以及其他设施遮挡公路安全标志、妨碍安全视距影响交通安全的，由县（市、区）人民政府交通运输主管部门公路管理机构责令限期拆除，可以处二百元以上二千元以下的罚款；情节严重的，处二千元以上五千元以下的罚款。</w:t>
            </w:r>
          </w:p>
        </w:tc>
        <w:tc>
          <w:tcPr>
            <w:tcW w:w="1281" w:type="dxa"/>
            <w:vAlign w:val="center"/>
          </w:tcPr>
          <w:p w14:paraId="0A0F416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744DDAC">
            <w:pPr>
              <w:bidi w:val="0"/>
              <w:jc w:val="center"/>
              <w:rPr>
                <w:rFonts w:hint="default" w:ascii="Times New Roman" w:hAnsi="Times New Roman" w:cs="Times New Roman" w:eastAsiaTheme="minorEastAsia"/>
                <w:snapToGrid w:val="0"/>
                <w:color w:val="000000"/>
                <w:kern w:val="0"/>
                <w:sz w:val="24"/>
                <w:szCs w:val="24"/>
                <w:lang w:val="en-US" w:eastAsia="zh-CN" w:bidi="ar"/>
              </w:rPr>
            </w:pPr>
            <w:r>
              <w:rPr>
                <w:rFonts w:hint="default" w:ascii="Times New Roman" w:hAnsi="Times New Roman" w:cs="Times New Roman" w:eastAsiaTheme="minorEastAsia"/>
                <w:snapToGrid w:val="0"/>
                <w:color w:val="000000"/>
                <w:kern w:val="0"/>
                <w:sz w:val="24"/>
                <w:szCs w:val="24"/>
                <w:lang w:val="en-US" w:eastAsia="zh-CN" w:bidi="ar"/>
              </w:rPr>
              <w:t>仁和区</w:t>
            </w:r>
          </w:p>
          <w:p w14:paraId="4B9E3E3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val="en-US" w:eastAsia="zh-CN" w:bidi="ar"/>
              </w:rPr>
              <w:t>交通运输局</w:t>
            </w:r>
          </w:p>
        </w:tc>
        <w:tc>
          <w:tcPr>
            <w:tcW w:w="1435" w:type="dxa"/>
            <w:vAlign w:val="center"/>
          </w:tcPr>
          <w:p w14:paraId="79A00DF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E9CE4D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1C7C933">
            <w:pPr>
              <w:pStyle w:val="6"/>
              <w:jc w:val="center"/>
              <w:rPr>
                <w:rFonts w:hint="default" w:ascii="Times New Roman" w:hAnsi="Times New Roman" w:cs="Times New Roman" w:eastAsiaTheme="minorEastAsia"/>
                <w:sz w:val="24"/>
                <w:szCs w:val="24"/>
              </w:rPr>
            </w:pPr>
          </w:p>
        </w:tc>
      </w:tr>
      <w:tr w14:paraId="6466D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660" w:type="dxa"/>
            <w:vAlign w:val="center"/>
          </w:tcPr>
          <w:p w14:paraId="0198377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61</w:t>
            </w:r>
          </w:p>
        </w:tc>
        <w:tc>
          <w:tcPr>
            <w:tcW w:w="3014" w:type="dxa"/>
            <w:vAlign w:val="center"/>
          </w:tcPr>
          <w:p w14:paraId="440E3B69">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对在崩塌、滑坡危险区或者泥石流易发区从事取土、挖砂、采石等可能造成水土流失的活动的行政处罚</w:t>
            </w:r>
          </w:p>
        </w:tc>
        <w:tc>
          <w:tcPr>
            <w:tcW w:w="812" w:type="dxa"/>
            <w:vAlign w:val="center"/>
          </w:tcPr>
          <w:p w14:paraId="494C033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456F9E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B93AD0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《中华人民共和国水土保持法》第四十八条</w:t>
            </w:r>
            <w:r>
              <w:rPr>
                <w:rFonts w:hint="default" w:ascii="Times New Roman" w:hAnsi="Times New Roman" w:cs="Times New Roman" w:eastAsiaTheme="minorEastAsia"/>
                <w:sz w:val="24"/>
                <w:szCs w:val="24"/>
                <w:lang w:val="en-US" w:eastAsia="zh-CN"/>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1281" w:type="dxa"/>
            <w:vAlign w:val="center"/>
          </w:tcPr>
          <w:p w14:paraId="7E6C858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DD7FE0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BCC4C7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03E70EF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AADD38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A7C8A7E">
            <w:pPr>
              <w:pStyle w:val="6"/>
              <w:jc w:val="center"/>
              <w:rPr>
                <w:rFonts w:hint="default" w:ascii="Times New Roman" w:hAnsi="Times New Roman" w:cs="Times New Roman" w:eastAsiaTheme="minorEastAsia"/>
                <w:sz w:val="24"/>
                <w:szCs w:val="24"/>
              </w:rPr>
            </w:pPr>
          </w:p>
        </w:tc>
      </w:tr>
      <w:tr w14:paraId="19225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B29C9B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62</w:t>
            </w:r>
          </w:p>
        </w:tc>
        <w:tc>
          <w:tcPr>
            <w:tcW w:w="3014" w:type="dxa"/>
            <w:vAlign w:val="center"/>
          </w:tcPr>
          <w:p w14:paraId="063227E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对在禁止开垦坡度以</w:t>
            </w:r>
          </w:p>
          <w:p w14:paraId="60806BA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上陡坡地开垦种植农作物或者在禁止开垦、开发的植物保护带内开垦、开发的行政处罚</w:t>
            </w:r>
          </w:p>
        </w:tc>
        <w:tc>
          <w:tcPr>
            <w:tcW w:w="812" w:type="dxa"/>
            <w:vAlign w:val="center"/>
          </w:tcPr>
          <w:p w14:paraId="010DA15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6EB619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13C568D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《中华人民共和国水土保持法》第四十九条</w:t>
            </w:r>
            <w:r>
              <w:rPr>
                <w:rFonts w:hint="default" w:ascii="Times New Roman" w:hAnsi="Times New Roman" w:cs="Times New Roman" w:eastAsiaTheme="minorEastAsia"/>
                <w:sz w:val="24"/>
                <w:szCs w:val="24"/>
                <w:lang w:val="en-US" w:eastAsia="zh-CN"/>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281" w:type="dxa"/>
            <w:vAlign w:val="center"/>
          </w:tcPr>
          <w:p w14:paraId="2588508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B85962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9A18D9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18776FF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75E9EE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6A68568">
            <w:pPr>
              <w:pStyle w:val="6"/>
              <w:jc w:val="center"/>
              <w:rPr>
                <w:rFonts w:hint="default" w:ascii="Times New Roman" w:hAnsi="Times New Roman" w:cs="Times New Roman" w:eastAsiaTheme="minorEastAsia"/>
                <w:sz w:val="24"/>
                <w:szCs w:val="24"/>
              </w:rPr>
            </w:pPr>
          </w:p>
        </w:tc>
      </w:tr>
      <w:tr w14:paraId="3617C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6F89BC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63</w:t>
            </w:r>
          </w:p>
        </w:tc>
        <w:tc>
          <w:tcPr>
            <w:tcW w:w="3014" w:type="dxa"/>
            <w:vAlign w:val="center"/>
          </w:tcPr>
          <w:p w14:paraId="41D820F4">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对采集发菜，或者在水土流失重点预防区和重点治理区铲草皮、挖树兜、滥挖虫草、甘草、麻黄等的行政处罚</w:t>
            </w:r>
          </w:p>
        </w:tc>
        <w:tc>
          <w:tcPr>
            <w:tcW w:w="812" w:type="dxa"/>
            <w:vAlign w:val="center"/>
          </w:tcPr>
          <w:p w14:paraId="14EAD08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C875CE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D47B84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《中华人民共和国水土保持法》第五十一条</w:t>
            </w:r>
            <w:r>
              <w:rPr>
                <w:rFonts w:hint="default" w:ascii="Times New Roman" w:hAnsi="Times New Roman" w:cs="Times New Roman" w:eastAsiaTheme="minorEastAsia"/>
                <w:sz w:val="24"/>
                <w:szCs w:val="24"/>
                <w:lang w:val="en-US" w:eastAsia="zh-CN"/>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在草原地区有前款规定违法行为的，依照《中华人民共和国草原法》的有关规定处罚。</w:t>
            </w:r>
          </w:p>
        </w:tc>
        <w:tc>
          <w:tcPr>
            <w:tcW w:w="1281" w:type="dxa"/>
            <w:vAlign w:val="center"/>
          </w:tcPr>
          <w:p w14:paraId="6C32263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B9DCB8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6E08EB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3AB8B6E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8ABD30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9338EB2">
            <w:pPr>
              <w:pStyle w:val="6"/>
              <w:jc w:val="center"/>
              <w:rPr>
                <w:rFonts w:hint="default" w:ascii="Times New Roman" w:hAnsi="Times New Roman" w:cs="Times New Roman" w:eastAsiaTheme="minorEastAsia"/>
                <w:sz w:val="24"/>
                <w:szCs w:val="24"/>
              </w:rPr>
            </w:pPr>
          </w:p>
        </w:tc>
      </w:tr>
      <w:tr w14:paraId="6E1E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660" w:type="dxa"/>
            <w:vAlign w:val="center"/>
          </w:tcPr>
          <w:p w14:paraId="4A296BC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64</w:t>
            </w:r>
          </w:p>
        </w:tc>
        <w:tc>
          <w:tcPr>
            <w:tcW w:w="3014" w:type="dxa"/>
            <w:vAlign w:val="center"/>
          </w:tcPr>
          <w:p w14:paraId="07A4007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对破坏、侵占、毁损防洪排涝设施的行政处罚</w:t>
            </w:r>
          </w:p>
        </w:tc>
        <w:tc>
          <w:tcPr>
            <w:tcW w:w="812" w:type="dxa"/>
            <w:vAlign w:val="center"/>
          </w:tcPr>
          <w:p w14:paraId="432096D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563B83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BE24AE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《四川省〈中华人民共和国防洪法〉实施办法》第十条</w:t>
            </w:r>
            <w:r>
              <w:rPr>
                <w:rFonts w:hint="default" w:ascii="Times New Roman" w:hAnsi="Times New Roman" w:cs="Times New Roman" w:eastAsiaTheme="minorEastAsia"/>
                <w:sz w:val="24"/>
                <w:szCs w:val="24"/>
                <w:lang w:val="en-US" w:eastAsia="zh-CN"/>
              </w:rPr>
              <w:t>任何单位和个人不得破坏、侵占、毁损防洪排涝设施，不得向行洪道倾倒固体废弃物。</w:t>
            </w:r>
          </w:p>
          <w:p w14:paraId="6E77A5C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第二十九条</w:t>
            </w:r>
            <w:r>
              <w:rPr>
                <w:rFonts w:hint="default" w:ascii="Times New Roman" w:hAnsi="Times New Roman" w:cs="Times New Roman" w:eastAsiaTheme="minorEastAsia"/>
                <w:sz w:val="24"/>
                <w:szCs w:val="24"/>
                <w:lang w:val="en-US" w:eastAsia="zh-CN"/>
              </w:rPr>
              <w:t>违反本实施办法第十条规定的，由县级以上地方人民政府水行政主管部门责令停止违法行为，恢复原状，赔偿损失，可并处1万元以上5万元以下罚款。</w:t>
            </w:r>
          </w:p>
        </w:tc>
        <w:tc>
          <w:tcPr>
            <w:tcW w:w="1281" w:type="dxa"/>
            <w:vAlign w:val="center"/>
          </w:tcPr>
          <w:p w14:paraId="110CDFB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1C5ED5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9D7D65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13915A9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AF3DC9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90EBD7F">
            <w:pPr>
              <w:pStyle w:val="6"/>
              <w:jc w:val="center"/>
              <w:rPr>
                <w:rFonts w:hint="default" w:ascii="Times New Roman" w:hAnsi="Times New Roman" w:cs="Times New Roman" w:eastAsiaTheme="minorEastAsia"/>
                <w:sz w:val="24"/>
                <w:szCs w:val="24"/>
              </w:rPr>
            </w:pPr>
          </w:p>
        </w:tc>
      </w:tr>
      <w:tr w14:paraId="68AC3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8" w:hRule="atLeast"/>
        </w:trPr>
        <w:tc>
          <w:tcPr>
            <w:tcW w:w="660" w:type="dxa"/>
            <w:vAlign w:val="center"/>
          </w:tcPr>
          <w:p w14:paraId="06A5C76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65</w:t>
            </w:r>
          </w:p>
        </w:tc>
        <w:tc>
          <w:tcPr>
            <w:tcW w:w="3014" w:type="dxa"/>
            <w:vAlign w:val="center"/>
          </w:tcPr>
          <w:p w14:paraId="25D3757A">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对在供生活饮用水的重要水域，从事集约化养殖等危害饮用水水源水质的活动的行政处罚</w:t>
            </w:r>
          </w:p>
        </w:tc>
        <w:tc>
          <w:tcPr>
            <w:tcW w:w="812" w:type="dxa"/>
            <w:vAlign w:val="center"/>
          </w:tcPr>
          <w:p w14:paraId="6989818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C8803B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0D14F3A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《四川省〈中华人民共和国水法〉实施办法》第十五条第二款</w:t>
            </w:r>
            <w:r>
              <w:rPr>
                <w:rFonts w:hint="default" w:ascii="Times New Roman" w:hAnsi="Times New Roman" w:cs="Times New Roman" w:eastAsiaTheme="minorEastAsia"/>
                <w:sz w:val="24"/>
                <w:szCs w:val="24"/>
                <w:lang w:val="en-US" w:eastAsia="zh-CN"/>
              </w:rPr>
              <w:t>供生活饮用水的重要水域，不得从事集约化养殖等危害饮用水水源水质的活动。</w:t>
            </w:r>
          </w:p>
          <w:p w14:paraId="0C57F723">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第三十九条</w:t>
            </w:r>
            <w:r>
              <w:rPr>
                <w:rFonts w:hint="default" w:ascii="Times New Roman" w:hAnsi="Times New Roman" w:cs="Times New Roman" w:eastAsiaTheme="minorEastAsia"/>
                <w:sz w:val="24"/>
                <w:szCs w:val="24"/>
                <w:lang w:val="en-US" w:eastAsia="zh-CN"/>
              </w:rPr>
              <w:t>违反本办法第十五条第二款规定的，责令限期拆除、恢复原状；逾期不拆除、不恢复原状的，代为拆除、恢复原状，费用由违法单位或者个人承担，并处1万元以上5万元以下的罚款。</w:t>
            </w:r>
          </w:p>
        </w:tc>
        <w:tc>
          <w:tcPr>
            <w:tcW w:w="1281" w:type="dxa"/>
            <w:vAlign w:val="center"/>
          </w:tcPr>
          <w:p w14:paraId="3194026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913425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BD722C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642888E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1A90EC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2A81C9D">
            <w:pPr>
              <w:pStyle w:val="6"/>
              <w:jc w:val="center"/>
              <w:rPr>
                <w:rFonts w:hint="default" w:ascii="Times New Roman" w:hAnsi="Times New Roman" w:cs="Times New Roman" w:eastAsiaTheme="minorEastAsia"/>
                <w:sz w:val="24"/>
                <w:szCs w:val="24"/>
              </w:rPr>
            </w:pPr>
          </w:p>
        </w:tc>
      </w:tr>
      <w:tr w14:paraId="61A0F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4F5383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66</w:t>
            </w:r>
          </w:p>
        </w:tc>
        <w:tc>
          <w:tcPr>
            <w:tcW w:w="3014" w:type="dxa"/>
            <w:vAlign w:val="center"/>
          </w:tcPr>
          <w:p w14:paraId="16282444">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对未经许可在水利工程管理范围内建设项目的行政处罚</w:t>
            </w:r>
          </w:p>
        </w:tc>
        <w:tc>
          <w:tcPr>
            <w:tcW w:w="812" w:type="dxa"/>
            <w:vAlign w:val="center"/>
          </w:tcPr>
          <w:p w14:paraId="07E1031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9501AE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0EA492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《四川省水利工程管理条例》第二十三条</w:t>
            </w:r>
            <w:r>
              <w:rPr>
                <w:rFonts w:hint="default" w:ascii="Times New Roman" w:hAnsi="Times New Roman" w:cs="Times New Roman" w:eastAsiaTheme="minorEastAsia"/>
                <w:sz w:val="24"/>
                <w:szCs w:val="24"/>
                <w:lang w:val="en-US" w:eastAsia="zh-CN"/>
              </w:rPr>
              <w:t>在水利工程管理范围内新建、改建、扩建各类建设项目，建设单位或者个人应当事先征得水利工程管理单位或者项目法人同意，并报有管辖权的水行政主管部门审批。工程竣工后，水行政主管部门应当参加验收，未经验收或者验收不合格的不得投入使用。在水利工程管理范围内新建、改建、扩建各类建设项目，应当符合国家规定的防洪标准和其他有关技术要求，确保安全生产和消除有毒有害因素，不得影响水利工程安全，不得破坏水生态环境，保持行洪畅通。</w:t>
            </w:r>
          </w:p>
          <w:p w14:paraId="0D64DB6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第四十九条</w:t>
            </w:r>
            <w:r>
              <w:rPr>
                <w:rFonts w:hint="default" w:ascii="Times New Roman" w:hAnsi="Times New Roman" w:cs="Times New Roman" w:eastAsiaTheme="minorEastAsia"/>
                <w:sz w:val="24"/>
                <w:szCs w:val="24"/>
                <w:lang w:val="en-US" w:eastAsia="zh-CN"/>
              </w:rPr>
              <w:t>违反本条例第二十三条、第二十四条规定的，由水行政主管部门责令停止施工，处一万元以上十万元以下的罚款，造成损失的依法赔偿。</w:t>
            </w:r>
          </w:p>
        </w:tc>
        <w:tc>
          <w:tcPr>
            <w:tcW w:w="1281" w:type="dxa"/>
            <w:vAlign w:val="center"/>
          </w:tcPr>
          <w:p w14:paraId="77BDCD8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CE4A33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3A1C6E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68731BB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CD2668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F40E1E1">
            <w:pPr>
              <w:pStyle w:val="6"/>
              <w:jc w:val="center"/>
              <w:rPr>
                <w:rFonts w:hint="default" w:ascii="Times New Roman" w:hAnsi="Times New Roman" w:cs="Times New Roman" w:eastAsiaTheme="minorEastAsia"/>
                <w:sz w:val="24"/>
                <w:szCs w:val="24"/>
              </w:rPr>
            </w:pPr>
          </w:p>
        </w:tc>
      </w:tr>
      <w:tr w14:paraId="266FD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C03EBA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67</w:t>
            </w:r>
          </w:p>
        </w:tc>
        <w:tc>
          <w:tcPr>
            <w:tcW w:w="3014" w:type="dxa"/>
            <w:vAlign w:val="center"/>
          </w:tcPr>
          <w:p w14:paraId="72F29404">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对在水利工程管理和保护范围内从事相关违法行为的行政处罚</w:t>
            </w:r>
          </w:p>
        </w:tc>
        <w:tc>
          <w:tcPr>
            <w:tcW w:w="812" w:type="dxa"/>
            <w:vAlign w:val="center"/>
          </w:tcPr>
          <w:p w14:paraId="51F5D4A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8C3E83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E0E203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《四川省〈中华人民共和国水法〉实施办法》第二十条第二款</w:t>
            </w:r>
            <w:r>
              <w:rPr>
                <w:rFonts w:hint="default" w:ascii="Times New Roman" w:hAnsi="Times New Roman" w:cs="Times New Roman" w:eastAsiaTheme="minorEastAsia"/>
                <w:sz w:val="24"/>
                <w:szCs w:val="24"/>
                <w:lang w:val="en-US" w:eastAsia="zh-CN"/>
              </w:rPr>
              <w:t>在水工程管理范围内（包括水利工程用地、护渠地、护堤地），禁止从事下列活动：（一）损害水工程建筑物及其附属设施；（二）擅自砍伐水工程防护林木；（三）在堤坝上垦植、铲草、放牧；（四）未经批准修建建筑物；（五）进行爆破、采矿、打井、筑坟、采石（砂）、取土；（六）向水库、渠道水域、滩地倾倒固体废弃物和液体污染物；（七）其他危害水工程安全的活动。第三款在水工程保护范围内，禁止从事影响水工程运行、危害水工程安全和防洪设施以及污染水源的爆破、打井、取土、采石（砂）、陡坡开垦、伐木、开矿、建筑等活动。</w:t>
            </w:r>
          </w:p>
          <w:p w14:paraId="1787AC3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第四十三条</w:t>
            </w:r>
            <w:r>
              <w:rPr>
                <w:rFonts w:hint="default" w:ascii="Times New Roman" w:hAnsi="Times New Roman" w:cs="Times New Roman" w:eastAsiaTheme="minorEastAsia"/>
                <w:sz w:val="24"/>
                <w:szCs w:val="24"/>
                <w:lang w:val="en-US" w:eastAsia="zh-CN"/>
              </w:rPr>
              <w:t>违反本办法第二十条第二款、第三款规定的，责令停止违法行为，采取补救措施，处1万元以上5万元以下的罚款。</w:t>
            </w:r>
          </w:p>
        </w:tc>
        <w:tc>
          <w:tcPr>
            <w:tcW w:w="1281" w:type="dxa"/>
            <w:vAlign w:val="center"/>
          </w:tcPr>
          <w:p w14:paraId="674B67C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3A3CC7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48E2B8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404DD5C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8126E3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C8872CD">
            <w:pPr>
              <w:pStyle w:val="6"/>
              <w:jc w:val="center"/>
              <w:rPr>
                <w:rFonts w:hint="default" w:ascii="Times New Roman" w:hAnsi="Times New Roman" w:cs="Times New Roman" w:eastAsiaTheme="minorEastAsia"/>
                <w:sz w:val="24"/>
                <w:szCs w:val="24"/>
              </w:rPr>
            </w:pPr>
          </w:p>
        </w:tc>
      </w:tr>
      <w:tr w14:paraId="0018F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469289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68</w:t>
            </w:r>
          </w:p>
        </w:tc>
        <w:tc>
          <w:tcPr>
            <w:tcW w:w="3014" w:type="dxa"/>
            <w:vAlign w:val="center"/>
          </w:tcPr>
          <w:p w14:paraId="41F9C56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对供水水质未达到国家生活饮用水卫生标准的行政处罚</w:t>
            </w:r>
          </w:p>
        </w:tc>
        <w:tc>
          <w:tcPr>
            <w:tcW w:w="812" w:type="dxa"/>
            <w:vAlign w:val="center"/>
          </w:tcPr>
          <w:p w14:paraId="419080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33AB2C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C3A858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《四川省村镇供水条例》第十九条</w:t>
            </w:r>
            <w:r>
              <w:rPr>
                <w:rFonts w:hint="default" w:ascii="Times New Roman" w:hAnsi="Times New Roman" w:cs="Times New Roman" w:eastAsiaTheme="minorEastAsia"/>
                <w:sz w:val="24"/>
                <w:szCs w:val="24"/>
                <w:lang w:val="en-US" w:eastAsia="zh-CN"/>
              </w:rPr>
              <w:t>村镇供水水质应当符合国家生活饮用水卫生标准。供水单位应当对原水、出厂水、管网末梢水等定期进行水质检测，建立健全饮用水卫生管理档案。设计日供水量一千立方米以上的村镇集中供水工程，应当设立水质检验室，配备与供水规模和水质检验要求相适应的检验人员和仪器设备。</w:t>
            </w:r>
          </w:p>
          <w:p w14:paraId="1958D35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第四十九条</w:t>
            </w:r>
            <w:r>
              <w:rPr>
                <w:rFonts w:hint="default" w:ascii="Times New Roman" w:hAnsi="Times New Roman" w:cs="Times New Roman" w:eastAsiaTheme="minorEastAsia"/>
                <w:sz w:val="24"/>
                <w:szCs w:val="24"/>
                <w:lang w:val="en-US" w:eastAsia="zh-CN"/>
              </w:rPr>
              <w:t>违反本条例第十九条规定，对原水、出厂水、管网末梢水未定期进行水质检测的，由县级以上地方人民政府水行政主管部门责令限期整改；供水水质未达到国家生活饮用水卫生标准的，由县级以上地方人民政府水行政主管部门责令限期整改，逾期不改或整改不合格的，对供水单位处以五千元以上二万元以下罚款。</w:t>
            </w:r>
          </w:p>
        </w:tc>
        <w:tc>
          <w:tcPr>
            <w:tcW w:w="1281" w:type="dxa"/>
            <w:vAlign w:val="center"/>
          </w:tcPr>
          <w:p w14:paraId="42D7AF1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ECBC32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9224D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4DB22CF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6EB8EA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BDC946F">
            <w:pPr>
              <w:pStyle w:val="6"/>
              <w:jc w:val="center"/>
              <w:rPr>
                <w:rFonts w:hint="default" w:ascii="Times New Roman" w:hAnsi="Times New Roman" w:cs="Times New Roman" w:eastAsiaTheme="minorEastAsia"/>
                <w:sz w:val="24"/>
                <w:szCs w:val="24"/>
              </w:rPr>
            </w:pPr>
          </w:p>
        </w:tc>
      </w:tr>
      <w:tr w14:paraId="130C5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1271C8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69</w:t>
            </w:r>
          </w:p>
        </w:tc>
        <w:tc>
          <w:tcPr>
            <w:tcW w:w="3014" w:type="dxa"/>
            <w:vAlign w:val="center"/>
          </w:tcPr>
          <w:p w14:paraId="0C31CBB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对在村镇供水工程保护控制范围内从事禁止性活动的行政处罚</w:t>
            </w:r>
          </w:p>
        </w:tc>
        <w:tc>
          <w:tcPr>
            <w:tcW w:w="812" w:type="dxa"/>
            <w:vAlign w:val="center"/>
          </w:tcPr>
          <w:p w14:paraId="28A658C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0A52A3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570ECF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《四川省村镇供水条例》第二十六条第二款</w:t>
            </w:r>
            <w:r>
              <w:rPr>
                <w:rFonts w:hint="default" w:ascii="Times New Roman" w:hAnsi="Times New Roman" w:cs="Times New Roman" w:eastAsiaTheme="minorEastAsia"/>
                <w:sz w:val="24"/>
                <w:szCs w:val="24"/>
                <w:lang w:val="en-US" w:eastAsia="zh-CN"/>
              </w:rPr>
              <w:t>供水工程保护控制范围内，不得修建筑物、构筑物，不得挖坑（沟）、取土、堆渣，严禁爆破、打桩、顶进作业等危害供水工程及设施安全的活动。</w:t>
            </w:r>
          </w:p>
          <w:p w14:paraId="1FF7F60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第三款</w:t>
            </w:r>
            <w:r>
              <w:rPr>
                <w:rFonts w:hint="default" w:ascii="Times New Roman" w:hAnsi="Times New Roman" w:cs="Times New Roman" w:eastAsiaTheme="minorEastAsia"/>
                <w:sz w:val="24"/>
                <w:szCs w:val="24"/>
                <w:lang w:val="en-US" w:eastAsia="zh-CN"/>
              </w:rPr>
              <w:t>净水构筑物、调节构筑物、泵站（加压站）保护范围内，不得设立生活区和修建畜禽饲养场、厕所、渗水坑、污水沟道，不得堆放垃圾、粪便等污染物，严禁排放有毒有害物质。</w:t>
            </w:r>
          </w:p>
          <w:p w14:paraId="535DF25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第五十条</w:t>
            </w:r>
            <w:r>
              <w:rPr>
                <w:rFonts w:hint="default" w:ascii="Times New Roman" w:hAnsi="Times New Roman" w:cs="Times New Roman" w:eastAsiaTheme="minorEastAsia"/>
                <w:sz w:val="24"/>
                <w:szCs w:val="24"/>
                <w:lang w:val="en-US" w:eastAsia="zh-CN"/>
              </w:rPr>
              <w:t>违反本条例第二十六条第二款、第三款规定，在村镇供水工程保护控制范围内从事禁止性活动的，由县级以上地方人民政府水行政主管部门责令改正；拒不改正的，处以二千元以上二万元以下罚款。造成损失的，依法承担赔偿责任。</w:t>
            </w:r>
          </w:p>
        </w:tc>
        <w:tc>
          <w:tcPr>
            <w:tcW w:w="1281" w:type="dxa"/>
            <w:vAlign w:val="center"/>
          </w:tcPr>
          <w:p w14:paraId="727BD5C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CBD71E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6F5F572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1B18A6A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8DBC34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8598B6B">
            <w:pPr>
              <w:pStyle w:val="6"/>
              <w:jc w:val="center"/>
              <w:rPr>
                <w:rFonts w:hint="default" w:ascii="Times New Roman" w:hAnsi="Times New Roman" w:cs="Times New Roman" w:eastAsiaTheme="minorEastAsia"/>
                <w:sz w:val="24"/>
                <w:szCs w:val="24"/>
              </w:rPr>
            </w:pPr>
          </w:p>
        </w:tc>
      </w:tr>
      <w:tr w14:paraId="7732A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490D5B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70</w:t>
            </w:r>
          </w:p>
        </w:tc>
        <w:tc>
          <w:tcPr>
            <w:tcW w:w="3014" w:type="dxa"/>
            <w:vAlign w:val="center"/>
          </w:tcPr>
          <w:p w14:paraId="2C793B4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对擅自改装、迁移、拆除公共供水设施，拆卸、启封、损坏结算水表或者干扰水表正常计量的行政处罚</w:t>
            </w:r>
          </w:p>
        </w:tc>
        <w:tc>
          <w:tcPr>
            <w:tcW w:w="812" w:type="dxa"/>
            <w:vAlign w:val="center"/>
          </w:tcPr>
          <w:p w14:paraId="3733227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D1E243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F26716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《四川省村镇供水条例》第二十八条</w:t>
            </w:r>
            <w:r>
              <w:rPr>
                <w:rFonts w:hint="default" w:ascii="Times New Roman" w:hAnsi="Times New Roman" w:cs="Times New Roman" w:eastAsiaTheme="minorEastAsia"/>
                <w:sz w:val="24"/>
                <w:szCs w:val="24"/>
                <w:lang w:val="en-US" w:eastAsia="zh-CN"/>
              </w:rPr>
              <w:t>任何单位和个人不得擅自改装、迁移或者拆除公共供水设施；不得拆卸、启封、损坏结算水表或者干扰水表正常计量。建设工程确需改装、迁移或者拆除公共供水设施的，建设单位应当征得县级以上地方人民政府水行政主管部门同意，并会同供水单位和施工单位采取相应的补救措施，所需费用由建设单位承担。</w:t>
            </w:r>
          </w:p>
          <w:p w14:paraId="0F5EFE13">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第五十一条</w:t>
            </w:r>
            <w:r>
              <w:rPr>
                <w:rFonts w:hint="default" w:ascii="Times New Roman" w:hAnsi="Times New Roman" w:cs="Times New Roman" w:eastAsiaTheme="minorEastAsia"/>
                <w:sz w:val="24"/>
                <w:szCs w:val="24"/>
                <w:lang w:val="en-US" w:eastAsia="zh-CN"/>
              </w:rPr>
              <w:t>违反本条例第二十八条规定，擅自改装、迁移、拆除公共供水设施，拆卸、启封、损坏结算水表或者干扰水表正常计量的，由县级以上地方人民政府水行政主管部门责令改正，恢复原状，并处以二千元以上一万元以下罚款；情节严重的，处以一万元以上五万元以下罚款。造成损失的，依法承担赔偿责任。</w:t>
            </w:r>
          </w:p>
        </w:tc>
        <w:tc>
          <w:tcPr>
            <w:tcW w:w="1281" w:type="dxa"/>
            <w:vAlign w:val="center"/>
          </w:tcPr>
          <w:p w14:paraId="44172E1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7D43EB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FF7228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2F82591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CA4A1C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ECD5215">
            <w:pPr>
              <w:pStyle w:val="6"/>
              <w:jc w:val="center"/>
              <w:rPr>
                <w:rFonts w:hint="default" w:ascii="Times New Roman" w:hAnsi="Times New Roman" w:cs="Times New Roman" w:eastAsiaTheme="minorEastAsia"/>
                <w:sz w:val="24"/>
                <w:szCs w:val="24"/>
              </w:rPr>
            </w:pPr>
          </w:p>
        </w:tc>
      </w:tr>
      <w:tr w14:paraId="0C143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trPr>
        <w:tc>
          <w:tcPr>
            <w:tcW w:w="660" w:type="dxa"/>
            <w:vAlign w:val="center"/>
          </w:tcPr>
          <w:p w14:paraId="13C61DA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71</w:t>
            </w:r>
          </w:p>
        </w:tc>
        <w:tc>
          <w:tcPr>
            <w:tcW w:w="3014" w:type="dxa"/>
            <w:vAlign w:val="center"/>
          </w:tcPr>
          <w:p w14:paraId="1DF6F93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对擅自在村镇公共供水管道上连接取水设施的行政处罚</w:t>
            </w:r>
          </w:p>
        </w:tc>
        <w:tc>
          <w:tcPr>
            <w:tcW w:w="812" w:type="dxa"/>
            <w:vAlign w:val="center"/>
          </w:tcPr>
          <w:p w14:paraId="344A9A0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DF18EF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3D66D0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《四川省村镇供水条例》第二十九条</w:t>
            </w:r>
            <w:r>
              <w:rPr>
                <w:rFonts w:hint="default" w:ascii="Times New Roman" w:hAnsi="Times New Roman" w:cs="Times New Roman" w:eastAsiaTheme="minorEastAsia"/>
                <w:sz w:val="24"/>
                <w:szCs w:val="24"/>
                <w:lang w:val="en-US" w:eastAsia="zh-CN"/>
              </w:rPr>
              <w:t>未经供水单位同意，任何单位和个人不得在村镇公共供水管道上连接取水设施。禁止生产或者使用有毒有害物质的单位和个人将生产设施与村镇公共供水管道连接。</w:t>
            </w:r>
          </w:p>
          <w:p w14:paraId="56BD769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第五十二条</w:t>
            </w:r>
            <w:r>
              <w:rPr>
                <w:rFonts w:hint="default" w:ascii="Times New Roman" w:hAnsi="Times New Roman" w:cs="Times New Roman" w:eastAsiaTheme="minorEastAsia"/>
                <w:sz w:val="24"/>
                <w:szCs w:val="24"/>
                <w:lang w:val="en-US" w:eastAsia="zh-CN"/>
              </w:rPr>
              <w:t>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p>
        </w:tc>
        <w:tc>
          <w:tcPr>
            <w:tcW w:w="1281" w:type="dxa"/>
            <w:vAlign w:val="center"/>
          </w:tcPr>
          <w:p w14:paraId="6442C44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962AB3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D3807C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5A71E5E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F4C2D3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29C1FD1">
            <w:pPr>
              <w:pStyle w:val="6"/>
              <w:jc w:val="center"/>
              <w:rPr>
                <w:rFonts w:hint="default" w:ascii="Times New Roman" w:hAnsi="Times New Roman" w:cs="Times New Roman" w:eastAsiaTheme="minorEastAsia"/>
                <w:sz w:val="24"/>
                <w:szCs w:val="24"/>
              </w:rPr>
            </w:pPr>
          </w:p>
        </w:tc>
      </w:tr>
      <w:tr w14:paraId="50B87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8CE070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72</w:t>
            </w:r>
          </w:p>
        </w:tc>
        <w:tc>
          <w:tcPr>
            <w:tcW w:w="3014" w:type="dxa"/>
            <w:vAlign w:val="center"/>
          </w:tcPr>
          <w:p w14:paraId="488CB13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对擅自将生产、使用有毒有害物质的设施与村镇公共供水管道连接的行政处罚</w:t>
            </w:r>
          </w:p>
        </w:tc>
        <w:tc>
          <w:tcPr>
            <w:tcW w:w="812" w:type="dxa"/>
            <w:vAlign w:val="center"/>
          </w:tcPr>
          <w:p w14:paraId="72B964D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50B2C4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033420A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《四川省村镇供水条例》第二十九条</w:t>
            </w:r>
            <w:r>
              <w:rPr>
                <w:rFonts w:hint="default" w:ascii="Times New Roman" w:hAnsi="Times New Roman" w:cs="Times New Roman" w:eastAsiaTheme="minorEastAsia"/>
                <w:sz w:val="24"/>
                <w:szCs w:val="24"/>
                <w:lang w:val="en-US" w:eastAsia="zh-CN"/>
              </w:rPr>
              <w:t>未经供水单位同意，任何单位和个人不得在村镇公共供水管道上连接取水设施。禁止生产或者使用有毒有害物质的单位和个人将生产设施与村镇公共供水管道连接。</w:t>
            </w:r>
          </w:p>
          <w:p w14:paraId="3C5A3213">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第五十二条</w:t>
            </w:r>
            <w:r>
              <w:rPr>
                <w:rFonts w:hint="default" w:ascii="Times New Roman" w:hAnsi="Times New Roman" w:cs="Times New Roman" w:eastAsiaTheme="minorEastAsia"/>
                <w:sz w:val="24"/>
                <w:szCs w:val="24"/>
                <w:lang w:val="en-US" w:eastAsia="zh-CN"/>
              </w:rPr>
              <w:t>违反本条例第二十九条规定，擅自在村镇公共供水管道上连接取水设施的，由县级以上地方人民政府水行政主管部门责令改正，恢复原状，并处以一千元以上五千元以下罚款；擅自将生产、使用有毒有害物质的设施与村镇公共供水管道连接的，由县级水行政主管部门责令纠正，排除危害，并处以二万元以上十万元以下罚款。</w:t>
            </w:r>
          </w:p>
        </w:tc>
        <w:tc>
          <w:tcPr>
            <w:tcW w:w="1281" w:type="dxa"/>
            <w:vAlign w:val="center"/>
          </w:tcPr>
          <w:p w14:paraId="7B8F639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0A2490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6609CC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70DEBD4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94BB2A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79E4560">
            <w:pPr>
              <w:pStyle w:val="6"/>
              <w:jc w:val="center"/>
              <w:rPr>
                <w:rFonts w:hint="default" w:ascii="Times New Roman" w:hAnsi="Times New Roman" w:cs="Times New Roman" w:eastAsiaTheme="minorEastAsia"/>
                <w:sz w:val="24"/>
                <w:szCs w:val="24"/>
              </w:rPr>
            </w:pPr>
          </w:p>
        </w:tc>
      </w:tr>
      <w:tr w14:paraId="166C2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A42207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73</w:t>
            </w:r>
          </w:p>
        </w:tc>
        <w:tc>
          <w:tcPr>
            <w:tcW w:w="3014" w:type="dxa"/>
            <w:vAlign w:val="center"/>
          </w:tcPr>
          <w:p w14:paraId="08EA22FC">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对供水单位擅自停止</w:t>
            </w:r>
          </w:p>
          <w:p w14:paraId="712ECC7C">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营运的行政处罚</w:t>
            </w:r>
          </w:p>
        </w:tc>
        <w:tc>
          <w:tcPr>
            <w:tcW w:w="812" w:type="dxa"/>
            <w:vAlign w:val="center"/>
          </w:tcPr>
          <w:p w14:paraId="2884AE3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CB746E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C811FA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《四川省村镇供水条例》第三十四条</w:t>
            </w:r>
            <w:r>
              <w:rPr>
                <w:rFonts w:hint="default" w:ascii="Times New Roman" w:hAnsi="Times New Roman" w:cs="Times New Roman" w:eastAsiaTheme="minorEastAsia"/>
                <w:sz w:val="24"/>
                <w:szCs w:val="24"/>
                <w:lang w:val="en-US" w:eastAsia="zh-CN"/>
              </w:rPr>
              <w:t>已在营运的供水单位不得擅自停止营运。供水单位需退出营运的，应当提前三个月向县级水行政主管</w:t>
            </w:r>
            <w:r>
              <w:rPr>
                <w:rFonts w:hint="eastAsia" w:ascii="Times New Roman" w:hAnsi="Times New Roman" w:cs="Times New Roman" w:eastAsiaTheme="minorEastAsia"/>
                <w:sz w:val="24"/>
                <w:szCs w:val="24"/>
                <w:lang w:val="en-US" w:eastAsia="zh-CN"/>
              </w:rPr>
              <w:t>部门</w:t>
            </w:r>
            <w:r>
              <w:rPr>
                <w:rFonts w:hint="default" w:ascii="Times New Roman" w:hAnsi="Times New Roman" w:cs="Times New Roman" w:eastAsiaTheme="minorEastAsia"/>
                <w:sz w:val="24"/>
                <w:szCs w:val="24"/>
                <w:lang w:val="en-US" w:eastAsia="zh-CN"/>
              </w:rPr>
              <w:t>提出申请。供水单位退出营运的管理办法由省人民政府另行制定。</w:t>
            </w:r>
          </w:p>
          <w:p w14:paraId="3B2A239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第五十三条</w:t>
            </w:r>
            <w:r>
              <w:rPr>
                <w:rFonts w:hint="default" w:ascii="Times New Roman" w:hAnsi="Times New Roman" w:cs="Times New Roman" w:eastAsiaTheme="minorEastAsia"/>
                <w:sz w:val="24"/>
                <w:szCs w:val="24"/>
                <w:lang w:val="en-US" w:eastAsia="zh-CN"/>
              </w:rPr>
              <w:t>供水单位违反本条例第三十四条规定，供水单位擅自停止营运的，由县级以上地方人民政府水行政主管部门责令限期恢复营运，并对供水单位处一万元以上五万元以下罚款。</w:t>
            </w:r>
          </w:p>
        </w:tc>
        <w:tc>
          <w:tcPr>
            <w:tcW w:w="1281" w:type="dxa"/>
            <w:vAlign w:val="center"/>
          </w:tcPr>
          <w:p w14:paraId="0D582F0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B97853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607B99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水利局</w:t>
            </w:r>
          </w:p>
        </w:tc>
        <w:tc>
          <w:tcPr>
            <w:tcW w:w="1435" w:type="dxa"/>
            <w:vAlign w:val="center"/>
          </w:tcPr>
          <w:p w14:paraId="00DF16B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A7C9E9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81F0481">
            <w:pPr>
              <w:pStyle w:val="6"/>
              <w:jc w:val="center"/>
              <w:rPr>
                <w:rFonts w:hint="default" w:ascii="Times New Roman" w:hAnsi="Times New Roman" w:cs="Times New Roman" w:eastAsiaTheme="minorEastAsia"/>
                <w:sz w:val="24"/>
                <w:szCs w:val="24"/>
              </w:rPr>
            </w:pPr>
          </w:p>
        </w:tc>
      </w:tr>
      <w:tr w14:paraId="0F53C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94AAF0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74</w:t>
            </w:r>
          </w:p>
        </w:tc>
        <w:tc>
          <w:tcPr>
            <w:tcW w:w="3014" w:type="dxa"/>
            <w:vAlign w:val="center"/>
          </w:tcPr>
          <w:p w14:paraId="4524935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对擅自开启公共消防</w:t>
            </w:r>
          </w:p>
          <w:p w14:paraId="4073452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栓的行政处罚</w:t>
            </w:r>
          </w:p>
        </w:tc>
        <w:tc>
          <w:tcPr>
            <w:tcW w:w="812" w:type="dxa"/>
            <w:vAlign w:val="center"/>
          </w:tcPr>
          <w:p w14:paraId="31EDCC3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A87D85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1E00BD5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《四川省村镇供水条例》第四十五条第二款</w:t>
            </w:r>
            <w:r>
              <w:rPr>
                <w:rFonts w:hint="default" w:ascii="Times New Roman" w:hAnsi="Times New Roman" w:cs="Times New Roman" w:eastAsiaTheme="minorEastAsia"/>
                <w:sz w:val="24"/>
                <w:szCs w:val="24"/>
                <w:lang w:val="en-US" w:eastAsia="zh-CN"/>
              </w:rPr>
              <w:t>公共消火栓实行专管专用制度，除训练演练、灭火救援用水外，任何单位和个人不得擅自动用。</w:t>
            </w:r>
          </w:p>
          <w:p w14:paraId="5259D0D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第五十四条</w:t>
            </w:r>
            <w:r>
              <w:rPr>
                <w:rFonts w:hint="default" w:ascii="Times New Roman" w:hAnsi="Times New Roman" w:cs="Times New Roman" w:eastAsiaTheme="minorEastAsia"/>
                <w:sz w:val="24"/>
                <w:szCs w:val="24"/>
                <w:lang w:val="en-US" w:eastAsia="zh-CN"/>
              </w:rPr>
              <w:t>违反本条例第四十五条第二款规定，擅自开启公共消防栓的，由县级以上地方人民政府水行政主管部门对行为人处以五百元以上五千元以下罚款，并依法承担赔偿责任。</w:t>
            </w:r>
          </w:p>
        </w:tc>
        <w:tc>
          <w:tcPr>
            <w:tcW w:w="1281" w:type="dxa"/>
            <w:shd w:val="clear" w:color="auto" w:fill="auto"/>
            <w:vAlign w:val="center"/>
          </w:tcPr>
          <w:p w14:paraId="27E6626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1C04F4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E115A0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水利局</w:t>
            </w:r>
          </w:p>
        </w:tc>
        <w:tc>
          <w:tcPr>
            <w:tcW w:w="1435" w:type="dxa"/>
            <w:shd w:val="clear" w:color="auto" w:fill="auto"/>
            <w:vAlign w:val="center"/>
          </w:tcPr>
          <w:p w14:paraId="0EA2AF4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4A5A8B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B1E2595">
            <w:pPr>
              <w:pStyle w:val="6"/>
              <w:jc w:val="center"/>
              <w:rPr>
                <w:rFonts w:hint="default" w:ascii="Times New Roman" w:hAnsi="Times New Roman" w:cs="Times New Roman" w:eastAsiaTheme="minorEastAsia"/>
                <w:sz w:val="24"/>
                <w:szCs w:val="24"/>
              </w:rPr>
            </w:pPr>
          </w:p>
        </w:tc>
      </w:tr>
      <w:tr w14:paraId="4E320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881183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75</w:t>
            </w:r>
          </w:p>
        </w:tc>
        <w:tc>
          <w:tcPr>
            <w:tcW w:w="3014" w:type="dxa"/>
            <w:vAlign w:val="center"/>
          </w:tcPr>
          <w:p w14:paraId="1FEF45D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对擅自砍伐护堤护岸</w:t>
            </w:r>
          </w:p>
          <w:p w14:paraId="3F73922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林木的行政处罚</w:t>
            </w:r>
          </w:p>
        </w:tc>
        <w:tc>
          <w:tcPr>
            <w:tcW w:w="812" w:type="dxa"/>
            <w:vAlign w:val="center"/>
          </w:tcPr>
          <w:p w14:paraId="047D8C5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4171F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14611B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《中华人民共和国河道管理条例》第四十四条第七项</w:t>
            </w:r>
            <w:r>
              <w:rPr>
                <w:rFonts w:hint="default" w:ascii="Times New Roman" w:hAnsi="Times New Roman" w:cs="Times New Roman" w:eastAsiaTheme="minorEastAsia"/>
                <w:sz w:val="24"/>
                <w:szCs w:val="24"/>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tc>
        <w:tc>
          <w:tcPr>
            <w:tcW w:w="1281" w:type="dxa"/>
            <w:shd w:val="clear" w:color="auto" w:fill="auto"/>
            <w:vAlign w:val="center"/>
          </w:tcPr>
          <w:p w14:paraId="6776A52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DC0E2E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A307A7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水利局</w:t>
            </w:r>
          </w:p>
        </w:tc>
        <w:tc>
          <w:tcPr>
            <w:tcW w:w="1435" w:type="dxa"/>
            <w:shd w:val="clear" w:color="auto" w:fill="auto"/>
            <w:vAlign w:val="center"/>
          </w:tcPr>
          <w:p w14:paraId="44D02F9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6275E3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5F50CD8">
            <w:pPr>
              <w:pStyle w:val="6"/>
              <w:jc w:val="center"/>
              <w:rPr>
                <w:rFonts w:hint="default" w:ascii="Times New Roman" w:hAnsi="Times New Roman" w:cs="Times New Roman" w:eastAsiaTheme="minorEastAsia"/>
                <w:sz w:val="24"/>
                <w:szCs w:val="24"/>
              </w:rPr>
            </w:pPr>
          </w:p>
        </w:tc>
      </w:tr>
      <w:tr w14:paraId="7582B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0DD904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76</w:t>
            </w:r>
          </w:p>
        </w:tc>
        <w:tc>
          <w:tcPr>
            <w:tcW w:w="3014" w:type="dxa"/>
            <w:vAlign w:val="center"/>
          </w:tcPr>
          <w:p w14:paraId="3D1F22C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对在堤防安全保护区内进行打井、钻探、爆破、挖筑鱼塘、采石、取土、建房、开渠等危害堤防安全的活动的行政处罚</w:t>
            </w:r>
          </w:p>
        </w:tc>
        <w:tc>
          <w:tcPr>
            <w:tcW w:w="812" w:type="dxa"/>
            <w:vAlign w:val="center"/>
          </w:tcPr>
          <w:p w14:paraId="4B074EF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E975CE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087DF5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《中华人民共和国河道管理条例》第四十五条第二项</w:t>
            </w:r>
            <w:r>
              <w:rPr>
                <w:rFonts w:hint="default" w:ascii="Times New Roman" w:hAnsi="Times New Roman" w:cs="Times New Roman" w:eastAsiaTheme="minorEastAsia"/>
                <w:sz w:val="24"/>
                <w:szCs w:val="24"/>
                <w:lang w:val="en-US" w:eastAsia="zh-CN"/>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二）在堤防安全保护区内进行打井、钻探、爆破、挖筑鱼塘、采石、取土等危害堤防安全的活动的。</w:t>
            </w:r>
          </w:p>
        </w:tc>
        <w:tc>
          <w:tcPr>
            <w:tcW w:w="1281" w:type="dxa"/>
            <w:shd w:val="clear" w:color="auto" w:fill="auto"/>
            <w:vAlign w:val="center"/>
          </w:tcPr>
          <w:p w14:paraId="33FECDE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66E48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5B0D80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水利局</w:t>
            </w:r>
          </w:p>
        </w:tc>
        <w:tc>
          <w:tcPr>
            <w:tcW w:w="1435" w:type="dxa"/>
            <w:shd w:val="clear" w:color="auto" w:fill="auto"/>
            <w:vAlign w:val="center"/>
          </w:tcPr>
          <w:p w14:paraId="343F6AF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66838D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079EEDE">
            <w:pPr>
              <w:pStyle w:val="6"/>
              <w:jc w:val="center"/>
              <w:rPr>
                <w:rFonts w:hint="default" w:ascii="Times New Roman" w:hAnsi="Times New Roman" w:cs="Times New Roman" w:eastAsiaTheme="minorEastAsia"/>
                <w:sz w:val="24"/>
                <w:szCs w:val="24"/>
              </w:rPr>
            </w:pPr>
          </w:p>
        </w:tc>
      </w:tr>
      <w:tr w14:paraId="4D59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96AD89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77</w:t>
            </w:r>
          </w:p>
        </w:tc>
        <w:tc>
          <w:tcPr>
            <w:tcW w:w="3014" w:type="dxa"/>
            <w:vAlign w:val="center"/>
          </w:tcPr>
          <w:p w14:paraId="048F93C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对擅自移动、损坏水利工程的界桩、公告牌的行政处罚</w:t>
            </w:r>
          </w:p>
        </w:tc>
        <w:tc>
          <w:tcPr>
            <w:tcW w:w="812" w:type="dxa"/>
            <w:vAlign w:val="center"/>
          </w:tcPr>
          <w:p w14:paraId="3437975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7667C1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0791B87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《四川省水利工程管理条例》第二十五条</w:t>
            </w:r>
            <w:r>
              <w:rPr>
                <w:rFonts w:hint="default" w:ascii="Times New Roman" w:hAnsi="Times New Roman" w:cs="Times New Roman" w:eastAsiaTheme="minorEastAsia"/>
                <w:sz w:val="24"/>
                <w:szCs w:val="24"/>
                <w:lang w:val="en-US" w:eastAsia="zh-CN"/>
              </w:rPr>
              <w:t>县级以上地方人民政府应当对本行政区域内水利工程划定管理范围和保护范围并向社会公告。任何单位和个人不得擅自移动、损坏设置的界桩、公告牌。水利工程应当在竣工验收合格两年内完成划界，确定工程所有权和使用权。</w:t>
            </w:r>
          </w:p>
          <w:p w14:paraId="5830844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第五十条</w:t>
            </w:r>
            <w:r>
              <w:rPr>
                <w:rFonts w:hint="default" w:ascii="Times New Roman" w:hAnsi="Times New Roman" w:cs="Times New Roman" w:eastAsiaTheme="minorEastAsia"/>
                <w:sz w:val="24"/>
                <w:szCs w:val="24"/>
                <w:lang w:val="en-US" w:eastAsia="zh-CN"/>
              </w:rPr>
              <w:t>违反本条例第二十五条规定，擅自移动、损坏水利工程的界桩、公告牌的，由水行政主管部门责令改正，可处五百元以上二千元以下的罚款。</w:t>
            </w:r>
          </w:p>
        </w:tc>
        <w:tc>
          <w:tcPr>
            <w:tcW w:w="1281" w:type="dxa"/>
            <w:shd w:val="clear" w:color="auto" w:fill="auto"/>
            <w:vAlign w:val="center"/>
          </w:tcPr>
          <w:p w14:paraId="0CBE90D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09C6AC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CCEFBC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水利局</w:t>
            </w:r>
          </w:p>
        </w:tc>
        <w:tc>
          <w:tcPr>
            <w:tcW w:w="1435" w:type="dxa"/>
            <w:shd w:val="clear" w:color="auto" w:fill="auto"/>
            <w:vAlign w:val="center"/>
          </w:tcPr>
          <w:p w14:paraId="5F91CCF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7BBB0A8">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A1C32F6">
            <w:pPr>
              <w:pStyle w:val="6"/>
              <w:jc w:val="center"/>
              <w:rPr>
                <w:rFonts w:hint="default" w:ascii="Times New Roman" w:hAnsi="Times New Roman" w:cs="Times New Roman" w:eastAsiaTheme="minorEastAsia"/>
                <w:sz w:val="24"/>
                <w:szCs w:val="24"/>
              </w:rPr>
            </w:pPr>
          </w:p>
        </w:tc>
      </w:tr>
      <w:tr w14:paraId="7B7F6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B7AEF0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78</w:t>
            </w:r>
          </w:p>
        </w:tc>
        <w:tc>
          <w:tcPr>
            <w:tcW w:w="3014" w:type="dxa"/>
            <w:vAlign w:val="center"/>
          </w:tcPr>
          <w:p w14:paraId="1AFA2FF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对农业投入品生产</w:t>
            </w:r>
          </w:p>
          <w:p w14:paraId="024C8C1E">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者、销售者、使用者未按照规定及时回收肥料等农业投入品的</w:t>
            </w:r>
          </w:p>
          <w:p w14:paraId="63C53D0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包装废弃物或者农用薄膜，或者未按照规定及时回收农药包装废弃物交由专门的机构或者组织进行无害化处理的行政处罚</w:t>
            </w:r>
          </w:p>
        </w:tc>
        <w:tc>
          <w:tcPr>
            <w:tcW w:w="812" w:type="dxa"/>
            <w:vAlign w:val="center"/>
          </w:tcPr>
          <w:p w14:paraId="3355BF7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80E8E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4D6C989">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《中华人民共和国土壤污染防治法》第八十八条</w:t>
            </w:r>
            <w:r>
              <w:rPr>
                <w:rFonts w:hint="default" w:ascii="Times New Roman" w:hAnsi="Times New Roman" w:cs="Times New Roman" w:eastAsiaTheme="minorEastAsia"/>
                <w:sz w:val="24"/>
                <w:szCs w:val="24"/>
                <w:lang w:val="en-US" w:eastAsia="zh-CN"/>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14:paraId="0FD3634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《农药包装废弃物回收处理管理办法》第十九条</w:t>
            </w:r>
            <w:r>
              <w:rPr>
                <w:rFonts w:hint="default" w:ascii="Times New Roman" w:hAnsi="Times New Roman" w:cs="Times New Roman" w:eastAsiaTheme="minorEastAsia"/>
                <w:sz w:val="24"/>
                <w:szCs w:val="24"/>
                <w:lang w:val="en-US" w:eastAsia="zh-CN"/>
              </w:rPr>
              <w:t>农药生产者、经营者、使用者未按规定履行农药包装废弃物回收处理义务的，由地方人民政府农业农村主管部门按照《中华人民共和国土壤污染防治法》第八十八条规定予以处罚。</w:t>
            </w:r>
          </w:p>
          <w:p w14:paraId="10DE2F1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
                <w:bCs/>
                <w:sz w:val="24"/>
                <w:szCs w:val="24"/>
                <w:lang w:val="en-US" w:eastAsia="zh-CN"/>
              </w:rPr>
              <w:t>《农用薄膜管理办法》第二十四条</w:t>
            </w:r>
            <w:r>
              <w:rPr>
                <w:rFonts w:hint="default" w:ascii="Times New Roman" w:hAnsi="Times New Roman" w:cs="Times New Roman" w:eastAsiaTheme="minorEastAsia"/>
                <w:sz w:val="24"/>
                <w:szCs w:val="24"/>
                <w:lang w:val="en-US" w:eastAsia="zh-CN"/>
              </w:rPr>
              <w:t>农用薄膜生产者、销售者、使用者未按照规定回收农用薄膜的，依照《中华人民共和国土壤污染防治法》第八十八条规定处罚。</w:t>
            </w:r>
          </w:p>
        </w:tc>
        <w:tc>
          <w:tcPr>
            <w:tcW w:w="1281" w:type="dxa"/>
            <w:shd w:val="clear" w:color="auto" w:fill="auto"/>
            <w:vAlign w:val="center"/>
          </w:tcPr>
          <w:p w14:paraId="08EC2C3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68EAFE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2A2138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55AE0A7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AD63E1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AEF0D2D">
            <w:pPr>
              <w:pStyle w:val="6"/>
              <w:jc w:val="center"/>
              <w:rPr>
                <w:rFonts w:hint="default" w:ascii="Times New Roman" w:hAnsi="Times New Roman" w:cs="Times New Roman" w:eastAsiaTheme="minorEastAsia"/>
                <w:sz w:val="24"/>
                <w:szCs w:val="24"/>
              </w:rPr>
            </w:pPr>
          </w:p>
        </w:tc>
      </w:tr>
      <w:tr w14:paraId="5765E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D95711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79</w:t>
            </w:r>
          </w:p>
        </w:tc>
        <w:tc>
          <w:tcPr>
            <w:tcW w:w="3014" w:type="dxa"/>
            <w:vAlign w:val="center"/>
          </w:tcPr>
          <w:p w14:paraId="799728C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对农药经营者和农药包装废弃物回收站（点）未按规定建立</w:t>
            </w:r>
          </w:p>
          <w:p w14:paraId="7B0A6A7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农药包装废弃物回收台账的行政处罚</w:t>
            </w:r>
          </w:p>
        </w:tc>
        <w:tc>
          <w:tcPr>
            <w:tcW w:w="812" w:type="dxa"/>
            <w:vAlign w:val="center"/>
          </w:tcPr>
          <w:p w14:paraId="34D0A5C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24678D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2E5514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《农药包装废弃物回收处理管理办法》第二十一条</w:t>
            </w:r>
            <w:r>
              <w:rPr>
                <w:rFonts w:hint="default" w:ascii="Times New Roman" w:hAnsi="Times New Roman" w:cs="Times New Roman" w:eastAsiaTheme="minorEastAsia"/>
                <w:sz w:val="24"/>
                <w:szCs w:val="24"/>
                <w:lang w:val="en-US" w:eastAsia="zh-CN"/>
              </w:rPr>
              <w:t>农药经营者和农药包装废弃物回收站（点）未按规定建立农药包装废弃物回收台账的，由地方人民政府农业农村主管部门责令改正；拒不改正或者情节严重的，可处二千元以上二万元以下罚款。</w:t>
            </w:r>
          </w:p>
        </w:tc>
        <w:tc>
          <w:tcPr>
            <w:tcW w:w="1281" w:type="dxa"/>
            <w:shd w:val="clear" w:color="auto" w:fill="auto"/>
            <w:vAlign w:val="center"/>
          </w:tcPr>
          <w:p w14:paraId="0E3857A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2E6EEC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DF3905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503DCD2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05136B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B86C8DD">
            <w:pPr>
              <w:pStyle w:val="6"/>
              <w:jc w:val="center"/>
              <w:rPr>
                <w:rFonts w:hint="default" w:ascii="Times New Roman" w:hAnsi="Times New Roman" w:cs="Times New Roman" w:eastAsiaTheme="minorEastAsia"/>
                <w:sz w:val="24"/>
                <w:szCs w:val="24"/>
              </w:rPr>
            </w:pPr>
          </w:p>
        </w:tc>
      </w:tr>
      <w:tr w14:paraId="14DD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981994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80</w:t>
            </w:r>
          </w:p>
        </w:tc>
        <w:tc>
          <w:tcPr>
            <w:tcW w:w="3014" w:type="dxa"/>
            <w:vAlign w:val="center"/>
          </w:tcPr>
          <w:p w14:paraId="7DB4AFD2">
            <w:pPr>
              <w:tabs>
                <w:tab w:val="left" w:pos="2124"/>
              </w:tabs>
              <w:bidi w:val="0"/>
              <w:jc w:val="both"/>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val="en-US" w:eastAsia="zh-CN" w:bidi="ar-SA"/>
              </w:rPr>
              <w:t>对侵占损毁、拆除、擅自移动农作物病虫害监测设施设备或者以其他方式妨害农作物病虫害监测设施设备正常运行的行政处罚</w:t>
            </w:r>
          </w:p>
        </w:tc>
        <w:tc>
          <w:tcPr>
            <w:tcW w:w="812" w:type="dxa"/>
            <w:vAlign w:val="center"/>
          </w:tcPr>
          <w:p w14:paraId="13129F8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2B8378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288638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《农作物病虫害防治条例》第四十条</w:t>
            </w:r>
            <w:r>
              <w:rPr>
                <w:rFonts w:hint="default" w:ascii="Times New Roman" w:hAnsi="Times New Roman" w:cs="Times New Roman" w:eastAsiaTheme="minorEastAsia"/>
                <w:sz w:val="24"/>
                <w:szCs w:val="24"/>
                <w:lang w:val="en-US" w:eastAsia="zh-CN"/>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281" w:type="dxa"/>
            <w:shd w:val="clear" w:color="auto" w:fill="auto"/>
            <w:vAlign w:val="center"/>
          </w:tcPr>
          <w:p w14:paraId="35FEC14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AEE254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68329C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0272818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42E9E4A">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94F633C">
            <w:pPr>
              <w:pStyle w:val="6"/>
              <w:jc w:val="center"/>
              <w:rPr>
                <w:rFonts w:hint="default" w:ascii="Times New Roman" w:hAnsi="Times New Roman" w:cs="Times New Roman" w:eastAsiaTheme="minorEastAsia"/>
                <w:sz w:val="24"/>
                <w:szCs w:val="24"/>
              </w:rPr>
            </w:pPr>
          </w:p>
        </w:tc>
      </w:tr>
      <w:tr w14:paraId="3F870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141D13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81</w:t>
            </w:r>
          </w:p>
        </w:tc>
        <w:tc>
          <w:tcPr>
            <w:tcW w:w="3014" w:type="dxa"/>
            <w:vAlign w:val="center"/>
          </w:tcPr>
          <w:p w14:paraId="3D3042D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对在地表水饮用水水源二级保护区内违反规定使用化肥行为的行政处罚</w:t>
            </w:r>
          </w:p>
        </w:tc>
        <w:tc>
          <w:tcPr>
            <w:tcW w:w="812" w:type="dxa"/>
            <w:vAlign w:val="center"/>
          </w:tcPr>
          <w:p w14:paraId="2FB3DB6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1644BE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EECCC6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《四川省饮用水水源保护管理条例》第十八条第四项</w:t>
            </w:r>
            <w:r>
              <w:rPr>
                <w:rFonts w:hint="default" w:ascii="Times New Roman" w:hAnsi="Times New Roman" w:cs="Times New Roman" w:eastAsiaTheme="minorEastAsia"/>
                <w:sz w:val="24"/>
                <w:szCs w:val="24"/>
                <w:lang w:val="en-US" w:eastAsia="zh-CN"/>
              </w:rPr>
              <w:t>地表水饮用水水源二级保护区内，除遵守本条例第十七条规定外，还应当遵守下列规定：（四）禁止使用农药；禁止丢弃农药、农药包装物或者清洗施药器械；限制使用化肥。</w:t>
            </w:r>
          </w:p>
          <w:p w14:paraId="4A8C176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第四十条第三款</w:t>
            </w:r>
            <w:r>
              <w:rPr>
                <w:rFonts w:hint="default" w:ascii="Times New Roman" w:hAnsi="Times New Roman" w:cs="Times New Roman" w:eastAsiaTheme="minorEastAsia"/>
                <w:sz w:val="24"/>
                <w:szCs w:val="24"/>
                <w:lang w:val="en-US" w:eastAsia="zh-CN"/>
              </w:rPr>
              <w:t>违反本条例第十八条第四项，使用化肥的，由县级以上地方人民政府农业农村主管部门责令改正；情节严重的，处五千元以上二万元以下的罚款。违反本条例第十九条第二项规定，使用化肥的，由县级以上地方人民政府农业农村主管部门责令改正，处一万元以上五万元以下的罚款。</w:t>
            </w:r>
          </w:p>
        </w:tc>
        <w:tc>
          <w:tcPr>
            <w:tcW w:w="1281" w:type="dxa"/>
            <w:shd w:val="clear" w:color="auto" w:fill="auto"/>
            <w:vAlign w:val="center"/>
          </w:tcPr>
          <w:p w14:paraId="799BC81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A9CEF9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B1377E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311AF60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DC411E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BF7CCF5">
            <w:pPr>
              <w:pStyle w:val="6"/>
              <w:jc w:val="center"/>
              <w:rPr>
                <w:rFonts w:hint="default" w:ascii="Times New Roman" w:hAnsi="Times New Roman" w:cs="Times New Roman" w:eastAsiaTheme="minorEastAsia"/>
                <w:sz w:val="24"/>
                <w:szCs w:val="24"/>
              </w:rPr>
            </w:pPr>
          </w:p>
        </w:tc>
      </w:tr>
      <w:tr w14:paraId="5CDD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5995FB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82</w:t>
            </w:r>
          </w:p>
        </w:tc>
        <w:tc>
          <w:tcPr>
            <w:tcW w:w="3014" w:type="dxa"/>
            <w:shd w:val="clear" w:color="auto" w:fill="auto"/>
            <w:vAlign w:val="center"/>
          </w:tcPr>
          <w:p w14:paraId="6FA510BA">
            <w:pPr>
              <w:bidi w:val="0"/>
              <w:jc w:val="both"/>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对在地表水饮用水水源一级保护区内违反规定使用化肥行为的行政处罚</w:t>
            </w:r>
          </w:p>
        </w:tc>
        <w:tc>
          <w:tcPr>
            <w:tcW w:w="812" w:type="dxa"/>
            <w:shd w:val="clear" w:color="auto" w:fill="auto"/>
            <w:vAlign w:val="center"/>
          </w:tcPr>
          <w:p w14:paraId="6C84C40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54F9149">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处罚</w:t>
            </w:r>
          </w:p>
        </w:tc>
        <w:tc>
          <w:tcPr>
            <w:tcW w:w="6667" w:type="dxa"/>
            <w:vAlign w:val="top"/>
          </w:tcPr>
          <w:p w14:paraId="31EA1BD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《四川省饮用水水源保护管理条例》第十九条第二项</w:t>
            </w:r>
            <w:r>
              <w:rPr>
                <w:rFonts w:hint="default" w:ascii="Times New Roman" w:hAnsi="Times New Roman" w:cs="Times New Roman" w:eastAsiaTheme="minorEastAsia"/>
                <w:sz w:val="24"/>
                <w:szCs w:val="24"/>
                <w:lang w:val="en-US" w:eastAsia="zh-CN"/>
              </w:rPr>
              <w:t>地表水饮用水水源一级保护区内，除遵守本条例第十七条和第十八条规定外，还应当遵守下列规定：（二）禁止使用化肥。</w:t>
            </w:r>
          </w:p>
          <w:p w14:paraId="0B7E8D8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第四十条第三款</w:t>
            </w:r>
            <w:r>
              <w:rPr>
                <w:rFonts w:hint="default" w:ascii="Times New Roman" w:hAnsi="Times New Roman" w:cs="Times New Roman" w:eastAsiaTheme="minorEastAsia"/>
                <w:sz w:val="24"/>
                <w:szCs w:val="24"/>
                <w:lang w:val="en-US" w:eastAsia="zh-CN"/>
              </w:rPr>
              <w:t>违反本条例第十八条第四项，使用化肥的，由县级以上地方人民政府农业农村主管部门责令改正；情节严重的，处五千元以上二万元以下的罚款。违反本条例第十九条第二项规定，使用化肥的，由县级以上地方人民政府农业农村主管部门责令改正，处一万元以上五万元以下的罚款。</w:t>
            </w:r>
          </w:p>
        </w:tc>
        <w:tc>
          <w:tcPr>
            <w:tcW w:w="1281" w:type="dxa"/>
            <w:shd w:val="clear" w:color="auto" w:fill="auto"/>
            <w:vAlign w:val="center"/>
          </w:tcPr>
          <w:p w14:paraId="4DCCF0F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2AF4DE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A81B5AC">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15996E0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E64B86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BC3D8F5">
            <w:pPr>
              <w:pStyle w:val="6"/>
              <w:jc w:val="center"/>
              <w:rPr>
                <w:rFonts w:hint="default" w:ascii="Times New Roman" w:hAnsi="Times New Roman" w:cs="Times New Roman" w:eastAsiaTheme="minorEastAsia"/>
                <w:sz w:val="24"/>
                <w:szCs w:val="24"/>
              </w:rPr>
            </w:pPr>
          </w:p>
        </w:tc>
      </w:tr>
      <w:tr w14:paraId="62753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A2590B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83</w:t>
            </w:r>
          </w:p>
        </w:tc>
        <w:tc>
          <w:tcPr>
            <w:tcW w:w="3014" w:type="dxa"/>
            <w:vAlign w:val="center"/>
          </w:tcPr>
          <w:p w14:paraId="6F41EE7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对未按规定建立、保存或者伪造农产品生产记录的行政处罚</w:t>
            </w:r>
          </w:p>
        </w:tc>
        <w:tc>
          <w:tcPr>
            <w:tcW w:w="812" w:type="dxa"/>
            <w:vAlign w:val="center"/>
          </w:tcPr>
          <w:p w14:paraId="066369B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5235F7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BE7F0D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《中华人民共和国农产品质量安全法》第四十七条</w:t>
            </w:r>
            <w:r>
              <w:rPr>
                <w:rFonts w:hint="default" w:ascii="Times New Roman" w:hAnsi="Times New Roman" w:cs="Times New Roman" w:eastAsiaTheme="minorEastAsia"/>
                <w:sz w:val="24"/>
                <w:szCs w:val="24"/>
                <w:lang w:val="en-US" w:eastAsia="zh-CN"/>
              </w:rPr>
              <w:t>农产品生产企业、农民专业合作经济组织未建立或者未按照规定保存农产品生产记录的，或者伪造农产品生产记录的，责令限期改正；逾期不改正的，可以处二千元以下罚款。</w:t>
            </w:r>
          </w:p>
          <w:p w14:paraId="2678DF0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第五十二条第一款</w:t>
            </w:r>
            <w:r>
              <w:rPr>
                <w:rFonts w:hint="default" w:ascii="Times New Roman" w:hAnsi="Times New Roman" w:cs="Times New Roman" w:eastAsiaTheme="minorEastAsia"/>
                <w:sz w:val="24"/>
                <w:szCs w:val="24"/>
                <w:lang w:val="en-US" w:eastAsia="zh-CN"/>
              </w:rPr>
              <w:t>本法第四十四条，第四十七条至第四十九条，第五十条第一款、第四款和第五十一条规定的处理、处罚，由县级以上人民政府农业行政主管部门决定；第五十条第二款、第三款规定的处理、处罚，由市场监督管理部门决定。</w:t>
            </w:r>
          </w:p>
          <w:p w14:paraId="60BFCA40">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《四川省〈中华人民共和国农产品质量安全法〉实施办法》第二十一条</w:t>
            </w:r>
            <w:r>
              <w:rPr>
                <w:rFonts w:hint="default" w:ascii="Times New Roman" w:hAnsi="Times New Roman" w:cs="Times New Roman" w:eastAsiaTheme="minorEastAsia"/>
                <w:sz w:val="24"/>
                <w:szCs w:val="24"/>
                <w:lang w:val="en-US" w:eastAsia="zh-CN"/>
              </w:rPr>
              <w:t>农产品生产企业、农民专业合作经济组织应当建立农产品生产记录，如实记载下列内容：（一）使用农业投入品的名称、生产企业、采购地点、购入数量、产品批准文号、用法、用量、使用日期、停用日期、休药期、间隔期；（二）动物疫病、植物病虫草害发生和防治情况；（三）收获、屠宰、捕捞的日期。农产品生产记录应当保存二年。禁止伪造农产品生产记录。</w:t>
            </w:r>
          </w:p>
          <w:p w14:paraId="7FE622B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第四十三条</w:t>
            </w:r>
            <w:r>
              <w:rPr>
                <w:rFonts w:hint="default" w:ascii="Times New Roman" w:hAnsi="Times New Roman" w:cs="Times New Roman" w:eastAsiaTheme="minorEastAsia"/>
                <w:sz w:val="24"/>
                <w:szCs w:val="24"/>
                <w:lang w:val="en-US" w:eastAsia="zh-CN"/>
              </w:rPr>
              <w:t>违反本办法第二十一条规定的，由县级以上地方人民政府农业行政主管部门责令限期改正；逾期不改正的，处2000元以下罚款。</w:t>
            </w:r>
          </w:p>
        </w:tc>
        <w:tc>
          <w:tcPr>
            <w:tcW w:w="1281" w:type="dxa"/>
            <w:shd w:val="clear" w:color="auto" w:fill="auto"/>
            <w:vAlign w:val="center"/>
          </w:tcPr>
          <w:p w14:paraId="6CE583F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E2B36B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8F4C59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2C67DAE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5D9E53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B1EB069">
            <w:pPr>
              <w:pStyle w:val="6"/>
              <w:jc w:val="center"/>
              <w:rPr>
                <w:rFonts w:hint="default" w:ascii="Times New Roman" w:hAnsi="Times New Roman" w:cs="Times New Roman" w:eastAsiaTheme="minorEastAsia"/>
                <w:sz w:val="24"/>
                <w:szCs w:val="24"/>
              </w:rPr>
            </w:pPr>
          </w:p>
        </w:tc>
      </w:tr>
      <w:tr w14:paraId="38E85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4EF690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84</w:t>
            </w:r>
          </w:p>
        </w:tc>
        <w:tc>
          <w:tcPr>
            <w:tcW w:w="3014" w:type="dxa"/>
            <w:vAlign w:val="center"/>
          </w:tcPr>
          <w:p w14:paraId="283019A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对销售的农产品未按</w:t>
            </w:r>
          </w:p>
          <w:p w14:paraId="0E8E629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照规定进行包装、标识的行政处罚</w:t>
            </w:r>
          </w:p>
        </w:tc>
        <w:tc>
          <w:tcPr>
            <w:tcW w:w="812" w:type="dxa"/>
            <w:vAlign w:val="center"/>
          </w:tcPr>
          <w:p w14:paraId="351834C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DD43BB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1594FE87">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《中华人民共和国农产品质量安全法》第二十八条</w:t>
            </w:r>
            <w:r>
              <w:rPr>
                <w:rFonts w:hint="default" w:ascii="Times New Roman" w:hAnsi="Times New Roman" w:cs="Times New Roman" w:eastAsiaTheme="minorEastAsia"/>
                <w:sz w:val="24"/>
                <w:szCs w:val="24"/>
                <w:lang w:val="en-US" w:eastAsia="zh-CN"/>
              </w:rPr>
              <w:t>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14:paraId="5ED1560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第四十八条</w:t>
            </w:r>
            <w:r>
              <w:rPr>
                <w:rFonts w:hint="default" w:ascii="Times New Roman" w:hAnsi="Times New Roman" w:cs="Times New Roman" w:eastAsiaTheme="minorEastAsia"/>
                <w:sz w:val="24"/>
                <w:szCs w:val="24"/>
                <w:lang w:val="en-US" w:eastAsia="zh-CN"/>
              </w:rPr>
              <w:t>违反本法第二十八条规定，销售的农产品未按照规定进行包装、标识的，责令限期改正；逾期不改正的，可以处二千元以下罚款。</w:t>
            </w:r>
          </w:p>
          <w:p w14:paraId="463EEC1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第五十二条第一款</w:t>
            </w:r>
            <w:r>
              <w:rPr>
                <w:rFonts w:hint="default" w:ascii="Times New Roman" w:hAnsi="Times New Roman" w:cs="Times New Roman" w:eastAsiaTheme="minorEastAsia"/>
                <w:sz w:val="24"/>
                <w:szCs w:val="24"/>
                <w:lang w:val="en-US" w:eastAsia="zh-CN"/>
              </w:rPr>
              <w:t>本法第四十四条，第四十七条至第四十九条，第五十条第一款、第四款和第五十一条规定的处理、处罚，由县级以上人民政府农业行政主管部门决定；第五十条第二款、第三款规定的处理、处罚，由市场监督管理部门决定。</w:t>
            </w:r>
          </w:p>
          <w:p w14:paraId="1EDDF63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《农产品包装和标识管理办法》第十六条第一项、第三项、第五项</w:t>
            </w:r>
            <w:r>
              <w:rPr>
                <w:rFonts w:hint="default" w:ascii="Times New Roman" w:hAnsi="Times New Roman" w:cs="Times New Roman" w:eastAsiaTheme="minorEastAsia"/>
                <w:sz w:val="24"/>
                <w:szCs w:val="24"/>
                <w:lang w:val="en-US" w:eastAsia="zh-CN"/>
              </w:rPr>
              <w:t>有下列情形之一的，由县级以上人民政府农业行政主管部门按照《中华人民共和国农产品质量安全法》第四十八条、四十九条、五十一条、五十二条的规定处理、处罚：（一）使用的农产品包装材料不符合强制性技术规范要求的；（三）应当包装的农产品未经包装销售的；（五）农产品未按照规定标识的。</w:t>
            </w:r>
          </w:p>
        </w:tc>
        <w:tc>
          <w:tcPr>
            <w:tcW w:w="1281" w:type="dxa"/>
            <w:shd w:val="clear" w:color="auto" w:fill="auto"/>
            <w:vAlign w:val="center"/>
          </w:tcPr>
          <w:p w14:paraId="7A78C66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6DE380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249B94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582F1C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885359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359C7EE">
            <w:pPr>
              <w:pStyle w:val="6"/>
              <w:jc w:val="center"/>
              <w:rPr>
                <w:rFonts w:hint="default" w:ascii="Times New Roman" w:hAnsi="Times New Roman" w:cs="Times New Roman" w:eastAsiaTheme="minorEastAsia"/>
                <w:sz w:val="24"/>
                <w:szCs w:val="24"/>
              </w:rPr>
            </w:pPr>
          </w:p>
        </w:tc>
      </w:tr>
      <w:tr w14:paraId="361A2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BEE322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85</w:t>
            </w:r>
          </w:p>
        </w:tc>
        <w:tc>
          <w:tcPr>
            <w:tcW w:w="3014" w:type="dxa"/>
            <w:vAlign w:val="center"/>
          </w:tcPr>
          <w:p w14:paraId="2B235D2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对擅自移动、损毁禁止生产区标牌的行政处罚</w:t>
            </w:r>
          </w:p>
        </w:tc>
        <w:tc>
          <w:tcPr>
            <w:tcW w:w="812" w:type="dxa"/>
            <w:vAlign w:val="center"/>
          </w:tcPr>
          <w:p w14:paraId="10B19CA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66FF74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9A32F6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《农产品产地安全管理办法》第二十六条第二款</w:t>
            </w:r>
            <w:r>
              <w:rPr>
                <w:rFonts w:hint="default" w:ascii="Times New Roman" w:hAnsi="Times New Roman" w:cs="Times New Roman" w:eastAsiaTheme="minorEastAsia"/>
                <w:sz w:val="24"/>
                <w:szCs w:val="24"/>
                <w:lang w:val="en-US" w:eastAsia="zh-CN"/>
              </w:rPr>
              <w:t>违反本办法规定，擅自移动、损毁禁止生产区标牌的，由县级以上地方人民政府农业行政主管部门责令限期改正，可处以一千元以下罚款。</w:t>
            </w:r>
          </w:p>
          <w:p w14:paraId="241CFCDD">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《四川省〈中华人民共和国农产品质量安全法〉实施办法》第十一条第二款</w:t>
            </w:r>
            <w:r>
              <w:rPr>
                <w:rFonts w:hint="default" w:ascii="Times New Roman" w:hAnsi="Times New Roman" w:cs="Times New Roman" w:eastAsiaTheme="minorEastAsia"/>
                <w:sz w:val="24"/>
                <w:szCs w:val="24"/>
                <w:lang w:val="en-US" w:eastAsia="zh-CN"/>
              </w:rPr>
              <w:t>任何单位和个人不得擅自移动和损毁标识。</w:t>
            </w:r>
          </w:p>
          <w:p w14:paraId="7B12F1A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第四十条</w:t>
            </w:r>
            <w:r>
              <w:rPr>
                <w:rFonts w:hint="default" w:ascii="Times New Roman" w:hAnsi="Times New Roman" w:cs="Times New Roman" w:eastAsiaTheme="minorEastAsia"/>
                <w:sz w:val="24"/>
                <w:szCs w:val="24"/>
                <w:lang w:val="en-US" w:eastAsia="zh-CN"/>
              </w:rPr>
              <w:t>违反本办法第十一条第二款规定，擅自移动、损毁禁止生产区标识的，由县级以上地方人民政府农业行政主管部门责令限期改正，可处1000元以下罚款。</w:t>
            </w:r>
          </w:p>
        </w:tc>
        <w:tc>
          <w:tcPr>
            <w:tcW w:w="1281" w:type="dxa"/>
            <w:shd w:val="clear" w:color="auto" w:fill="auto"/>
            <w:vAlign w:val="center"/>
          </w:tcPr>
          <w:p w14:paraId="761427D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E84E50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7EB0A69">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2FC191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611BB6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8EA3FC9">
            <w:pPr>
              <w:pStyle w:val="6"/>
              <w:jc w:val="center"/>
              <w:rPr>
                <w:rFonts w:hint="default" w:ascii="Times New Roman" w:hAnsi="Times New Roman" w:cs="Times New Roman" w:eastAsiaTheme="minorEastAsia"/>
                <w:sz w:val="24"/>
                <w:szCs w:val="24"/>
              </w:rPr>
            </w:pPr>
          </w:p>
        </w:tc>
      </w:tr>
      <w:tr w14:paraId="32EA6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A03F2D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86</w:t>
            </w:r>
          </w:p>
        </w:tc>
        <w:tc>
          <w:tcPr>
            <w:tcW w:w="3014" w:type="dxa"/>
            <w:vAlign w:val="center"/>
          </w:tcPr>
          <w:p w14:paraId="408387D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对未建立、保存农业投入品进销货台账或者未向购买者出具销售凭证的行政处罚</w:t>
            </w:r>
          </w:p>
        </w:tc>
        <w:tc>
          <w:tcPr>
            <w:tcW w:w="812" w:type="dxa"/>
            <w:vAlign w:val="center"/>
          </w:tcPr>
          <w:p w14:paraId="5AE6E42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A4A0FA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8499A2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《四川省〈中华人民共和国农产品质量安全法〉实施办法》第十九条第一款</w:t>
            </w:r>
            <w:r>
              <w:rPr>
                <w:rFonts w:hint="default" w:ascii="Times New Roman" w:hAnsi="Times New Roman" w:cs="Times New Roman" w:eastAsiaTheme="minorEastAsia"/>
                <w:sz w:val="24"/>
                <w:szCs w:val="24"/>
                <w:lang w:val="en-US" w:eastAsia="zh-CN"/>
              </w:rPr>
              <w:t>农业投入品经营者应当建立农业投入品进货和销售台账，如实记录投入品名称、规格、数量、供货商及其联系方式、进销货时间、销售去向等内容，保存期限不得少于二年；应当向购买者出具销售凭证，正确说明农业投入品使用方法和注意事项。</w:t>
            </w:r>
          </w:p>
          <w:p w14:paraId="72951F8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第四十二条</w:t>
            </w:r>
            <w:r>
              <w:rPr>
                <w:rFonts w:hint="default" w:ascii="Times New Roman" w:hAnsi="Times New Roman" w:cs="Times New Roman" w:eastAsiaTheme="minorEastAsia"/>
                <w:sz w:val="24"/>
                <w:szCs w:val="24"/>
                <w:lang w:val="en-US" w:eastAsia="zh-CN"/>
              </w:rPr>
              <w:t>违反本办法第十九条第一款规定，未建立、保存进销货台账或者未向购买者出具销售凭证的，由县级以上地方人民政府农业行政主管部门责令其限期改正；逾期不改正的，处200元以上1000元以下罚款；未向购买者说明或未正确说明农业投入品使用方法和注意事项，给农业投入品使用者造成损失的，依法予以赔偿。</w:t>
            </w:r>
          </w:p>
        </w:tc>
        <w:tc>
          <w:tcPr>
            <w:tcW w:w="1281" w:type="dxa"/>
            <w:shd w:val="clear" w:color="auto" w:fill="auto"/>
            <w:vAlign w:val="center"/>
          </w:tcPr>
          <w:p w14:paraId="5DF7E70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09FA97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A107FB8">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3E109CD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184E29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BF5E7B4">
            <w:pPr>
              <w:pStyle w:val="6"/>
              <w:jc w:val="center"/>
              <w:rPr>
                <w:rFonts w:hint="default" w:ascii="Times New Roman" w:hAnsi="Times New Roman" w:cs="Times New Roman" w:eastAsiaTheme="minorEastAsia"/>
                <w:sz w:val="24"/>
                <w:szCs w:val="24"/>
              </w:rPr>
            </w:pPr>
          </w:p>
        </w:tc>
      </w:tr>
      <w:tr w14:paraId="5E28B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7E127A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87</w:t>
            </w:r>
          </w:p>
        </w:tc>
        <w:tc>
          <w:tcPr>
            <w:tcW w:w="3014" w:type="dxa"/>
            <w:vAlign w:val="center"/>
          </w:tcPr>
          <w:p w14:paraId="0D2B7BD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对农产品生产过程中违规行为的行政处罚</w:t>
            </w:r>
          </w:p>
        </w:tc>
        <w:tc>
          <w:tcPr>
            <w:tcW w:w="812" w:type="dxa"/>
            <w:vAlign w:val="center"/>
          </w:tcPr>
          <w:p w14:paraId="188DD03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6097BB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FB45FA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《国务院关于加强食品等产品安全监督管理的特别规定》第三条第二款</w:t>
            </w:r>
            <w:r>
              <w:rPr>
                <w:rFonts w:hint="default" w:ascii="Times New Roman" w:hAnsi="Times New Roman" w:cs="Times New Roman" w:eastAsiaTheme="minorEastAsia"/>
                <w:sz w:val="24"/>
                <w:szCs w:val="24"/>
                <w:lang w:val="en-US" w:eastAsia="zh-CN"/>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14:paraId="0F698F0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第三款</w:t>
            </w:r>
            <w:r>
              <w:rPr>
                <w:rFonts w:hint="default" w:ascii="Times New Roman" w:hAnsi="Times New Roman" w:cs="Times New Roman" w:eastAsiaTheme="minorEastAsia"/>
                <w:sz w:val="24"/>
                <w:szCs w:val="24"/>
                <w:lang w:val="en-US" w:eastAsia="zh-CN"/>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14:paraId="102BEB2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w:t>
            </w:r>
            <w:r>
              <w:rPr>
                <w:rFonts w:hint="default" w:ascii="Times New Roman" w:hAnsi="Times New Roman" w:cs="Times New Roman" w:eastAsiaTheme="minorEastAsia"/>
                <w:sz w:val="24"/>
                <w:szCs w:val="24"/>
                <w:lang w:val="en-US" w:eastAsia="zh-CN"/>
              </w:rPr>
              <w:t>款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1281" w:type="dxa"/>
            <w:shd w:val="clear" w:color="auto" w:fill="auto"/>
            <w:vAlign w:val="center"/>
          </w:tcPr>
          <w:p w14:paraId="09EC918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B91105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90330D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D1D222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C33B5D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7E5F873">
            <w:pPr>
              <w:pStyle w:val="6"/>
              <w:jc w:val="center"/>
              <w:rPr>
                <w:rFonts w:hint="default" w:ascii="Times New Roman" w:hAnsi="Times New Roman" w:cs="Times New Roman" w:eastAsiaTheme="minorEastAsia"/>
                <w:sz w:val="24"/>
                <w:szCs w:val="24"/>
              </w:rPr>
            </w:pPr>
          </w:p>
        </w:tc>
      </w:tr>
      <w:tr w14:paraId="3FD8E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6" w:hRule="atLeast"/>
        </w:trPr>
        <w:tc>
          <w:tcPr>
            <w:tcW w:w="660" w:type="dxa"/>
            <w:vAlign w:val="center"/>
          </w:tcPr>
          <w:p w14:paraId="402244A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88</w:t>
            </w:r>
          </w:p>
        </w:tc>
        <w:tc>
          <w:tcPr>
            <w:tcW w:w="3014" w:type="dxa"/>
            <w:vAlign w:val="center"/>
          </w:tcPr>
          <w:p w14:paraId="36BF11E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对农产品运载工具、垫料、包装物、容器等不符合卫生、植物检疫和动物防疫条件，或将农产品与有毒有害物品混装运输的行政处罚</w:t>
            </w:r>
          </w:p>
        </w:tc>
        <w:tc>
          <w:tcPr>
            <w:tcW w:w="812" w:type="dxa"/>
            <w:vAlign w:val="center"/>
          </w:tcPr>
          <w:p w14:paraId="1CD5A2C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206EB9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2DEF5E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《四川省〈中华人民共和国农产品质量安全法〉实施办法》第二十四条第一款</w:t>
            </w:r>
            <w:r>
              <w:rPr>
                <w:rFonts w:hint="default" w:ascii="Times New Roman" w:hAnsi="Times New Roman" w:cs="Times New Roman" w:eastAsiaTheme="minorEastAsia"/>
                <w:sz w:val="24"/>
                <w:szCs w:val="24"/>
                <w:lang w:val="en-US" w:eastAsia="zh-CN"/>
              </w:rPr>
              <w:t>农产品的运载工具、垫料、包装物、容器等应当符合国家规定的卫生、植物检疫和动物防疫条件，不得将农产品与有毒有害物品混装运输。</w:t>
            </w:r>
          </w:p>
          <w:p w14:paraId="2585946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第四十五条</w:t>
            </w:r>
            <w:r>
              <w:rPr>
                <w:rFonts w:hint="default" w:ascii="Times New Roman" w:hAnsi="Times New Roman" w:cs="Times New Roman" w:eastAsiaTheme="minorEastAsia"/>
                <w:sz w:val="24"/>
                <w:szCs w:val="24"/>
                <w:lang w:val="en-US" w:eastAsia="zh-CN"/>
              </w:rPr>
              <w:t>违反本办法第二十四条第一款规定的，由县级以上地方人民政府农业行政主管部门或者其他有关部门责令改正，监督其对被污染的农产品进行无害化处理；对不能进行无害化处理的，予以监督销毁，并处5000元以上2万元以下罚款。</w:t>
            </w:r>
          </w:p>
        </w:tc>
        <w:tc>
          <w:tcPr>
            <w:tcW w:w="1281" w:type="dxa"/>
            <w:shd w:val="clear" w:color="auto" w:fill="auto"/>
            <w:vAlign w:val="center"/>
          </w:tcPr>
          <w:p w14:paraId="1CDF1F8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C857E9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06B018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17BAF2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52BA40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9156ABD">
            <w:pPr>
              <w:pStyle w:val="6"/>
              <w:jc w:val="center"/>
              <w:rPr>
                <w:rFonts w:hint="default" w:ascii="Times New Roman" w:hAnsi="Times New Roman" w:cs="Times New Roman" w:eastAsiaTheme="minorEastAsia"/>
                <w:sz w:val="24"/>
                <w:szCs w:val="24"/>
              </w:rPr>
            </w:pPr>
          </w:p>
        </w:tc>
      </w:tr>
      <w:tr w14:paraId="1684B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9" w:hRule="atLeast"/>
        </w:trPr>
        <w:tc>
          <w:tcPr>
            <w:tcW w:w="660" w:type="dxa"/>
            <w:vAlign w:val="center"/>
          </w:tcPr>
          <w:p w14:paraId="259E735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89</w:t>
            </w:r>
          </w:p>
        </w:tc>
        <w:tc>
          <w:tcPr>
            <w:tcW w:w="3014" w:type="dxa"/>
            <w:vAlign w:val="center"/>
          </w:tcPr>
          <w:p w14:paraId="27FB89F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对未按照规定登记、使用拖拉机、联合收割机的行政处罚</w:t>
            </w:r>
          </w:p>
        </w:tc>
        <w:tc>
          <w:tcPr>
            <w:tcW w:w="812" w:type="dxa"/>
            <w:vAlign w:val="center"/>
          </w:tcPr>
          <w:p w14:paraId="036B031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0AB27D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30D9AC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《农业机械安全监督管理条例》第五十条</w:t>
            </w:r>
            <w:r>
              <w:rPr>
                <w:rFonts w:hint="default" w:ascii="Times New Roman" w:hAnsi="Times New Roman" w:cs="Times New Roman" w:eastAsiaTheme="minorEastAsia"/>
                <w:sz w:val="24"/>
                <w:szCs w:val="24"/>
                <w:lang w:val="en-US" w:eastAsia="zh-CN"/>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c>
          <w:tcPr>
            <w:tcW w:w="1281" w:type="dxa"/>
            <w:shd w:val="clear" w:color="auto" w:fill="auto"/>
            <w:vAlign w:val="center"/>
          </w:tcPr>
          <w:p w14:paraId="4547DF0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D23BBE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5FCE13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3CD65D0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4A2C8D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20A86A3">
            <w:pPr>
              <w:pStyle w:val="6"/>
              <w:jc w:val="center"/>
              <w:rPr>
                <w:rFonts w:hint="default" w:ascii="Times New Roman" w:hAnsi="Times New Roman" w:cs="Times New Roman" w:eastAsiaTheme="minorEastAsia"/>
                <w:sz w:val="24"/>
                <w:szCs w:val="24"/>
              </w:rPr>
            </w:pPr>
          </w:p>
        </w:tc>
      </w:tr>
      <w:tr w14:paraId="3DE18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D8D232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90</w:t>
            </w:r>
          </w:p>
        </w:tc>
        <w:tc>
          <w:tcPr>
            <w:tcW w:w="3014" w:type="dxa"/>
            <w:vAlign w:val="center"/>
          </w:tcPr>
          <w:p w14:paraId="2EA8BA8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对未取得操作证件操作拖拉机、联合收割机的行政处罚</w:t>
            </w:r>
          </w:p>
        </w:tc>
        <w:tc>
          <w:tcPr>
            <w:tcW w:w="812" w:type="dxa"/>
            <w:vAlign w:val="center"/>
          </w:tcPr>
          <w:p w14:paraId="6CE611F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C8A362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6F73C1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《农业机械安全监督管理条例》第五十二条</w:t>
            </w:r>
            <w:r>
              <w:rPr>
                <w:rFonts w:hint="default" w:ascii="Times New Roman" w:hAnsi="Times New Roman" w:cs="Times New Roman" w:eastAsiaTheme="minorEastAsia"/>
                <w:sz w:val="24"/>
                <w:szCs w:val="24"/>
                <w:lang w:val="en-US" w:eastAsia="zh-CN"/>
              </w:rPr>
              <w:t>未取得拖拉机、联合收割机操作证件而操作拖拉机、联合收割机的，由县级以上地方人民政府农业机械化主管部门责令改正，处100元以上500元以下罚款。</w:t>
            </w:r>
          </w:p>
        </w:tc>
        <w:tc>
          <w:tcPr>
            <w:tcW w:w="1281" w:type="dxa"/>
            <w:shd w:val="clear" w:color="auto" w:fill="auto"/>
            <w:vAlign w:val="center"/>
          </w:tcPr>
          <w:p w14:paraId="0821852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C2BEDB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E0424D5">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0621970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A270A15">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2FBBB78">
            <w:pPr>
              <w:pStyle w:val="6"/>
              <w:jc w:val="center"/>
              <w:rPr>
                <w:rFonts w:hint="default" w:ascii="Times New Roman" w:hAnsi="Times New Roman" w:cs="Times New Roman" w:eastAsiaTheme="minorEastAsia"/>
                <w:sz w:val="24"/>
                <w:szCs w:val="24"/>
              </w:rPr>
            </w:pPr>
          </w:p>
        </w:tc>
      </w:tr>
      <w:tr w14:paraId="573CB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25BE37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91</w:t>
            </w:r>
          </w:p>
        </w:tc>
        <w:tc>
          <w:tcPr>
            <w:tcW w:w="3014" w:type="dxa"/>
            <w:vAlign w:val="center"/>
          </w:tcPr>
          <w:p w14:paraId="33D33B9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对未按照规定操作拖拉机、联合收割机的行政处罚</w:t>
            </w:r>
          </w:p>
        </w:tc>
        <w:tc>
          <w:tcPr>
            <w:tcW w:w="812" w:type="dxa"/>
            <w:vAlign w:val="center"/>
          </w:tcPr>
          <w:p w14:paraId="46FA75A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C6A55B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F8049D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《农业机械安全监督管理条例》第五十三条</w:t>
            </w:r>
            <w:r>
              <w:rPr>
                <w:rFonts w:hint="default" w:ascii="Times New Roman" w:hAnsi="Times New Roman" w:cs="Times New Roman" w:eastAsiaTheme="minorEastAsia"/>
                <w:sz w:val="24"/>
                <w:szCs w:val="24"/>
                <w:lang w:val="en-US" w:eastAsia="zh-CN"/>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1281" w:type="dxa"/>
            <w:shd w:val="clear" w:color="auto" w:fill="auto"/>
            <w:vAlign w:val="center"/>
          </w:tcPr>
          <w:p w14:paraId="0C1CB7E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F812E0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B40EE0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4E79288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05A395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EC31C4D">
            <w:pPr>
              <w:pStyle w:val="6"/>
              <w:jc w:val="center"/>
              <w:rPr>
                <w:rFonts w:hint="default" w:ascii="Times New Roman" w:hAnsi="Times New Roman" w:cs="Times New Roman" w:eastAsiaTheme="minorEastAsia"/>
                <w:sz w:val="24"/>
                <w:szCs w:val="24"/>
              </w:rPr>
            </w:pPr>
          </w:p>
        </w:tc>
      </w:tr>
      <w:tr w14:paraId="0CB0F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5F7756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92</w:t>
            </w:r>
          </w:p>
        </w:tc>
        <w:tc>
          <w:tcPr>
            <w:tcW w:w="3014" w:type="dxa"/>
            <w:vAlign w:val="center"/>
          </w:tcPr>
          <w:p w14:paraId="384A9BC4">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对使用拖拉机、联合收割机违反规定载人的行政处罚</w:t>
            </w:r>
          </w:p>
        </w:tc>
        <w:tc>
          <w:tcPr>
            <w:tcW w:w="812" w:type="dxa"/>
            <w:vAlign w:val="center"/>
          </w:tcPr>
          <w:p w14:paraId="7E34F48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6F626D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D10C9C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《中华人民共和国农业机械化促进法》第三十一条</w:t>
            </w:r>
            <w:r>
              <w:rPr>
                <w:rFonts w:hint="default" w:ascii="Times New Roman" w:hAnsi="Times New Roman" w:cs="Times New Roman" w:eastAsiaTheme="minorEastAsia"/>
                <w:sz w:val="24"/>
                <w:szCs w:val="24"/>
                <w:lang w:val="en-US" w:eastAsia="zh-CN"/>
              </w:rPr>
              <w:t>农业机械驾驶、操作人员违反国家规定的安全操作规程，违章作业的，责令改正，依照有关法律、行政法规的规定予以处罚；构成犯罪的，依法追究刑事责任。</w:t>
            </w:r>
          </w:p>
          <w:p w14:paraId="59DBEDA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《农业机械安全监督管理条例》第五十四条</w:t>
            </w:r>
            <w:r>
              <w:rPr>
                <w:rFonts w:hint="default" w:ascii="Times New Roman" w:hAnsi="Times New Roman" w:cs="Times New Roman" w:eastAsiaTheme="minorEastAsia"/>
                <w:sz w:val="24"/>
                <w:szCs w:val="24"/>
                <w:lang w:val="en-US" w:eastAsia="zh-CN"/>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w:t>
            </w:r>
          </w:p>
        </w:tc>
        <w:tc>
          <w:tcPr>
            <w:tcW w:w="1281" w:type="dxa"/>
            <w:shd w:val="clear" w:color="auto" w:fill="auto"/>
            <w:vAlign w:val="center"/>
          </w:tcPr>
          <w:p w14:paraId="0F48A9F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0FEAE2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743FDD9">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12854B7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6201B2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6E338C6">
            <w:pPr>
              <w:pStyle w:val="6"/>
              <w:jc w:val="center"/>
              <w:rPr>
                <w:rFonts w:hint="default" w:ascii="Times New Roman" w:hAnsi="Times New Roman" w:cs="Times New Roman" w:eastAsiaTheme="minorEastAsia"/>
                <w:sz w:val="24"/>
                <w:szCs w:val="24"/>
              </w:rPr>
            </w:pPr>
          </w:p>
        </w:tc>
      </w:tr>
      <w:tr w14:paraId="3BEA4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89C20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93</w:t>
            </w:r>
          </w:p>
        </w:tc>
        <w:tc>
          <w:tcPr>
            <w:tcW w:w="3014" w:type="dxa"/>
            <w:vAlign w:val="center"/>
          </w:tcPr>
          <w:p w14:paraId="19A7B59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对农业机械操作人员违规操作的行政处罚</w:t>
            </w:r>
          </w:p>
        </w:tc>
        <w:tc>
          <w:tcPr>
            <w:tcW w:w="812" w:type="dxa"/>
            <w:vAlign w:val="center"/>
          </w:tcPr>
          <w:p w14:paraId="17E261B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6B06A4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DA87388">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b/>
                <w:bCs/>
                <w:sz w:val="24"/>
                <w:szCs w:val="24"/>
                <w:lang w:val="en-US" w:eastAsia="zh-CN"/>
              </w:rPr>
              <w:t>四川省农业机械安全监督管理条例》第二十八条第一项至第三项、第六项至第八项</w:t>
            </w:r>
            <w:r>
              <w:rPr>
                <w:rFonts w:hint="default" w:ascii="Times New Roman" w:hAnsi="Times New Roman" w:cs="Times New Roman" w:eastAsiaTheme="minorEastAsia"/>
                <w:sz w:val="24"/>
                <w:szCs w:val="24"/>
                <w:lang w:val="en-US" w:eastAsia="zh-CN"/>
              </w:rPr>
              <w:t>农业机械操作人员作业时，应当遵守下列规定：</w:t>
            </w:r>
          </w:p>
          <w:p w14:paraId="60118DC5">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一）拖拉机、联合收割机应当按照规定粘贴安全反光标识；（二）农业机械在易燃易爆区作业时，应当有防火防爆等安全防护措施；（三）农业机械及作业场所的危险处应当设置明显警示标志和安全防护设施；（六）农业机械拖带挂车或者牵引（悬挂）配套机具时应当符合国家规定的技术标准，拖拉机以外的其他农业机械不得拖带或者牵引挂车上道路行驶；（七）从事有可能被运转机械绞碾伤害的作业时，应当采取安全防护措施；（八）从事植保作业时，应当采取安全防护和防污染措施。第二十九条第七项操作拖拉机、联合收割机应当严格执行有关安全操作规程，不得有下列行为：（七）操作拼装或者报废的拖拉机、联合收割机。第四十五条违反本条例第二十八条第一、二、三、六、七、八项和第二十九条第七项规定的，由县级人民政府农业机械化主管部门责令改正，并处以一百元以上五百元以下罚款。</w:t>
            </w:r>
          </w:p>
        </w:tc>
        <w:tc>
          <w:tcPr>
            <w:tcW w:w="1281" w:type="dxa"/>
            <w:shd w:val="clear" w:color="auto" w:fill="auto"/>
            <w:vAlign w:val="center"/>
          </w:tcPr>
          <w:p w14:paraId="0764E2C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4B1F40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1446BE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5969A4B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83F7D3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1D4D1BB">
            <w:pPr>
              <w:pStyle w:val="6"/>
              <w:jc w:val="center"/>
              <w:rPr>
                <w:rFonts w:hint="default" w:ascii="Times New Roman" w:hAnsi="Times New Roman" w:cs="Times New Roman" w:eastAsiaTheme="minorEastAsia"/>
                <w:sz w:val="24"/>
                <w:szCs w:val="24"/>
              </w:rPr>
            </w:pPr>
          </w:p>
        </w:tc>
      </w:tr>
      <w:tr w14:paraId="51CCA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6D1005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94</w:t>
            </w:r>
          </w:p>
        </w:tc>
        <w:tc>
          <w:tcPr>
            <w:tcW w:w="3014" w:type="dxa"/>
            <w:vAlign w:val="center"/>
          </w:tcPr>
          <w:p w14:paraId="524DF52E">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对影响提灌站正常使</w:t>
            </w:r>
          </w:p>
          <w:p w14:paraId="428C11CE">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用行为的行政处罚</w:t>
            </w:r>
          </w:p>
        </w:tc>
        <w:tc>
          <w:tcPr>
            <w:tcW w:w="812" w:type="dxa"/>
            <w:vAlign w:val="center"/>
          </w:tcPr>
          <w:p w14:paraId="063769A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EC62CF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09C5A73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《四川省农村机电提灌管理条例》第三十八条</w:t>
            </w:r>
            <w:r>
              <w:rPr>
                <w:rFonts w:hint="default" w:ascii="Times New Roman" w:hAnsi="Times New Roman" w:cs="Times New Roman" w:eastAsiaTheme="minorEastAsia"/>
                <w:sz w:val="24"/>
                <w:szCs w:val="24"/>
                <w:lang w:val="en-US" w:eastAsia="zh-CN"/>
              </w:rPr>
              <w:t>违反本条例的规定，有下列行为之一的，由县级以上人民政府农业机械主管部门责令停止或者纠正；拒不停止或者纠正的，可并处2000元以下的罚款：（一）堆放妨碍提灌站正常作业和安全生产物品的；（二）兴建妨碍提灌站安全生产建筑物的；（三）种植植物的生长高度影响输电线安全运行的；（四）</w:t>
            </w:r>
          </w:p>
          <w:p w14:paraId="6673C8E4">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扰乱农村机电提灌站正常的生产秩序的；（五）堵塞提灌设施进出水管的；（六）擅自在提灌站专用输变电线路上搭线接电，影响输电线路和变压器安全的。</w:t>
            </w:r>
          </w:p>
        </w:tc>
        <w:tc>
          <w:tcPr>
            <w:tcW w:w="1281" w:type="dxa"/>
            <w:shd w:val="clear" w:color="auto" w:fill="auto"/>
            <w:vAlign w:val="center"/>
          </w:tcPr>
          <w:p w14:paraId="6EAE362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189093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832D21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430970A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056607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EF7D997">
            <w:pPr>
              <w:pStyle w:val="6"/>
              <w:jc w:val="center"/>
              <w:rPr>
                <w:rFonts w:hint="default" w:ascii="Times New Roman" w:hAnsi="Times New Roman" w:cs="Times New Roman" w:eastAsiaTheme="minorEastAsia"/>
                <w:sz w:val="24"/>
                <w:szCs w:val="24"/>
              </w:rPr>
            </w:pPr>
          </w:p>
        </w:tc>
      </w:tr>
      <w:tr w14:paraId="4923C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D71D44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95</w:t>
            </w:r>
          </w:p>
        </w:tc>
        <w:tc>
          <w:tcPr>
            <w:tcW w:w="3014" w:type="dxa"/>
            <w:vAlign w:val="center"/>
          </w:tcPr>
          <w:p w14:paraId="1202A86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对养殖者违规使用饲料和添加物质的行政处罚</w:t>
            </w:r>
          </w:p>
        </w:tc>
        <w:tc>
          <w:tcPr>
            <w:tcW w:w="812" w:type="dxa"/>
            <w:vAlign w:val="center"/>
          </w:tcPr>
          <w:p w14:paraId="5419933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353AD7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93181E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《饲料和饲料添加剂管理条例》第四十七条第一款</w:t>
            </w:r>
            <w:r>
              <w:rPr>
                <w:rFonts w:hint="default" w:ascii="Times New Roman" w:hAnsi="Times New Roman" w:cs="Times New Roman" w:eastAsiaTheme="minorEastAsia"/>
                <w:sz w:val="24"/>
                <w:szCs w:val="24"/>
                <w:lang w:val="en-US" w:eastAsia="zh-CN"/>
              </w:rPr>
              <w:t>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1281" w:type="dxa"/>
            <w:shd w:val="clear" w:color="auto" w:fill="auto"/>
            <w:vAlign w:val="center"/>
          </w:tcPr>
          <w:p w14:paraId="03B0DB4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06BEAE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91AD13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5A53C64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96BD88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3E8E15D">
            <w:pPr>
              <w:pStyle w:val="6"/>
              <w:jc w:val="center"/>
              <w:rPr>
                <w:rFonts w:hint="default" w:ascii="Times New Roman" w:hAnsi="Times New Roman" w:cs="Times New Roman" w:eastAsiaTheme="minorEastAsia"/>
                <w:sz w:val="24"/>
                <w:szCs w:val="24"/>
              </w:rPr>
            </w:pPr>
          </w:p>
        </w:tc>
      </w:tr>
      <w:tr w14:paraId="7EB55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6FC4A6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86</w:t>
            </w:r>
          </w:p>
        </w:tc>
        <w:tc>
          <w:tcPr>
            <w:tcW w:w="3014" w:type="dxa"/>
            <w:vAlign w:val="center"/>
          </w:tcPr>
          <w:p w14:paraId="3FFB0A5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对在不能从事养殖活动的水域从事养殖业的行政处罚</w:t>
            </w:r>
          </w:p>
        </w:tc>
        <w:tc>
          <w:tcPr>
            <w:tcW w:w="812" w:type="dxa"/>
            <w:vAlign w:val="center"/>
          </w:tcPr>
          <w:p w14:paraId="60E6607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5059AF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C5C1D3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《四川省〈中华人民共和国渔业法〉实施办法》第七条</w:t>
            </w:r>
            <w:r>
              <w:rPr>
                <w:rFonts w:hint="default" w:ascii="Times New Roman" w:hAnsi="Times New Roman" w:cs="Times New Roman" w:eastAsiaTheme="minorEastAsia"/>
                <w:sz w:val="24"/>
                <w:szCs w:val="24"/>
                <w:lang w:val="en-US" w:eastAsia="zh-CN"/>
              </w:rPr>
              <w:t>禁止在生活饮用水地表水源一级保护区和县级以上人民政府确定的不能从事养殖活动的水域从事养殖业。</w:t>
            </w:r>
          </w:p>
          <w:p w14:paraId="4EF3C81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第三十一条</w:t>
            </w:r>
            <w:r>
              <w:rPr>
                <w:rFonts w:hint="default" w:ascii="Times New Roman" w:hAnsi="Times New Roman" w:cs="Times New Roman" w:eastAsiaTheme="minorEastAsia"/>
                <w:sz w:val="24"/>
                <w:szCs w:val="24"/>
                <w:lang w:val="en-US" w:eastAsia="zh-CN"/>
              </w:rPr>
              <w:t>违反本办法第七条规定，在县级以上人民政府确定的不能从事养殖活动的水域从事养殖业的，责令停止养殖生产，限期拆除养殖设施，没收渔获物和违法所得，可并处1000元以上1万元以下罚款。</w:t>
            </w:r>
          </w:p>
        </w:tc>
        <w:tc>
          <w:tcPr>
            <w:tcW w:w="1281" w:type="dxa"/>
            <w:shd w:val="clear" w:color="auto" w:fill="auto"/>
            <w:vAlign w:val="center"/>
          </w:tcPr>
          <w:p w14:paraId="3487559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C95360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8A3654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35868C6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1F81FD9">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A1804CE">
            <w:pPr>
              <w:pStyle w:val="6"/>
              <w:jc w:val="center"/>
              <w:rPr>
                <w:rFonts w:hint="default" w:ascii="Times New Roman" w:hAnsi="Times New Roman" w:cs="Times New Roman" w:eastAsiaTheme="minorEastAsia"/>
                <w:sz w:val="24"/>
                <w:szCs w:val="24"/>
              </w:rPr>
            </w:pPr>
          </w:p>
        </w:tc>
      </w:tr>
      <w:tr w14:paraId="7F526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0E48A4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97</w:t>
            </w:r>
          </w:p>
        </w:tc>
        <w:tc>
          <w:tcPr>
            <w:tcW w:w="3014" w:type="dxa"/>
            <w:vAlign w:val="center"/>
          </w:tcPr>
          <w:p w14:paraId="351E69B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对在禁渔区、禁渔期内从事游钓、水禽放养、扎巢取卵和挖沙取石，或者销售、收购在禁渔区、禁渔期内捕捞的渔获物的行政处罚</w:t>
            </w:r>
          </w:p>
        </w:tc>
        <w:tc>
          <w:tcPr>
            <w:tcW w:w="812" w:type="dxa"/>
            <w:vAlign w:val="center"/>
          </w:tcPr>
          <w:p w14:paraId="13FB1DD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2E350E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147130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《四川省〈中华人民共和国渔业法〉实施办法》第二十六条第三款</w:t>
            </w:r>
            <w:r>
              <w:rPr>
                <w:rFonts w:hint="default" w:ascii="Times New Roman" w:hAnsi="Times New Roman" w:cs="Times New Roman" w:eastAsiaTheme="minorEastAsia"/>
                <w:sz w:val="24"/>
                <w:szCs w:val="24"/>
                <w:lang w:val="en-US" w:eastAsia="zh-CN"/>
              </w:rPr>
              <w:t>在禁渔期和禁渔区内，禁止捕捞作业、游钓和水禽放养，禁止扎巢取卵、挖沙采石，禁止销售、收购在禁渔期和禁渔区内捕捞的渔获物。</w:t>
            </w:r>
          </w:p>
          <w:p w14:paraId="211057A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第三十五条</w:t>
            </w:r>
            <w:r>
              <w:rPr>
                <w:rFonts w:hint="default" w:ascii="Times New Roman" w:hAnsi="Times New Roman" w:cs="Times New Roman" w:eastAsiaTheme="minorEastAsia"/>
                <w:sz w:val="24"/>
                <w:szCs w:val="24"/>
                <w:lang w:val="en-US" w:eastAsia="zh-CN"/>
              </w:rPr>
              <w:t>违反本办法第二十六条第三款规定的，按以下规定处罚：（一）在禁渔期和禁渔区内从事游钓和水禽放养及扎巢取卵、挖沙采石的，给予警告，责令改正；拒不改正的，可并处100元以上1000元以下罚款；（二）销售、收购在禁渔区、禁渔期内捕捞的渔获物的，没收非法渔获物和违法所得，可并处相当于实物价值1至5倍的罚款。</w:t>
            </w:r>
          </w:p>
        </w:tc>
        <w:tc>
          <w:tcPr>
            <w:tcW w:w="1281" w:type="dxa"/>
            <w:shd w:val="clear" w:color="auto" w:fill="auto"/>
            <w:vAlign w:val="center"/>
          </w:tcPr>
          <w:p w14:paraId="3A9309B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52C59A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26984EA">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6F938C4">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F4F8BB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D5289B0">
            <w:pPr>
              <w:pStyle w:val="6"/>
              <w:jc w:val="center"/>
              <w:rPr>
                <w:rFonts w:hint="default" w:ascii="Times New Roman" w:hAnsi="Times New Roman" w:cs="Times New Roman" w:eastAsiaTheme="minorEastAsia"/>
                <w:sz w:val="24"/>
                <w:szCs w:val="24"/>
              </w:rPr>
            </w:pPr>
          </w:p>
        </w:tc>
      </w:tr>
      <w:tr w14:paraId="5BA00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6A9CCF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98</w:t>
            </w:r>
          </w:p>
        </w:tc>
        <w:tc>
          <w:tcPr>
            <w:tcW w:w="3014" w:type="dxa"/>
            <w:vAlign w:val="center"/>
          </w:tcPr>
          <w:p w14:paraId="1255B6A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对未经定点从事生猪屠宰活动，冒用、使用伪造、出借、转让生猪定点屠宰证书或者生猪定点屠宰标志牌的行政处罚</w:t>
            </w:r>
          </w:p>
        </w:tc>
        <w:tc>
          <w:tcPr>
            <w:tcW w:w="812" w:type="dxa"/>
            <w:vAlign w:val="center"/>
          </w:tcPr>
          <w:p w14:paraId="59AB7F0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C558CB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5826DD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《生猪屠宰管理条例》第三十一条</w:t>
            </w:r>
            <w:r>
              <w:rPr>
                <w:rFonts w:hint="default" w:ascii="Times New Roman" w:hAnsi="Times New Roman" w:cs="Times New Roman" w:eastAsiaTheme="minorEastAsia"/>
                <w:sz w:val="24"/>
                <w:szCs w:val="24"/>
                <w:lang w:val="en-US" w:eastAsia="zh-CN"/>
              </w:rPr>
              <w:t>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冒用或者使用伪造的生猪定点屠宰证书或者生猪定点屠宰标志牌的，依照前款的规定处罚。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1281" w:type="dxa"/>
            <w:shd w:val="clear" w:color="auto" w:fill="auto"/>
            <w:vAlign w:val="center"/>
          </w:tcPr>
          <w:p w14:paraId="7901038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189E5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2EEC72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52A8B01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287172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EA6B2F5">
            <w:pPr>
              <w:pStyle w:val="6"/>
              <w:jc w:val="center"/>
              <w:rPr>
                <w:rFonts w:hint="default" w:ascii="Times New Roman" w:hAnsi="Times New Roman" w:cs="Times New Roman" w:eastAsiaTheme="minorEastAsia"/>
                <w:sz w:val="24"/>
                <w:szCs w:val="24"/>
              </w:rPr>
            </w:pPr>
          </w:p>
        </w:tc>
      </w:tr>
      <w:tr w14:paraId="1D1C1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C8CDFC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99</w:t>
            </w:r>
          </w:p>
        </w:tc>
        <w:tc>
          <w:tcPr>
            <w:tcW w:w="3014" w:type="dxa"/>
            <w:vAlign w:val="center"/>
          </w:tcPr>
          <w:p w14:paraId="165C20E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对为违法生猪屠宰相关活动提供场所的行政处罚</w:t>
            </w:r>
          </w:p>
        </w:tc>
        <w:tc>
          <w:tcPr>
            <w:tcW w:w="812" w:type="dxa"/>
            <w:vAlign w:val="center"/>
          </w:tcPr>
          <w:p w14:paraId="7ED8355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96CF26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F102AA3">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《生猪屠宰管理条例》第三十七条</w:t>
            </w:r>
            <w:r>
              <w:rPr>
                <w:rFonts w:hint="default" w:ascii="Times New Roman" w:hAnsi="Times New Roman" w:cs="Times New Roman" w:eastAsiaTheme="minorEastAsia"/>
                <w:sz w:val="24"/>
                <w:szCs w:val="24"/>
                <w:lang w:val="en-US" w:eastAsia="zh-CN"/>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1281" w:type="dxa"/>
            <w:shd w:val="clear" w:color="auto" w:fill="auto"/>
            <w:vAlign w:val="center"/>
          </w:tcPr>
          <w:p w14:paraId="0E4C3B5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4289E8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7E42DC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4E2966C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CEC925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D9386E8">
            <w:pPr>
              <w:pStyle w:val="6"/>
              <w:jc w:val="center"/>
              <w:rPr>
                <w:rFonts w:hint="default" w:ascii="Times New Roman" w:hAnsi="Times New Roman" w:cs="Times New Roman" w:eastAsiaTheme="minorEastAsia"/>
                <w:sz w:val="24"/>
                <w:szCs w:val="24"/>
              </w:rPr>
            </w:pPr>
          </w:p>
        </w:tc>
      </w:tr>
      <w:tr w14:paraId="42698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D486EF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100</w:t>
            </w:r>
          </w:p>
        </w:tc>
        <w:tc>
          <w:tcPr>
            <w:tcW w:w="3014" w:type="dxa"/>
            <w:vAlign w:val="center"/>
          </w:tcPr>
          <w:p w14:paraId="4E3DB9B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对未取得农药经营许可证经营农药的行政处罚</w:t>
            </w:r>
          </w:p>
        </w:tc>
        <w:tc>
          <w:tcPr>
            <w:tcW w:w="812" w:type="dxa"/>
            <w:vAlign w:val="center"/>
          </w:tcPr>
          <w:p w14:paraId="3EB4EA9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765E6E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8FECAFA">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
                <w:bCs/>
                <w:sz w:val="24"/>
                <w:szCs w:val="24"/>
                <w:lang w:val="en-US" w:eastAsia="zh-CN"/>
              </w:rPr>
              <w:t>《农药管理条例》第五十五条第一款第一项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p>
          <w:p w14:paraId="49FC80B6">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2.《</w:t>
            </w:r>
            <w:r>
              <w:rPr>
                <w:rFonts w:hint="default" w:ascii="Times New Roman" w:hAnsi="Times New Roman" w:cs="Times New Roman" w:eastAsiaTheme="minorEastAsia"/>
                <w:b/>
                <w:bCs/>
                <w:sz w:val="24"/>
                <w:szCs w:val="24"/>
                <w:lang w:val="en-US" w:eastAsia="zh-CN"/>
              </w:rPr>
              <w:t>农药经营许可管理办法》第二十一条</w:t>
            </w:r>
            <w:r>
              <w:rPr>
                <w:rFonts w:hint="default" w:ascii="Times New Roman" w:hAnsi="Times New Roman" w:cs="Times New Roman" w:eastAsiaTheme="minorEastAsia"/>
                <w:sz w:val="24"/>
                <w:szCs w:val="24"/>
                <w:lang w:val="en-US" w:eastAsia="zh-CN"/>
              </w:rPr>
              <w:t>限制使用农药不得利用互联网经营。利用互联网经营其他农药的，应当取得农药经营许可证。超出经营范围经营限制使用农药，或者利用互联网经营限制使用农药的，按照未取得农药经营许可证处理。</w:t>
            </w:r>
          </w:p>
          <w:p w14:paraId="0F0CFDFB">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第三十条</w:t>
            </w:r>
            <w:r>
              <w:rPr>
                <w:rFonts w:hint="default" w:ascii="Times New Roman" w:hAnsi="Times New Roman" w:cs="Times New Roman" w:eastAsiaTheme="minorEastAsia"/>
                <w:sz w:val="24"/>
                <w:szCs w:val="24"/>
                <w:lang w:val="en-US" w:eastAsia="zh-CN"/>
              </w:rPr>
              <w:t>农药经营者违法从事农药经营活动的，按照《农药管理条例》的规定处罚；构成犯罪的，依法追究刑事责任。</w:t>
            </w:r>
          </w:p>
        </w:tc>
        <w:tc>
          <w:tcPr>
            <w:tcW w:w="1281" w:type="dxa"/>
            <w:shd w:val="clear" w:color="auto" w:fill="auto"/>
            <w:vAlign w:val="center"/>
          </w:tcPr>
          <w:p w14:paraId="2029764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A3ABAB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B96AC65">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61EAF9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288AD3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93F0593">
            <w:pPr>
              <w:pStyle w:val="6"/>
              <w:jc w:val="center"/>
              <w:rPr>
                <w:rFonts w:hint="default" w:ascii="Times New Roman" w:hAnsi="Times New Roman" w:cs="Times New Roman" w:eastAsiaTheme="minorEastAsia"/>
                <w:sz w:val="24"/>
                <w:szCs w:val="24"/>
              </w:rPr>
            </w:pPr>
          </w:p>
        </w:tc>
      </w:tr>
      <w:tr w14:paraId="44D8E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0D7FFD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101</w:t>
            </w:r>
          </w:p>
        </w:tc>
        <w:tc>
          <w:tcPr>
            <w:tcW w:w="3014" w:type="dxa"/>
            <w:vAlign w:val="center"/>
          </w:tcPr>
          <w:p w14:paraId="0E13460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对向未取得农药生产许可证的农药生产企业或者未取得农药经营许可证的其他农药经营者采购农药的行政处罚</w:t>
            </w:r>
          </w:p>
        </w:tc>
        <w:tc>
          <w:tcPr>
            <w:tcW w:w="812" w:type="dxa"/>
            <w:vAlign w:val="center"/>
          </w:tcPr>
          <w:p w14:paraId="415B9B6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B2FCC7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22E38A3">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《农药管理条例》第五十七条第二项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c>
          <w:tcPr>
            <w:tcW w:w="1281" w:type="dxa"/>
            <w:shd w:val="clear" w:color="auto" w:fill="auto"/>
            <w:vAlign w:val="center"/>
          </w:tcPr>
          <w:p w14:paraId="777D635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FEED2E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E0CEE1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4D90842D">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845792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D0A58D2">
            <w:pPr>
              <w:pStyle w:val="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不含“吊销农药经营许证”。</w:t>
            </w:r>
          </w:p>
        </w:tc>
      </w:tr>
      <w:tr w14:paraId="5B81C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0976FB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102</w:t>
            </w:r>
          </w:p>
        </w:tc>
        <w:tc>
          <w:tcPr>
            <w:tcW w:w="3014" w:type="dxa"/>
            <w:vAlign w:val="center"/>
          </w:tcPr>
          <w:p w14:paraId="333B749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对采购、销售未附具产品质量检验合格证或者包装、标签不符合规定的农药的行政处罚</w:t>
            </w:r>
          </w:p>
        </w:tc>
        <w:tc>
          <w:tcPr>
            <w:tcW w:w="812" w:type="dxa"/>
            <w:vAlign w:val="center"/>
          </w:tcPr>
          <w:p w14:paraId="60FA4D6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DA32E0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FBB719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《农药管理条例》第五十七条第三项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c>
          <w:tcPr>
            <w:tcW w:w="1281" w:type="dxa"/>
            <w:shd w:val="clear" w:color="auto" w:fill="auto"/>
            <w:vAlign w:val="center"/>
          </w:tcPr>
          <w:p w14:paraId="63F129D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251BB3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CCAFF5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099A4E7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09D0C25">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322C8C18">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不含“吊销农药经营许可证”。</w:t>
            </w:r>
          </w:p>
        </w:tc>
      </w:tr>
      <w:tr w14:paraId="3B00B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50EBE4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103</w:t>
            </w:r>
          </w:p>
        </w:tc>
        <w:tc>
          <w:tcPr>
            <w:tcW w:w="3014" w:type="dxa"/>
            <w:vAlign w:val="center"/>
          </w:tcPr>
          <w:p w14:paraId="1D7DA11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对不停止销售依法应当召回的农药的行政处罚</w:t>
            </w:r>
          </w:p>
        </w:tc>
        <w:tc>
          <w:tcPr>
            <w:tcW w:w="812" w:type="dxa"/>
            <w:vAlign w:val="center"/>
          </w:tcPr>
          <w:p w14:paraId="35D8526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AFA10E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4F1D70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《农药管理条例》第五十七条第四项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没收违法所得和违法经营的农药，并处5000元以上5万元以下罚款；拒不改正或者情节严重的，由发证机关吊销农药经营许可证：（四）不停止销售依法应当召回的农药。</w:t>
            </w:r>
          </w:p>
        </w:tc>
        <w:tc>
          <w:tcPr>
            <w:tcW w:w="1281" w:type="dxa"/>
            <w:shd w:val="clear" w:color="auto" w:fill="auto"/>
            <w:vAlign w:val="center"/>
          </w:tcPr>
          <w:p w14:paraId="06A0E48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2D54C2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33BD7A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2E9DA83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DDA27E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3EC9E819">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不含“吊销农药经营许可证”。</w:t>
            </w:r>
          </w:p>
        </w:tc>
      </w:tr>
      <w:tr w14:paraId="218DA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0722F0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104</w:t>
            </w:r>
          </w:p>
        </w:tc>
        <w:tc>
          <w:tcPr>
            <w:tcW w:w="3014" w:type="dxa"/>
            <w:vAlign w:val="center"/>
          </w:tcPr>
          <w:p w14:paraId="702B392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对不执行农药采购台账、销售台账制度的行政处罚</w:t>
            </w:r>
          </w:p>
        </w:tc>
        <w:tc>
          <w:tcPr>
            <w:tcW w:w="812" w:type="dxa"/>
            <w:vAlign w:val="center"/>
          </w:tcPr>
          <w:p w14:paraId="0C100D5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3F2ACA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6D2935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《农药管理条例》第五十八条第一项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拒不改正或者情节严重的，处2000元以上2万元以下罚款，并由发证机关吊销农药经营许可证：（一）不执行农药采购台账、销售台账制度。</w:t>
            </w:r>
          </w:p>
        </w:tc>
        <w:tc>
          <w:tcPr>
            <w:tcW w:w="1281" w:type="dxa"/>
            <w:shd w:val="clear" w:color="auto" w:fill="auto"/>
            <w:vAlign w:val="center"/>
          </w:tcPr>
          <w:p w14:paraId="686CB7A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C4591C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085860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752A9F8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47CA46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068E2CEB">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不含“吊销农药经营许可证”。</w:t>
            </w:r>
          </w:p>
        </w:tc>
      </w:tr>
      <w:tr w14:paraId="4AF14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FA54AE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105</w:t>
            </w:r>
          </w:p>
        </w:tc>
        <w:tc>
          <w:tcPr>
            <w:tcW w:w="3014" w:type="dxa"/>
            <w:vAlign w:val="center"/>
          </w:tcPr>
          <w:p w14:paraId="0FEAB05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对在卫生用农药以外的农药经营场所内经营食品、食用农产品、饲料等的行政处罚</w:t>
            </w:r>
          </w:p>
        </w:tc>
        <w:tc>
          <w:tcPr>
            <w:tcW w:w="812" w:type="dxa"/>
            <w:vAlign w:val="center"/>
          </w:tcPr>
          <w:p w14:paraId="43CE3B0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742007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156BEF2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《农药管理条例》第五十八条第二项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tc>
        <w:tc>
          <w:tcPr>
            <w:tcW w:w="1281" w:type="dxa"/>
            <w:shd w:val="clear" w:color="auto" w:fill="auto"/>
            <w:vAlign w:val="center"/>
          </w:tcPr>
          <w:p w14:paraId="247CC58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1D9C48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42DF1E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69D84D3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ED042F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0C2FB74F">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不含“吊销农药经营许可证”。</w:t>
            </w:r>
          </w:p>
        </w:tc>
      </w:tr>
      <w:tr w14:paraId="1908F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F8BE23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106</w:t>
            </w:r>
          </w:p>
        </w:tc>
        <w:tc>
          <w:tcPr>
            <w:tcW w:w="3014" w:type="dxa"/>
            <w:vAlign w:val="center"/>
          </w:tcPr>
          <w:p w14:paraId="53F3313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对未将卫生用农药与其他商品分柜销售的行政处罚</w:t>
            </w:r>
          </w:p>
        </w:tc>
        <w:tc>
          <w:tcPr>
            <w:tcW w:w="812" w:type="dxa"/>
            <w:vAlign w:val="center"/>
          </w:tcPr>
          <w:p w14:paraId="5FB6FC7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878D68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6E0FB0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《农药管理条例》第五十八条第三项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拒不改正或者情节严重的，处2000元以上2万元以下罚款，并由发证机关吊销农药经营许可证：（三）未将卫生用农药与其他商品分柜销售。</w:t>
            </w:r>
          </w:p>
        </w:tc>
        <w:tc>
          <w:tcPr>
            <w:tcW w:w="1281" w:type="dxa"/>
            <w:shd w:val="clear" w:color="auto" w:fill="auto"/>
            <w:vAlign w:val="center"/>
          </w:tcPr>
          <w:p w14:paraId="5449AA8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65EC3A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E61D599">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272DB26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4D468B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3B342AA1">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不含“吊销农药经营许可证”。</w:t>
            </w:r>
          </w:p>
        </w:tc>
      </w:tr>
      <w:tr w14:paraId="64037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4D65F4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107</w:t>
            </w:r>
          </w:p>
        </w:tc>
        <w:tc>
          <w:tcPr>
            <w:tcW w:w="3014" w:type="dxa"/>
            <w:vAlign w:val="center"/>
          </w:tcPr>
          <w:p w14:paraId="743C185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对不履行农药废弃物回收义务的行政处罚</w:t>
            </w:r>
          </w:p>
        </w:tc>
        <w:tc>
          <w:tcPr>
            <w:tcW w:w="812" w:type="dxa"/>
            <w:vAlign w:val="center"/>
          </w:tcPr>
          <w:p w14:paraId="20297D0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029317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A336C9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《农药管理条例》第五十八条第四项</w:t>
            </w:r>
            <w:r>
              <w:rPr>
                <w:rFonts w:hint="default" w:ascii="Times New Roman" w:hAnsi="Times New Roman" w:cs="Times New Roman" w:eastAsiaTheme="minorEastAsia"/>
                <w:sz w:val="24"/>
                <w:szCs w:val="24"/>
                <w:lang w:val="en-US" w:eastAsia="zh-CN"/>
              </w:rPr>
              <w:t>农药经营者有下列行为之一的，由县级以上地方人民政府农业主管部门责令改正；拒不改正或者情节严重的，处2000元以上2万元以下罚款，并由发证机关吊销农药经营许可证：（四）不履行农药废弃物回收义务。</w:t>
            </w:r>
          </w:p>
        </w:tc>
        <w:tc>
          <w:tcPr>
            <w:tcW w:w="1281" w:type="dxa"/>
            <w:shd w:val="clear" w:color="auto" w:fill="auto"/>
            <w:vAlign w:val="center"/>
          </w:tcPr>
          <w:p w14:paraId="3FD87D1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D8D8F9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8B6078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44CD154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3027758">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75671EE5">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不含“吊销农药经营许可证”。</w:t>
            </w:r>
          </w:p>
        </w:tc>
      </w:tr>
      <w:tr w14:paraId="6CC8C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E657A9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108</w:t>
            </w:r>
          </w:p>
        </w:tc>
        <w:tc>
          <w:tcPr>
            <w:tcW w:w="3014" w:type="dxa"/>
            <w:vAlign w:val="center"/>
          </w:tcPr>
          <w:p w14:paraId="5AC1D69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对农药使用者不按照农药的标签标注的使用范围、使用方法和剂量、使用技术要求和注意事项、安全间隔期</w:t>
            </w:r>
          </w:p>
          <w:p w14:paraId="46DFBC3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使用农药的行政处罚</w:t>
            </w:r>
          </w:p>
        </w:tc>
        <w:tc>
          <w:tcPr>
            <w:tcW w:w="812" w:type="dxa"/>
            <w:vAlign w:val="center"/>
          </w:tcPr>
          <w:p w14:paraId="35145F0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875BF0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030DAD8">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《农药管理条例》第六十条第一款第一项</w:t>
            </w:r>
            <w:r>
              <w:rPr>
                <w:rFonts w:hint="default" w:ascii="Times New Roman" w:hAnsi="Times New Roman" w:cs="Times New Roman" w:eastAsiaTheme="minorEastAsia"/>
                <w:sz w:val="24"/>
                <w:szCs w:val="24"/>
                <w:lang w:val="en-US" w:eastAsia="zh-CN"/>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w:t>
            </w:r>
          </w:p>
        </w:tc>
        <w:tc>
          <w:tcPr>
            <w:tcW w:w="1281" w:type="dxa"/>
            <w:shd w:val="clear" w:color="auto" w:fill="auto"/>
            <w:vAlign w:val="center"/>
          </w:tcPr>
          <w:p w14:paraId="60DEEE6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5DABC7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4D8CCC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680DB28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78EC5C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19146C65">
            <w:pPr>
              <w:pStyle w:val="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不含对农药使用者为农产品生产企业、食品和食用农产品仓储企业、专业化病虫害防治服务组织和从事农产品生产的农民专业合作社等单位的行政处罚。</w:t>
            </w:r>
          </w:p>
        </w:tc>
      </w:tr>
      <w:tr w14:paraId="4FD67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8CF233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109</w:t>
            </w:r>
          </w:p>
        </w:tc>
        <w:tc>
          <w:tcPr>
            <w:tcW w:w="3014" w:type="dxa"/>
            <w:vAlign w:val="center"/>
          </w:tcPr>
          <w:p w14:paraId="0DFECD7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对使用禁用的农药的</w:t>
            </w:r>
          </w:p>
          <w:p w14:paraId="23C9051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行政处罚</w:t>
            </w:r>
          </w:p>
        </w:tc>
        <w:tc>
          <w:tcPr>
            <w:tcW w:w="812" w:type="dxa"/>
            <w:vAlign w:val="center"/>
          </w:tcPr>
          <w:p w14:paraId="4E96EBC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FBDED9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1386F5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《农药管理条例》第六十条第一款第二项</w:t>
            </w:r>
            <w:r>
              <w:rPr>
                <w:rFonts w:hint="default" w:ascii="Times New Roman" w:hAnsi="Times New Roman" w:cs="Times New Roman" w:eastAsiaTheme="minorEastAsia"/>
                <w:sz w:val="24"/>
                <w:szCs w:val="24"/>
                <w:lang w:val="en-US" w:eastAsia="zh-CN"/>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二）使用禁用的农药。</w:t>
            </w:r>
          </w:p>
          <w:p w14:paraId="212B111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第二款</w:t>
            </w:r>
            <w:r>
              <w:rPr>
                <w:rFonts w:hint="default" w:ascii="Times New Roman" w:hAnsi="Times New Roman" w:cs="Times New Roman" w:eastAsiaTheme="minorEastAsia"/>
                <w:sz w:val="24"/>
                <w:szCs w:val="24"/>
                <w:lang w:val="en-US" w:eastAsia="zh-CN"/>
              </w:rPr>
              <w:t>有前款第二项规定的行为的，县级人民政府农业主管部门还应当没收禁用的农药。</w:t>
            </w:r>
          </w:p>
        </w:tc>
        <w:tc>
          <w:tcPr>
            <w:tcW w:w="1281" w:type="dxa"/>
            <w:shd w:val="clear" w:color="auto" w:fill="auto"/>
            <w:vAlign w:val="center"/>
          </w:tcPr>
          <w:p w14:paraId="507B761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FBBE03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078B1B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630F504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27A589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7CDD64A2">
            <w:pPr>
              <w:pStyle w:val="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不含对农药使用者为农产品生产企业、食品和食用农产</w:t>
            </w:r>
          </w:p>
          <w:p w14:paraId="0F7FAABD">
            <w:pPr>
              <w:pStyle w:val="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品仓储企业、专业化病虫害防治服务组织和从事农产品</w:t>
            </w:r>
          </w:p>
          <w:p w14:paraId="3F7A9505">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生产的农民专业合作社等单位的行政处罚。</w:t>
            </w:r>
          </w:p>
        </w:tc>
      </w:tr>
      <w:tr w14:paraId="26257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1C552A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110</w:t>
            </w:r>
          </w:p>
        </w:tc>
        <w:tc>
          <w:tcPr>
            <w:tcW w:w="3014" w:type="dxa"/>
            <w:vAlign w:val="center"/>
          </w:tcPr>
          <w:p w14:paraId="265483D4">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对将剧毒、高毒农药用于防治卫生害虫，用于蔬菜、瓜果、茶叶、菌类、中草药材生产或者用于水生植物的病虫害防治的行政处罚</w:t>
            </w:r>
          </w:p>
        </w:tc>
        <w:tc>
          <w:tcPr>
            <w:tcW w:w="812" w:type="dxa"/>
            <w:vAlign w:val="center"/>
          </w:tcPr>
          <w:p w14:paraId="65C5F23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3D3F1A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35CFBF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《农药管理条例》第六十条第一款第三项</w:t>
            </w:r>
            <w:r>
              <w:rPr>
                <w:rFonts w:hint="default" w:ascii="Times New Roman" w:hAnsi="Times New Roman" w:cs="Times New Roman" w:eastAsiaTheme="minorEastAsia"/>
                <w:sz w:val="24"/>
                <w:szCs w:val="24"/>
                <w:lang w:val="en-US" w:eastAsia="zh-CN"/>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三）将剧毒、高毒农药用于防治卫生害虫，用于蔬菜、瓜果、茶叶、菌类、中草药材生产或者用于水生植物的病虫害防治。</w:t>
            </w:r>
          </w:p>
        </w:tc>
        <w:tc>
          <w:tcPr>
            <w:tcW w:w="1281" w:type="dxa"/>
            <w:shd w:val="clear" w:color="auto" w:fill="auto"/>
            <w:vAlign w:val="center"/>
          </w:tcPr>
          <w:p w14:paraId="6A66E48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61CDF9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B790C0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58BA99A2">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A3F7ED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171D9D80">
            <w:pPr>
              <w:pStyle w:val="6"/>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不含对农药使用者为农产品生产企业、食品和食用农产品仓储企业、</w:t>
            </w:r>
          </w:p>
          <w:p w14:paraId="188011EC">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专业化病虫害防治服务组织和从事农产品生产的农民专业合作社等单位的行政处罚。</w:t>
            </w:r>
          </w:p>
        </w:tc>
      </w:tr>
      <w:tr w14:paraId="73F41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2" w:hRule="atLeast"/>
        </w:trPr>
        <w:tc>
          <w:tcPr>
            <w:tcW w:w="660" w:type="dxa"/>
            <w:vAlign w:val="center"/>
          </w:tcPr>
          <w:p w14:paraId="658A5EA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111</w:t>
            </w:r>
          </w:p>
        </w:tc>
        <w:tc>
          <w:tcPr>
            <w:tcW w:w="3014" w:type="dxa"/>
            <w:vAlign w:val="center"/>
          </w:tcPr>
          <w:p w14:paraId="6A062AD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对使用农药毒鱼、虾、鸟、兽等的行政处罚</w:t>
            </w:r>
          </w:p>
        </w:tc>
        <w:tc>
          <w:tcPr>
            <w:tcW w:w="812" w:type="dxa"/>
            <w:vAlign w:val="center"/>
          </w:tcPr>
          <w:p w14:paraId="240E58D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B8866B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676699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《农药管理条例》第六十条第一款第五项</w:t>
            </w:r>
            <w:r>
              <w:rPr>
                <w:rFonts w:hint="default" w:ascii="Times New Roman" w:hAnsi="Times New Roman" w:cs="Times New Roman" w:eastAsiaTheme="minorEastAsia"/>
                <w:sz w:val="24"/>
                <w:szCs w:val="24"/>
                <w:lang w:val="en-US" w:eastAsia="zh-CN"/>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tc>
        <w:tc>
          <w:tcPr>
            <w:tcW w:w="1281" w:type="dxa"/>
            <w:shd w:val="clear" w:color="auto" w:fill="auto"/>
            <w:vAlign w:val="center"/>
          </w:tcPr>
          <w:p w14:paraId="17BF39B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C70827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6EC7AB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6EE55A8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09B2A7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6929EDE7">
            <w:pPr>
              <w:pStyle w:val="6"/>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cs="Times New Roman" w:eastAsiaTheme="minorEastAsia"/>
                <w:sz w:val="24"/>
                <w:szCs w:val="24"/>
              </w:rPr>
              <w:t>不含对农药使用者为农产品生产企业、食品和食用农产品仓储企业、专业化病虫害防治服务组织和从事农产品生产的农民专业合作社等单位的行政处罚</w:t>
            </w:r>
          </w:p>
        </w:tc>
      </w:tr>
      <w:tr w14:paraId="5A9BC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18265F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112</w:t>
            </w:r>
          </w:p>
        </w:tc>
        <w:tc>
          <w:tcPr>
            <w:tcW w:w="3014" w:type="dxa"/>
            <w:vAlign w:val="center"/>
          </w:tcPr>
          <w:p w14:paraId="6AA6301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对农产品生产企业、食品和食用农产品仓储企业、专业化病虫害防治服务组织和从事农产品生产的农民专业合作社等不执行农药使用记录制度的行政处罚</w:t>
            </w:r>
          </w:p>
        </w:tc>
        <w:tc>
          <w:tcPr>
            <w:tcW w:w="812" w:type="dxa"/>
            <w:vAlign w:val="center"/>
          </w:tcPr>
          <w:p w14:paraId="12E86FC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ECB3D3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00C5B4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《农药管理条例》第六十一条</w:t>
            </w:r>
            <w:r>
              <w:rPr>
                <w:rFonts w:hint="default" w:ascii="Times New Roman" w:hAnsi="Times New Roman" w:cs="Times New Roman" w:eastAsiaTheme="minorEastAsia"/>
                <w:sz w:val="24"/>
                <w:szCs w:val="24"/>
                <w:lang w:val="en-US" w:eastAsia="zh-CN"/>
              </w:rPr>
              <w:t>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281" w:type="dxa"/>
            <w:shd w:val="clear" w:color="auto" w:fill="auto"/>
            <w:vAlign w:val="center"/>
          </w:tcPr>
          <w:p w14:paraId="139369A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EDFADF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8DA6E83">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156D53A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8B04E3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059A8E9">
            <w:pPr>
              <w:pStyle w:val="6"/>
              <w:jc w:val="center"/>
              <w:rPr>
                <w:rFonts w:hint="default" w:ascii="Times New Roman" w:hAnsi="Times New Roman" w:cs="Times New Roman" w:eastAsiaTheme="minorEastAsia"/>
                <w:sz w:val="24"/>
                <w:szCs w:val="24"/>
              </w:rPr>
            </w:pPr>
          </w:p>
        </w:tc>
      </w:tr>
      <w:tr w14:paraId="35F79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9339CE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113</w:t>
            </w:r>
          </w:p>
        </w:tc>
        <w:tc>
          <w:tcPr>
            <w:tcW w:w="3014" w:type="dxa"/>
            <w:vAlign w:val="center"/>
          </w:tcPr>
          <w:p w14:paraId="2E855BB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对制造、销售禁用的渔具的行政处罚</w:t>
            </w:r>
          </w:p>
        </w:tc>
        <w:tc>
          <w:tcPr>
            <w:tcW w:w="812" w:type="dxa"/>
            <w:vAlign w:val="center"/>
          </w:tcPr>
          <w:p w14:paraId="408030D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27EACF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8F2364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《中华人民共和国渔业法》第三十八条第三款</w:t>
            </w:r>
            <w:r>
              <w:rPr>
                <w:rFonts w:hint="default" w:ascii="Times New Roman" w:hAnsi="Times New Roman" w:cs="Times New Roman" w:eastAsiaTheme="minorEastAsia"/>
                <w:sz w:val="24"/>
                <w:szCs w:val="24"/>
                <w:lang w:val="en-US" w:eastAsia="zh-CN"/>
              </w:rPr>
              <w:t>制造、销售禁用的渔具的，没收非法制造、销售的渔具和违法所得，并处一万元以下的罚款。</w:t>
            </w:r>
          </w:p>
        </w:tc>
        <w:tc>
          <w:tcPr>
            <w:tcW w:w="1281" w:type="dxa"/>
            <w:shd w:val="clear" w:color="auto" w:fill="auto"/>
            <w:vAlign w:val="center"/>
          </w:tcPr>
          <w:p w14:paraId="439F936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71A855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3AF4FA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06473D3F">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835EF1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EF214DD">
            <w:pPr>
              <w:pStyle w:val="6"/>
              <w:jc w:val="center"/>
              <w:rPr>
                <w:rFonts w:hint="default" w:ascii="Times New Roman" w:hAnsi="Times New Roman" w:cs="Times New Roman" w:eastAsiaTheme="minorEastAsia"/>
                <w:sz w:val="24"/>
                <w:szCs w:val="24"/>
              </w:rPr>
            </w:pPr>
          </w:p>
        </w:tc>
      </w:tr>
      <w:tr w14:paraId="3D803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3BF353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114</w:t>
            </w:r>
          </w:p>
        </w:tc>
        <w:tc>
          <w:tcPr>
            <w:tcW w:w="3014" w:type="dxa"/>
            <w:vAlign w:val="center"/>
          </w:tcPr>
          <w:p w14:paraId="0805782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对农村村民未经批准或者采取欺骗手段骗取批准，非法占用土地建住宅的行政处罚</w:t>
            </w:r>
          </w:p>
        </w:tc>
        <w:tc>
          <w:tcPr>
            <w:tcW w:w="812" w:type="dxa"/>
            <w:vAlign w:val="center"/>
          </w:tcPr>
          <w:p w14:paraId="31BCC1A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270D6A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B9C0FA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《中华人民共和国土地管理法》第七十八条</w:t>
            </w:r>
            <w:r>
              <w:rPr>
                <w:rFonts w:hint="default" w:ascii="Times New Roman" w:hAnsi="Times New Roman" w:cs="Times New Roman" w:eastAsiaTheme="minorEastAsia"/>
                <w:sz w:val="24"/>
                <w:szCs w:val="24"/>
                <w:lang w:val="en-US" w:eastAsia="zh-CN"/>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1281" w:type="dxa"/>
            <w:shd w:val="clear" w:color="auto" w:fill="auto"/>
            <w:vAlign w:val="center"/>
          </w:tcPr>
          <w:p w14:paraId="3CDE84B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EB363B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E98ABC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农业农村局</w:t>
            </w:r>
          </w:p>
        </w:tc>
        <w:tc>
          <w:tcPr>
            <w:tcW w:w="1435" w:type="dxa"/>
            <w:shd w:val="clear" w:color="auto" w:fill="auto"/>
            <w:vAlign w:val="center"/>
          </w:tcPr>
          <w:p w14:paraId="4CA53F17">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CC1A9D5">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9BA5811">
            <w:pPr>
              <w:pStyle w:val="6"/>
              <w:jc w:val="center"/>
              <w:rPr>
                <w:rFonts w:hint="default" w:ascii="Times New Roman" w:hAnsi="Times New Roman" w:cs="Times New Roman" w:eastAsiaTheme="minorEastAsia"/>
                <w:sz w:val="24"/>
                <w:szCs w:val="24"/>
              </w:rPr>
            </w:pPr>
          </w:p>
        </w:tc>
      </w:tr>
      <w:tr w14:paraId="45F23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80B15B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115</w:t>
            </w:r>
          </w:p>
        </w:tc>
        <w:tc>
          <w:tcPr>
            <w:tcW w:w="3014" w:type="dxa"/>
            <w:vAlign w:val="center"/>
          </w:tcPr>
          <w:p w14:paraId="22F0170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对未经许可生产、经营烟花爆竹制品的行政处罚</w:t>
            </w:r>
          </w:p>
        </w:tc>
        <w:tc>
          <w:tcPr>
            <w:tcW w:w="812" w:type="dxa"/>
            <w:vAlign w:val="center"/>
          </w:tcPr>
          <w:p w14:paraId="6CE1F5C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0A7399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44F1A3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《烟花爆竹安全管理条例》第三十六条第一款</w:t>
            </w:r>
            <w:r>
              <w:rPr>
                <w:rFonts w:hint="default" w:ascii="Times New Roman" w:hAnsi="Times New Roman" w:cs="Times New Roman" w:eastAsiaTheme="minorEastAsia"/>
                <w:sz w:val="24"/>
                <w:szCs w:val="24"/>
                <w:lang w:val="en-US" w:eastAsia="zh-CN"/>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c>
          <w:tcPr>
            <w:tcW w:w="1281" w:type="dxa"/>
            <w:shd w:val="clear" w:color="auto" w:fill="auto"/>
            <w:vAlign w:val="center"/>
          </w:tcPr>
          <w:p w14:paraId="157F885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1972CC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C43AB9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应急管理局</w:t>
            </w:r>
          </w:p>
        </w:tc>
        <w:tc>
          <w:tcPr>
            <w:tcW w:w="1435" w:type="dxa"/>
            <w:shd w:val="clear" w:color="auto" w:fill="auto"/>
            <w:vAlign w:val="center"/>
          </w:tcPr>
          <w:p w14:paraId="650A676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CC824D3">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0789B1C">
            <w:pPr>
              <w:pStyle w:val="6"/>
              <w:jc w:val="center"/>
              <w:rPr>
                <w:rFonts w:hint="default" w:ascii="Times New Roman" w:hAnsi="Times New Roman" w:cs="Times New Roman" w:eastAsiaTheme="minorEastAsia"/>
                <w:sz w:val="24"/>
                <w:szCs w:val="24"/>
              </w:rPr>
            </w:pPr>
          </w:p>
        </w:tc>
      </w:tr>
      <w:tr w14:paraId="7923D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C8553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116</w:t>
            </w:r>
          </w:p>
        </w:tc>
        <w:tc>
          <w:tcPr>
            <w:tcW w:w="3014" w:type="dxa"/>
            <w:vAlign w:val="center"/>
          </w:tcPr>
          <w:p w14:paraId="139AD4F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对生产经营单位未落实应急预案规定的应急物资及装备的行政处罚</w:t>
            </w:r>
          </w:p>
        </w:tc>
        <w:tc>
          <w:tcPr>
            <w:tcW w:w="812" w:type="dxa"/>
            <w:vAlign w:val="center"/>
          </w:tcPr>
          <w:p w14:paraId="77D95E9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BF6C5F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66F6D6A">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《生产安全事故应急预案管理办法》第四十五条第一款第六项</w:t>
            </w:r>
            <w:r>
              <w:rPr>
                <w:rFonts w:hint="default" w:ascii="Times New Roman" w:hAnsi="Times New Roman" w:cs="Times New Roman" w:eastAsiaTheme="minorEastAsia"/>
                <w:sz w:val="24"/>
                <w:szCs w:val="24"/>
                <w:lang w:val="en-US" w:eastAsia="zh-CN"/>
              </w:rPr>
              <w:t>生产经营单位有下列情形之一的，由县级以上人民政府应急管理部门责令限期改正，可以处1万元以上3万元以下的罚款：（六）未落实应急预案规定的应急物资及装备的。</w:t>
            </w:r>
          </w:p>
        </w:tc>
        <w:tc>
          <w:tcPr>
            <w:tcW w:w="1281" w:type="dxa"/>
            <w:shd w:val="clear" w:color="auto" w:fill="auto"/>
            <w:vAlign w:val="center"/>
          </w:tcPr>
          <w:p w14:paraId="2D1F2D0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1A6B2E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61C408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应急管理局</w:t>
            </w:r>
          </w:p>
        </w:tc>
        <w:tc>
          <w:tcPr>
            <w:tcW w:w="1435" w:type="dxa"/>
            <w:shd w:val="clear" w:color="auto" w:fill="auto"/>
            <w:vAlign w:val="center"/>
          </w:tcPr>
          <w:p w14:paraId="50CF64C5">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69461E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9FC18CC">
            <w:pPr>
              <w:pStyle w:val="6"/>
              <w:jc w:val="center"/>
              <w:rPr>
                <w:rFonts w:hint="default" w:ascii="Times New Roman" w:hAnsi="Times New Roman" w:cs="Times New Roman" w:eastAsiaTheme="minorEastAsia"/>
                <w:sz w:val="24"/>
                <w:szCs w:val="24"/>
              </w:rPr>
            </w:pPr>
          </w:p>
        </w:tc>
      </w:tr>
      <w:tr w14:paraId="0E7E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1065E2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117</w:t>
            </w:r>
          </w:p>
        </w:tc>
        <w:tc>
          <w:tcPr>
            <w:tcW w:w="3014" w:type="dxa"/>
            <w:vAlign w:val="center"/>
          </w:tcPr>
          <w:p w14:paraId="31BD469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对擅自移动或者损毁古树名木保护牌以及保护设施的行政处罚</w:t>
            </w:r>
          </w:p>
        </w:tc>
        <w:tc>
          <w:tcPr>
            <w:tcW w:w="812" w:type="dxa"/>
            <w:vAlign w:val="center"/>
          </w:tcPr>
          <w:p w14:paraId="590ED5B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CE9568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1F3D727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《四川省古树名木保护条例》第二十六条第三款</w:t>
            </w:r>
            <w:r>
              <w:rPr>
                <w:rFonts w:hint="default" w:ascii="Times New Roman" w:hAnsi="Times New Roman" w:cs="Times New Roman" w:eastAsiaTheme="minorEastAsia"/>
                <w:sz w:val="24"/>
                <w:szCs w:val="24"/>
                <w:lang w:val="en-US" w:eastAsia="zh-CN"/>
              </w:rPr>
              <w:t>任何单位和个人不得擅自移动或者损毁古树名木保护牌以及保护设施。</w:t>
            </w:r>
          </w:p>
          <w:p w14:paraId="792661F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第三十九条</w:t>
            </w:r>
            <w:r>
              <w:rPr>
                <w:rFonts w:hint="default" w:ascii="Times New Roman" w:hAnsi="Times New Roman" w:cs="Times New Roman" w:eastAsiaTheme="minorEastAsia"/>
                <w:sz w:val="24"/>
                <w:szCs w:val="24"/>
                <w:lang w:val="en-US" w:eastAsia="zh-CN"/>
              </w:rPr>
              <w:t>违反本条例第二十六条第三款规定，擅自移动或者损毁古树名木保护牌以及保护设施的，由县（市、区）人民政府古树名木主管部门责令停止违法行为，限期恢复原状；逾期未恢复原状的，处五百元以上一千元以下的罚款；造成损失的，依法承担赔偿责任。</w:t>
            </w:r>
          </w:p>
        </w:tc>
        <w:tc>
          <w:tcPr>
            <w:tcW w:w="1281" w:type="dxa"/>
            <w:shd w:val="clear" w:color="auto" w:fill="auto"/>
            <w:vAlign w:val="center"/>
          </w:tcPr>
          <w:p w14:paraId="1D6B252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7BAB59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0B9BA4C">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6201550E">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E0FA8EC">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80F5F80">
            <w:pPr>
              <w:pStyle w:val="6"/>
              <w:jc w:val="center"/>
              <w:rPr>
                <w:rFonts w:hint="default" w:ascii="Times New Roman" w:hAnsi="Times New Roman" w:cs="Times New Roman" w:eastAsiaTheme="minorEastAsia"/>
                <w:sz w:val="24"/>
                <w:szCs w:val="24"/>
              </w:rPr>
            </w:pPr>
          </w:p>
        </w:tc>
      </w:tr>
      <w:tr w14:paraId="6488D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A6C5F6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118</w:t>
            </w:r>
          </w:p>
        </w:tc>
        <w:tc>
          <w:tcPr>
            <w:tcW w:w="3014" w:type="dxa"/>
            <w:vAlign w:val="center"/>
          </w:tcPr>
          <w:p w14:paraId="5D481BE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812" w:type="dxa"/>
            <w:vAlign w:val="center"/>
          </w:tcPr>
          <w:p w14:paraId="50D0CC3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85E65F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F0D950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《四川省古树名木保护条例》第二十七条第三项至第五项</w:t>
            </w:r>
            <w:r>
              <w:rPr>
                <w:rFonts w:hint="default" w:ascii="Times New Roman" w:hAnsi="Times New Roman" w:cs="Times New Roman" w:eastAsiaTheme="minorEastAsia"/>
                <w:sz w:val="24"/>
                <w:szCs w:val="24"/>
                <w:lang w:val="en-US" w:eastAsia="zh-CN"/>
              </w:rPr>
              <w:t>禁止下列损害古树名木的行为：（三）刻划、钉钉、攀爬、折枝、挖根、剥树皮，在古树名木上缠绕、悬挂重物或者以树干为支撑物；（四）在古树名木保护范围内非通透性硬化地面、敷设管线、架设电线、挖坑取土、非保护性填土、烧火、排烟、采石取沙、倾倒污水垃圾、堆放或者倾倒易燃易爆、有毒有害物品；（五）其他损害古树名木正常生长的行为。</w:t>
            </w:r>
          </w:p>
          <w:p w14:paraId="5556333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第四十一条第一款</w:t>
            </w:r>
            <w:r>
              <w:rPr>
                <w:rFonts w:hint="default" w:ascii="Times New Roman" w:hAnsi="Times New Roman" w:cs="Times New Roman" w:eastAsiaTheme="minorEastAsia"/>
                <w:sz w:val="24"/>
                <w:szCs w:val="24"/>
                <w:lang w:val="en-US" w:eastAsia="zh-CN"/>
              </w:rPr>
              <w:t>违反本条例第二十七条第三项、第四项、第五项规定，有下列行为之一的，由县（市、区）人民政府古树名木主管部门责令停止违法行为，限期恢复原状或者采取补救措施，并根据古树名木等级按照下列规定处以罚款：（一）剥损树皮、挖根的，处五千元以上三万元以下的罚款；（二）在古树名木保护范围内新建、扩建建（构）筑物、敷设管线、架设电线、非通透性硬化树干周围地面、挖坑取土、采石取沙、非保护性填土的，处三千元以上二万元以下的罚款；（三）在古树名木保护范围内烧火、排烟、倾倒污水、堆放或者倾倒易燃易爆、有毒有害物品的，处一千元以上五千元以下的罚款；（四）刻划、钉钉、攀爬、折枝的，在古树名木上缠绕、悬挂重物或者使用树干作支撑物以及其他损害古树名木生长的行为的，处五百元以上一千元以下的罚款。</w:t>
            </w:r>
          </w:p>
        </w:tc>
        <w:tc>
          <w:tcPr>
            <w:tcW w:w="1281" w:type="dxa"/>
            <w:shd w:val="clear" w:color="auto" w:fill="auto"/>
            <w:vAlign w:val="center"/>
          </w:tcPr>
          <w:p w14:paraId="53A47D1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98CB51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1082D48">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6EABB98E">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550DDD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646C015">
            <w:pPr>
              <w:pStyle w:val="6"/>
              <w:jc w:val="center"/>
              <w:rPr>
                <w:rFonts w:hint="default" w:ascii="Times New Roman" w:hAnsi="Times New Roman" w:cs="Times New Roman" w:eastAsiaTheme="minorEastAsia"/>
                <w:sz w:val="24"/>
                <w:szCs w:val="24"/>
              </w:rPr>
            </w:pPr>
          </w:p>
        </w:tc>
      </w:tr>
      <w:tr w14:paraId="0FB5B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CC04EC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119</w:t>
            </w:r>
          </w:p>
        </w:tc>
        <w:tc>
          <w:tcPr>
            <w:tcW w:w="3014" w:type="dxa"/>
            <w:vAlign w:val="center"/>
          </w:tcPr>
          <w:p w14:paraId="383C3D0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对违规在草原上采挖植物或者从事破坏草原植被活动的行政处罚</w:t>
            </w:r>
          </w:p>
        </w:tc>
        <w:tc>
          <w:tcPr>
            <w:tcW w:w="812" w:type="dxa"/>
            <w:vAlign w:val="center"/>
          </w:tcPr>
          <w:p w14:paraId="73A9039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BC6DBD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7D7AA9D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《中华人民共和国草原法》第六十七条</w:t>
            </w:r>
            <w:r>
              <w:rPr>
                <w:rFonts w:hint="default" w:ascii="Times New Roman" w:hAnsi="Times New Roman" w:cs="Times New Roman" w:eastAsiaTheme="minorEastAsia"/>
                <w:sz w:val="24"/>
                <w:szCs w:val="24"/>
                <w:lang w:val="en-US" w:eastAsia="zh-CN"/>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tc>
        <w:tc>
          <w:tcPr>
            <w:tcW w:w="1281" w:type="dxa"/>
            <w:shd w:val="clear" w:color="auto" w:fill="auto"/>
            <w:vAlign w:val="center"/>
          </w:tcPr>
          <w:p w14:paraId="7D8ACA5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572834A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08EEDF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2537CA1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C407A8F">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2F64825">
            <w:pPr>
              <w:pStyle w:val="6"/>
              <w:jc w:val="center"/>
              <w:rPr>
                <w:rFonts w:hint="default" w:ascii="Times New Roman" w:hAnsi="Times New Roman" w:cs="Times New Roman" w:eastAsiaTheme="minorEastAsia"/>
                <w:sz w:val="24"/>
                <w:szCs w:val="24"/>
              </w:rPr>
            </w:pPr>
          </w:p>
        </w:tc>
      </w:tr>
      <w:tr w14:paraId="09DBA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DBFAE9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120</w:t>
            </w:r>
          </w:p>
        </w:tc>
        <w:tc>
          <w:tcPr>
            <w:tcW w:w="3014" w:type="dxa"/>
            <w:vAlign w:val="center"/>
          </w:tcPr>
          <w:p w14:paraId="0C38D1A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对未经批准或者未按照规定在草原上进行采土、采砂、采石等活动的行政处罚</w:t>
            </w:r>
          </w:p>
        </w:tc>
        <w:tc>
          <w:tcPr>
            <w:tcW w:w="812" w:type="dxa"/>
            <w:vAlign w:val="center"/>
          </w:tcPr>
          <w:p w14:paraId="0E32712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EBDDFA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999A9E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《中华人民共和国草原法》第六十八条</w:t>
            </w:r>
            <w:r>
              <w:rPr>
                <w:rFonts w:hint="default" w:ascii="Times New Roman" w:hAnsi="Times New Roman" w:cs="Times New Roman" w:eastAsiaTheme="minorEastAsia"/>
                <w:sz w:val="24"/>
                <w:szCs w:val="24"/>
                <w:lang w:val="en-US" w:eastAsia="zh-CN"/>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tc>
        <w:tc>
          <w:tcPr>
            <w:tcW w:w="1281" w:type="dxa"/>
            <w:shd w:val="clear" w:color="auto" w:fill="auto"/>
            <w:vAlign w:val="center"/>
          </w:tcPr>
          <w:p w14:paraId="21A1BD9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A9F69D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6F13BC7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75197B0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D4CF895">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C50251E">
            <w:pPr>
              <w:pStyle w:val="6"/>
              <w:jc w:val="center"/>
              <w:rPr>
                <w:rFonts w:hint="default" w:ascii="Times New Roman" w:hAnsi="Times New Roman" w:cs="Times New Roman" w:eastAsiaTheme="minorEastAsia"/>
                <w:sz w:val="24"/>
                <w:szCs w:val="24"/>
              </w:rPr>
            </w:pPr>
          </w:p>
        </w:tc>
      </w:tr>
      <w:tr w14:paraId="282B3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80D781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121</w:t>
            </w:r>
          </w:p>
        </w:tc>
        <w:tc>
          <w:tcPr>
            <w:tcW w:w="3014" w:type="dxa"/>
            <w:vAlign w:val="center"/>
          </w:tcPr>
          <w:p w14:paraId="196D05CE">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对违反规定在草原上开展经营性旅游活动，破坏草原植被的行政处罚</w:t>
            </w:r>
          </w:p>
        </w:tc>
        <w:tc>
          <w:tcPr>
            <w:tcW w:w="812" w:type="dxa"/>
            <w:vAlign w:val="center"/>
          </w:tcPr>
          <w:p w14:paraId="442E97F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9B81CE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A528ED5">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《中华人民共和国草原法》第五十二条</w:t>
            </w:r>
            <w:r>
              <w:rPr>
                <w:rFonts w:hint="default" w:ascii="Times New Roman" w:hAnsi="Times New Roman" w:cs="Times New Roman" w:eastAsiaTheme="minorEastAsia"/>
                <w:sz w:val="24"/>
                <w:szCs w:val="24"/>
                <w:lang w:val="en-US" w:eastAsia="zh-CN"/>
              </w:rPr>
              <w:t>在草原上开展经营性旅游活动，应当符合有关草原保护、建设、利用规划，并不得侵犯草原所有者、使用者和承包经营者的合法权益，不得破坏草原植被。</w:t>
            </w:r>
          </w:p>
          <w:p w14:paraId="496C49D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第六十九条</w:t>
            </w:r>
            <w:r>
              <w:rPr>
                <w:rFonts w:hint="default" w:ascii="Times New Roman" w:hAnsi="Times New Roman" w:cs="Times New Roman" w:eastAsiaTheme="minorEastAsia"/>
                <w:sz w:val="24"/>
                <w:szCs w:val="24"/>
                <w:lang w:val="en-US" w:eastAsia="zh-CN"/>
              </w:rPr>
              <w:t>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281" w:type="dxa"/>
            <w:shd w:val="clear" w:color="auto" w:fill="auto"/>
            <w:vAlign w:val="center"/>
          </w:tcPr>
          <w:p w14:paraId="632AC5B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24B760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68D83C0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0C6E593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0D18BB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4B3D8BE">
            <w:pPr>
              <w:pStyle w:val="6"/>
              <w:jc w:val="center"/>
              <w:rPr>
                <w:rFonts w:hint="default" w:ascii="Times New Roman" w:hAnsi="Times New Roman" w:cs="Times New Roman" w:eastAsiaTheme="minorEastAsia"/>
                <w:sz w:val="24"/>
                <w:szCs w:val="24"/>
              </w:rPr>
            </w:pPr>
          </w:p>
        </w:tc>
      </w:tr>
      <w:tr w14:paraId="7B5E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DC174D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122</w:t>
            </w:r>
          </w:p>
        </w:tc>
        <w:tc>
          <w:tcPr>
            <w:tcW w:w="3014" w:type="dxa"/>
            <w:vAlign w:val="center"/>
          </w:tcPr>
          <w:p w14:paraId="225A66D0">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对未按照确认的行驶区域和行驶路线在草原上行驶，破坏草原植被的行政处罚</w:t>
            </w:r>
          </w:p>
        </w:tc>
        <w:tc>
          <w:tcPr>
            <w:tcW w:w="812" w:type="dxa"/>
            <w:vAlign w:val="center"/>
          </w:tcPr>
          <w:p w14:paraId="664F2CF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514BE2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AAB098C">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《中华人民共和国草原法》第七十条</w:t>
            </w:r>
            <w:r>
              <w:rPr>
                <w:rFonts w:hint="default" w:ascii="Times New Roman" w:hAnsi="Times New Roman" w:cs="Times New Roman" w:eastAsiaTheme="minorEastAsia"/>
                <w:sz w:val="24"/>
                <w:szCs w:val="24"/>
                <w:lang w:val="en-US" w:eastAsia="zh-CN"/>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1281" w:type="dxa"/>
            <w:shd w:val="clear" w:color="auto" w:fill="auto"/>
            <w:vAlign w:val="center"/>
          </w:tcPr>
          <w:p w14:paraId="7A63CA5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D1B2DC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F8D6EE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5C906A2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5F347C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DC6514B">
            <w:pPr>
              <w:pStyle w:val="6"/>
              <w:jc w:val="center"/>
              <w:rPr>
                <w:rFonts w:hint="default" w:ascii="Times New Roman" w:hAnsi="Times New Roman" w:cs="Times New Roman" w:eastAsiaTheme="minorEastAsia"/>
                <w:sz w:val="24"/>
                <w:szCs w:val="24"/>
              </w:rPr>
            </w:pPr>
          </w:p>
        </w:tc>
      </w:tr>
      <w:tr w14:paraId="62224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85C2DE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123</w:t>
            </w:r>
          </w:p>
        </w:tc>
        <w:tc>
          <w:tcPr>
            <w:tcW w:w="3014" w:type="dxa"/>
            <w:vAlign w:val="center"/>
          </w:tcPr>
          <w:p w14:paraId="0DA033C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对经营性采挖天然草皮的行政处罚</w:t>
            </w:r>
          </w:p>
        </w:tc>
        <w:tc>
          <w:tcPr>
            <w:tcW w:w="812" w:type="dxa"/>
            <w:vAlign w:val="center"/>
          </w:tcPr>
          <w:p w14:paraId="6D628C0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63F952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F84B52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《四川省〈中华人民共和国草原法〉实施办法》第二十一条第一款</w:t>
            </w:r>
            <w:r>
              <w:rPr>
                <w:rFonts w:hint="default" w:ascii="Times New Roman" w:hAnsi="Times New Roman" w:cs="Times New Roman" w:eastAsiaTheme="minorEastAsia"/>
                <w:sz w:val="24"/>
                <w:szCs w:val="24"/>
                <w:lang w:val="en-US" w:eastAsia="zh-CN"/>
              </w:rPr>
              <w:t>禁止经营性采挖天然草皮。确需在草原上采挖天然草皮的，应当报县级人民政府草原行政主管部门批准，并交纳草原植被恢复保证金。</w:t>
            </w:r>
          </w:p>
          <w:p w14:paraId="5B19E11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第二十八条</w:t>
            </w:r>
            <w:r>
              <w:rPr>
                <w:rFonts w:hint="default" w:ascii="Times New Roman" w:hAnsi="Times New Roman" w:cs="Times New Roman" w:eastAsiaTheme="minorEastAsia"/>
                <w:sz w:val="24"/>
                <w:szCs w:val="24"/>
                <w:lang w:val="en-US" w:eastAsia="zh-CN"/>
              </w:rPr>
              <w:t>违反本实施办法第二十一条第一款规定的，由县级人民政府草原行政主管部门责令停止违法行为，限期恢复植被，没收非法财物和违法所得，可并处违法所得1倍以上2倍以下的罚款；没有违法所得的，可处以2万元以下的罚款；给草原承包方或者使用方造成损失的，依法承担赔偿责任。</w:t>
            </w:r>
          </w:p>
        </w:tc>
        <w:tc>
          <w:tcPr>
            <w:tcW w:w="1281" w:type="dxa"/>
            <w:shd w:val="clear" w:color="auto" w:fill="auto"/>
            <w:vAlign w:val="center"/>
          </w:tcPr>
          <w:p w14:paraId="4651C1B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0D937D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1FC1C4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67D2B1F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8C4BA7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D36BAC3">
            <w:pPr>
              <w:pStyle w:val="6"/>
              <w:jc w:val="center"/>
              <w:rPr>
                <w:rFonts w:hint="default" w:ascii="Times New Roman" w:hAnsi="Times New Roman" w:cs="Times New Roman" w:eastAsiaTheme="minorEastAsia"/>
                <w:sz w:val="24"/>
                <w:szCs w:val="24"/>
              </w:rPr>
            </w:pPr>
          </w:p>
        </w:tc>
      </w:tr>
      <w:tr w14:paraId="60665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9470FA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124</w:t>
            </w:r>
          </w:p>
        </w:tc>
        <w:tc>
          <w:tcPr>
            <w:tcW w:w="3014" w:type="dxa"/>
            <w:vAlign w:val="center"/>
          </w:tcPr>
          <w:p w14:paraId="1FC8860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对未经批准在草原上野外用火或者进行爆破、勘察和施工等活动，未取得草原防火通行证进入草原防火管制区的行政处罚</w:t>
            </w:r>
          </w:p>
        </w:tc>
        <w:tc>
          <w:tcPr>
            <w:tcW w:w="812" w:type="dxa"/>
            <w:vAlign w:val="center"/>
          </w:tcPr>
          <w:p w14:paraId="22B0D96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338EA30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D6A2214">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《草原防火条例》第四十四条</w:t>
            </w:r>
            <w:r>
              <w:rPr>
                <w:rFonts w:hint="default" w:ascii="Times New Roman" w:hAnsi="Times New Roman" w:cs="Times New Roman" w:eastAsiaTheme="minorEastAsia"/>
                <w:sz w:val="24"/>
                <w:szCs w:val="24"/>
                <w:lang w:val="en-US" w:eastAsia="zh-CN"/>
              </w:rPr>
              <w:t>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一）未经批准在草原上野外用火或者进行爆破、勘察和施工等活动的；（二）未取得草原防火通行证进入草原防火管制区的。</w:t>
            </w:r>
          </w:p>
        </w:tc>
        <w:tc>
          <w:tcPr>
            <w:tcW w:w="1281" w:type="dxa"/>
            <w:shd w:val="clear" w:color="auto" w:fill="auto"/>
            <w:vAlign w:val="center"/>
          </w:tcPr>
          <w:p w14:paraId="7CFD804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32CE9A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C109FFC">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6ADB937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54CA79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FDCEF28">
            <w:pPr>
              <w:pStyle w:val="6"/>
              <w:jc w:val="center"/>
              <w:rPr>
                <w:rFonts w:hint="default" w:ascii="Times New Roman" w:hAnsi="Times New Roman" w:cs="Times New Roman" w:eastAsiaTheme="minorEastAsia"/>
                <w:sz w:val="24"/>
                <w:szCs w:val="24"/>
              </w:rPr>
            </w:pPr>
          </w:p>
        </w:tc>
      </w:tr>
      <w:tr w14:paraId="68FCE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22C50A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125</w:t>
            </w:r>
          </w:p>
        </w:tc>
        <w:tc>
          <w:tcPr>
            <w:tcW w:w="3014" w:type="dxa"/>
            <w:vAlign w:val="center"/>
          </w:tcPr>
          <w:p w14:paraId="3DB6978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对草原防火未采取防火措施、未安装防火装置、丢弃火种、不遵守防火安全操作规程和未按照规定用火的行政处罚</w:t>
            </w:r>
          </w:p>
        </w:tc>
        <w:tc>
          <w:tcPr>
            <w:tcW w:w="812" w:type="dxa"/>
            <w:vAlign w:val="center"/>
          </w:tcPr>
          <w:p w14:paraId="65B492C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1E391B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3B71AA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《草原防火条例》第四十五条</w:t>
            </w:r>
            <w:r>
              <w:rPr>
                <w:rFonts w:hint="default" w:ascii="Times New Roman" w:hAnsi="Times New Roman" w:cs="Times New Roman" w:eastAsiaTheme="minorEastAsia"/>
                <w:sz w:val="24"/>
                <w:szCs w:val="24"/>
                <w:lang w:val="en-US" w:eastAsia="zh-CN"/>
              </w:rPr>
              <w:t>草原防火条例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一）在草原防火期内，经批准的野外用火未采取防火措施的；（二）在草原上作业和行驶的机动车辆未安装防火装置或者存在火灾隐患的；（三）在草原上行驶的公共交通工具上的司机、乘务人员或者旅客丢弃火种的；（四）在草原上从事野外作业的机械设备作业人员不遵守防火安全操作规程或者对野外作业的机械设备未采取防火措施的；（五）在草原防火管制区内未按照规定用火的。</w:t>
            </w:r>
          </w:p>
        </w:tc>
        <w:tc>
          <w:tcPr>
            <w:tcW w:w="1281" w:type="dxa"/>
            <w:shd w:val="clear" w:color="auto" w:fill="auto"/>
            <w:vAlign w:val="center"/>
          </w:tcPr>
          <w:p w14:paraId="65E64A1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9976BC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6E5008D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4C15AACE">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7920F76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B74121D">
            <w:pPr>
              <w:pStyle w:val="6"/>
              <w:jc w:val="center"/>
              <w:rPr>
                <w:rFonts w:hint="default" w:ascii="Times New Roman" w:hAnsi="Times New Roman" w:cs="Times New Roman" w:eastAsiaTheme="minorEastAsia"/>
                <w:sz w:val="24"/>
                <w:szCs w:val="24"/>
              </w:rPr>
            </w:pPr>
          </w:p>
        </w:tc>
      </w:tr>
      <w:tr w14:paraId="3AA8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C1CC83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126</w:t>
            </w:r>
          </w:p>
        </w:tc>
        <w:tc>
          <w:tcPr>
            <w:tcW w:w="3014" w:type="dxa"/>
            <w:vAlign w:val="center"/>
          </w:tcPr>
          <w:p w14:paraId="100BCB9F">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对未建立或者未落实草原防火责任制的行政处罚</w:t>
            </w:r>
          </w:p>
        </w:tc>
        <w:tc>
          <w:tcPr>
            <w:tcW w:w="812" w:type="dxa"/>
            <w:vAlign w:val="center"/>
          </w:tcPr>
          <w:p w14:paraId="621FE2A9">
            <w:pPr>
              <w:bidi w:val="0"/>
              <w:jc w:val="center"/>
              <w:rPr>
                <w:rFonts w:hint="default" w:ascii="Times New Roman" w:hAnsi="Times New Roman" w:cs="Times New Roman" w:eastAsiaTheme="minorEastAsia"/>
                <w:sz w:val="24"/>
                <w:szCs w:val="24"/>
                <w:lang w:val="en-US" w:eastAsia="zh-CN"/>
              </w:rPr>
            </w:pPr>
          </w:p>
        </w:tc>
        <w:tc>
          <w:tcPr>
            <w:tcW w:w="6667" w:type="dxa"/>
            <w:vAlign w:val="top"/>
          </w:tcPr>
          <w:p w14:paraId="3242316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《草原防火条例》第四十六条</w:t>
            </w:r>
            <w:r>
              <w:rPr>
                <w:rFonts w:hint="default" w:ascii="Times New Roman" w:hAnsi="Times New Roman" w:cs="Times New Roman" w:eastAsiaTheme="minorEastAsia"/>
                <w:sz w:val="24"/>
                <w:szCs w:val="24"/>
                <w:lang w:val="en-US" w:eastAsia="zh-CN"/>
              </w:rPr>
              <w:t>违反本条例规定，草原上的生产经营等单位未建立或者未落实草原防火责任制的，由县级以上地方人民政府草原防火主管部门责令改正，对有关责任单位处5000元以上2万元以下罚款。</w:t>
            </w:r>
          </w:p>
        </w:tc>
        <w:tc>
          <w:tcPr>
            <w:tcW w:w="1281" w:type="dxa"/>
            <w:shd w:val="clear" w:color="auto" w:fill="auto"/>
            <w:vAlign w:val="center"/>
          </w:tcPr>
          <w:p w14:paraId="6A38F20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433B6A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71403B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191A4E2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56082EC">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C8A1418">
            <w:pPr>
              <w:pStyle w:val="6"/>
              <w:jc w:val="center"/>
              <w:rPr>
                <w:rFonts w:hint="default" w:ascii="Times New Roman" w:hAnsi="Times New Roman" w:cs="Times New Roman" w:eastAsiaTheme="minorEastAsia"/>
                <w:sz w:val="24"/>
                <w:szCs w:val="24"/>
              </w:rPr>
            </w:pPr>
          </w:p>
        </w:tc>
      </w:tr>
      <w:tr w14:paraId="4C410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06C844E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127</w:t>
            </w:r>
          </w:p>
        </w:tc>
        <w:tc>
          <w:tcPr>
            <w:tcW w:w="3014" w:type="dxa"/>
            <w:vAlign w:val="center"/>
          </w:tcPr>
          <w:p w14:paraId="5A236FF3">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对森林防火期内未经批准擅自在森林防火区内野外用火的行政处罚</w:t>
            </w:r>
          </w:p>
        </w:tc>
        <w:tc>
          <w:tcPr>
            <w:tcW w:w="812" w:type="dxa"/>
            <w:vAlign w:val="center"/>
          </w:tcPr>
          <w:p w14:paraId="182758E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B5B42A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0FCC6236">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《森林防火条例》第五十条</w:t>
            </w:r>
            <w:r>
              <w:rPr>
                <w:rFonts w:hint="default" w:ascii="Times New Roman" w:hAnsi="Times New Roman" w:cs="Times New Roman" w:eastAsiaTheme="minorEastAsia"/>
                <w:sz w:val="24"/>
                <w:szCs w:val="24"/>
                <w:lang w:val="en-US" w:eastAsia="zh-CN"/>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1281" w:type="dxa"/>
            <w:shd w:val="clear" w:color="auto" w:fill="auto"/>
            <w:vAlign w:val="center"/>
          </w:tcPr>
          <w:p w14:paraId="4EE5FFF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D0705E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61FE92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789C3A9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04B9D6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7B44843">
            <w:pPr>
              <w:pStyle w:val="6"/>
              <w:jc w:val="center"/>
              <w:rPr>
                <w:rFonts w:hint="default" w:ascii="Times New Roman" w:hAnsi="Times New Roman" w:cs="Times New Roman" w:eastAsiaTheme="minorEastAsia"/>
                <w:sz w:val="24"/>
                <w:szCs w:val="24"/>
              </w:rPr>
            </w:pPr>
          </w:p>
        </w:tc>
      </w:tr>
      <w:tr w14:paraId="24A1B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1187BCB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128</w:t>
            </w:r>
          </w:p>
        </w:tc>
        <w:tc>
          <w:tcPr>
            <w:tcW w:w="3014" w:type="dxa"/>
            <w:vAlign w:val="center"/>
          </w:tcPr>
          <w:p w14:paraId="7212E99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对森林高火险期内未经批准擅自进入森林高火险区活动的行政</w:t>
            </w:r>
          </w:p>
          <w:p w14:paraId="764FD0D6">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812" w:type="dxa"/>
            <w:vAlign w:val="center"/>
          </w:tcPr>
          <w:p w14:paraId="2FD760F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77E997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A796211">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《森林防火条例》第五十二条第三项</w:t>
            </w:r>
            <w:r>
              <w:rPr>
                <w:rFonts w:hint="default" w:ascii="Times New Roman" w:hAnsi="Times New Roman" w:cs="Times New Roman" w:eastAsiaTheme="minorEastAsia"/>
                <w:sz w:val="24"/>
                <w:szCs w:val="24"/>
                <w:lang w:val="en-US" w:eastAsia="zh-CN"/>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tc>
        <w:tc>
          <w:tcPr>
            <w:tcW w:w="1281" w:type="dxa"/>
            <w:shd w:val="clear" w:color="auto" w:fill="auto"/>
            <w:vAlign w:val="center"/>
          </w:tcPr>
          <w:p w14:paraId="6180970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8DC676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F75745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7E86EBF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84F2A6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2BA2EA9">
            <w:pPr>
              <w:pStyle w:val="6"/>
              <w:jc w:val="center"/>
              <w:rPr>
                <w:rFonts w:hint="default" w:ascii="Times New Roman" w:hAnsi="Times New Roman" w:cs="Times New Roman" w:eastAsiaTheme="minorEastAsia"/>
                <w:sz w:val="24"/>
                <w:szCs w:val="24"/>
              </w:rPr>
            </w:pPr>
          </w:p>
        </w:tc>
      </w:tr>
      <w:tr w14:paraId="37583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660" w:type="dxa"/>
            <w:vAlign w:val="center"/>
          </w:tcPr>
          <w:p w14:paraId="42DDDA6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129</w:t>
            </w:r>
          </w:p>
        </w:tc>
        <w:tc>
          <w:tcPr>
            <w:tcW w:w="3014" w:type="dxa"/>
            <w:vAlign w:val="center"/>
          </w:tcPr>
          <w:p w14:paraId="58417402">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对森林防火期内进入森林防火区的机动车辆未安装森林防火装置的行政处罚</w:t>
            </w:r>
          </w:p>
        </w:tc>
        <w:tc>
          <w:tcPr>
            <w:tcW w:w="812" w:type="dxa"/>
            <w:vAlign w:val="center"/>
          </w:tcPr>
          <w:p w14:paraId="5C5C4A9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79C0D0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B02C5A9">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《森林防火条例》第五十二条第二项</w:t>
            </w:r>
            <w:r>
              <w:rPr>
                <w:rFonts w:hint="default" w:ascii="Times New Roman" w:hAnsi="Times New Roman" w:cs="Times New Roman" w:eastAsiaTheme="minorEastAsia"/>
                <w:sz w:val="24"/>
                <w:szCs w:val="24"/>
                <w:lang w:val="en-US" w:eastAsia="zh-CN"/>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tc>
        <w:tc>
          <w:tcPr>
            <w:tcW w:w="1281" w:type="dxa"/>
            <w:shd w:val="clear" w:color="auto" w:fill="auto"/>
            <w:vAlign w:val="center"/>
          </w:tcPr>
          <w:p w14:paraId="1A45AF5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B59D3D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96DB48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056F2AF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921BA13">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466419D6">
            <w:pPr>
              <w:pStyle w:val="6"/>
              <w:jc w:val="center"/>
              <w:rPr>
                <w:rFonts w:hint="default" w:ascii="Times New Roman" w:hAnsi="Times New Roman" w:cs="Times New Roman" w:eastAsiaTheme="minorEastAsia"/>
                <w:sz w:val="24"/>
                <w:szCs w:val="24"/>
              </w:rPr>
            </w:pPr>
          </w:p>
        </w:tc>
      </w:tr>
      <w:tr w14:paraId="746F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660" w:type="dxa"/>
            <w:vAlign w:val="center"/>
          </w:tcPr>
          <w:p w14:paraId="3784D81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130</w:t>
            </w:r>
          </w:p>
        </w:tc>
        <w:tc>
          <w:tcPr>
            <w:tcW w:w="3014" w:type="dxa"/>
            <w:vAlign w:val="center"/>
          </w:tcPr>
          <w:p w14:paraId="127BCF51">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对森林防火期内森林、林木、林地的经营单位未设置森林防火警示宣传标志的行政处罚</w:t>
            </w:r>
          </w:p>
        </w:tc>
        <w:tc>
          <w:tcPr>
            <w:tcW w:w="812" w:type="dxa"/>
            <w:vAlign w:val="center"/>
          </w:tcPr>
          <w:p w14:paraId="057A8F04">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2E6572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C121357">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《森林防火条例》第五十二条第一项</w:t>
            </w:r>
            <w:r>
              <w:rPr>
                <w:rFonts w:hint="default" w:ascii="Times New Roman" w:hAnsi="Times New Roman" w:cs="Times New Roman" w:eastAsiaTheme="minorEastAsia"/>
                <w:sz w:val="24"/>
                <w:szCs w:val="24"/>
                <w:lang w:val="en-US" w:eastAsia="zh-CN"/>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tc>
        <w:tc>
          <w:tcPr>
            <w:tcW w:w="1281" w:type="dxa"/>
            <w:shd w:val="clear" w:color="auto" w:fill="auto"/>
            <w:vAlign w:val="center"/>
          </w:tcPr>
          <w:p w14:paraId="403F68A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2C146A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E75949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72E049F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B250F3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9561358">
            <w:pPr>
              <w:pStyle w:val="6"/>
              <w:jc w:val="center"/>
              <w:rPr>
                <w:rFonts w:hint="default" w:ascii="Times New Roman" w:hAnsi="Times New Roman" w:cs="Times New Roman" w:eastAsiaTheme="minorEastAsia"/>
                <w:sz w:val="24"/>
                <w:szCs w:val="24"/>
              </w:rPr>
            </w:pPr>
          </w:p>
        </w:tc>
      </w:tr>
      <w:tr w14:paraId="259F5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465EAF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131</w:t>
            </w:r>
          </w:p>
        </w:tc>
        <w:tc>
          <w:tcPr>
            <w:tcW w:w="3014" w:type="dxa"/>
            <w:vAlign w:val="center"/>
          </w:tcPr>
          <w:p w14:paraId="697BDA47">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对森林防火区内的有关单位或者个人拒绝接受森林防火检查或者接到森林火灾隐患整改通知书逾期不消除火灾隐患的行政处罚</w:t>
            </w:r>
          </w:p>
        </w:tc>
        <w:tc>
          <w:tcPr>
            <w:tcW w:w="812" w:type="dxa"/>
            <w:vAlign w:val="center"/>
          </w:tcPr>
          <w:p w14:paraId="27F6B9E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8FC738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9C788D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《森林防火条例》第四十九条</w:t>
            </w:r>
            <w:r>
              <w:rPr>
                <w:rFonts w:hint="default" w:ascii="Times New Roman" w:hAnsi="Times New Roman" w:cs="Times New Roman" w:eastAsiaTheme="minorEastAsia"/>
                <w:sz w:val="24"/>
                <w:szCs w:val="24"/>
                <w:lang w:val="en-US" w:eastAsia="zh-CN"/>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1281" w:type="dxa"/>
            <w:shd w:val="clear" w:color="auto" w:fill="auto"/>
            <w:vAlign w:val="center"/>
          </w:tcPr>
          <w:p w14:paraId="5816EBB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47379F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1C002CD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50E4801B">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1875030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266F69A6">
            <w:pPr>
              <w:pStyle w:val="6"/>
              <w:jc w:val="center"/>
              <w:rPr>
                <w:rFonts w:hint="default" w:ascii="Times New Roman" w:hAnsi="Times New Roman" w:cs="Times New Roman" w:eastAsiaTheme="minorEastAsia"/>
                <w:sz w:val="24"/>
                <w:szCs w:val="24"/>
              </w:rPr>
            </w:pPr>
          </w:p>
        </w:tc>
      </w:tr>
      <w:tr w14:paraId="65467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41ADDE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132</w:t>
            </w:r>
          </w:p>
        </w:tc>
        <w:tc>
          <w:tcPr>
            <w:tcW w:w="3014" w:type="dxa"/>
            <w:vAlign w:val="center"/>
          </w:tcPr>
          <w:p w14:paraId="5E74C6C5">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对森林、林木、林地的经营单位或者个人未履行森林防火责任的行政处罚</w:t>
            </w:r>
          </w:p>
        </w:tc>
        <w:tc>
          <w:tcPr>
            <w:tcW w:w="812" w:type="dxa"/>
            <w:vAlign w:val="center"/>
          </w:tcPr>
          <w:p w14:paraId="7325695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C8D1CD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BB10430">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《森林防火条例》第四十八条</w:t>
            </w:r>
            <w:r>
              <w:rPr>
                <w:rFonts w:hint="default" w:ascii="Times New Roman" w:hAnsi="Times New Roman" w:cs="Times New Roman" w:eastAsiaTheme="minorEastAsia"/>
                <w:sz w:val="24"/>
                <w:szCs w:val="24"/>
                <w:lang w:val="en-US" w:eastAsia="zh-CN"/>
              </w:rPr>
              <w:t>违反本条例规定，森林、林木、林地的经营单位或者个人未履行森林防火责任的，由县级以上地方人民政府林业主管部门责令改正，对个人处500元以上5000元以下罚款，对单位处1万元以上5万元以下罚款。</w:t>
            </w:r>
          </w:p>
        </w:tc>
        <w:tc>
          <w:tcPr>
            <w:tcW w:w="1281" w:type="dxa"/>
            <w:shd w:val="clear" w:color="auto" w:fill="auto"/>
            <w:vAlign w:val="center"/>
          </w:tcPr>
          <w:p w14:paraId="76718CF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C4F9E9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563433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1A1211A9">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F1D7EBA">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2F42E2A">
            <w:pPr>
              <w:pStyle w:val="6"/>
              <w:jc w:val="center"/>
              <w:rPr>
                <w:rFonts w:hint="default" w:ascii="Times New Roman" w:hAnsi="Times New Roman" w:cs="Times New Roman" w:eastAsiaTheme="minorEastAsia"/>
                <w:sz w:val="24"/>
                <w:szCs w:val="24"/>
              </w:rPr>
            </w:pPr>
          </w:p>
        </w:tc>
      </w:tr>
      <w:tr w14:paraId="0FC1E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7BD8F2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133</w:t>
            </w:r>
          </w:p>
        </w:tc>
        <w:tc>
          <w:tcPr>
            <w:tcW w:w="3014" w:type="dxa"/>
            <w:vAlign w:val="center"/>
          </w:tcPr>
          <w:p w14:paraId="6399FBB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对破坏和侵占森林防火通道、标志、宣传碑（牌）、瞭望台（塔）、隔离带等设施设备的行政处罚</w:t>
            </w:r>
          </w:p>
        </w:tc>
        <w:tc>
          <w:tcPr>
            <w:tcW w:w="812" w:type="dxa"/>
            <w:vAlign w:val="center"/>
          </w:tcPr>
          <w:p w14:paraId="31775B3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2E448FC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0C3E533">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《四川省森林防火条例》第四十四条</w:t>
            </w:r>
            <w:r>
              <w:rPr>
                <w:rFonts w:hint="default" w:ascii="Times New Roman" w:hAnsi="Times New Roman" w:cs="Times New Roman" w:eastAsiaTheme="minorEastAsia"/>
                <w:sz w:val="24"/>
                <w:szCs w:val="24"/>
                <w:lang w:val="en-US" w:eastAsia="zh-CN"/>
              </w:rPr>
              <w:t>违反本条例规定，破坏和侵占森林防火通道、标志、宣传碑（牌）、瞭望台（塔）、隔离带等设施设备的，依法赔偿损失，由县级以上地方人民政府林业行政主管部门责令停止违法行为，对个人并处五百元以上二千元以下罚款，对单位并处一万元以上三万元以下罚款。</w:t>
            </w:r>
          </w:p>
        </w:tc>
        <w:tc>
          <w:tcPr>
            <w:tcW w:w="1281" w:type="dxa"/>
            <w:shd w:val="clear" w:color="auto" w:fill="auto"/>
            <w:vAlign w:val="center"/>
          </w:tcPr>
          <w:p w14:paraId="4EC16D1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F513DC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B237F81">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4B5ACAD3">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FDE960B">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4A274B2">
            <w:pPr>
              <w:pStyle w:val="6"/>
              <w:jc w:val="center"/>
              <w:rPr>
                <w:rFonts w:hint="default" w:ascii="Times New Roman" w:hAnsi="Times New Roman" w:cs="Times New Roman" w:eastAsiaTheme="minorEastAsia"/>
                <w:sz w:val="24"/>
                <w:szCs w:val="24"/>
              </w:rPr>
            </w:pPr>
          </w:p>
        </w:tc>
      </w:tr>
      <w:tr w14:paraId="4C809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43A407B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134</w:t>
            </w:r>
          </w:p>
        </w:tc>
        <w:tc>
          <w:tcPr>
            <w:tcW w:w="3014" w:type="dxa"/>
            <w:vAlign w:val="center"/>
          </w:tcPr>
          <w:p w14:paraId="3E87145B">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对森林防火期内携带火种和易燃易爆物品进入森林防火区或其他野外违规用火行为的行政处罚</w:t>
            </w:r>
          </w:p>
        </w:tc>
        <w:tc>
          <w:tcPr>
            <w:tcW w:w="812" w:type="dxa"/>
            <w:vAlign w:val="center"/>
          </w:tcPr>
          <w:p w14:paraId="2A32F0C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8365A3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242A9CF">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《四川省森林防火条例》第四十三条第二项、第三项</w:t>
            </w:r>
            <w:r>
              <w:rPr>
                <w:rFonts w:hint="default" w:ascii="Times New Roman" w:hAnsi="Times New Roman" w:cs="Times New Roman" w:eastAsiaTheme="minorEastAsia"/>
                <w:sz w:val="24"/>
                <w:szCs w:val="24"/>
                <w:lang w:val="en-US" w:eastAsia="zh-CN"/>
              </w:rPr>
              <w:t>违反本条例规定，森林防火期内，在森林防火区有下列行为之一，未引起森林火灾的，由县级以上地方人民政府林业行政主管部门责令停止违法行为，给予警告，对个人处二百元以上二千元以下罚款，对单位处二千元以上一万元以下罚款；引起森林火灾的，对个人处二千元以上五千元以下罚款，对单位处一万元以上五万元以下罚款：（二）携带火种和易燃易爆物品进入森林防火区的；（三）其他野外违规用火行为。</w:t>
            </w:r>
          </w:p>
        </w:tc>
        <w:tc>
          <w:tcPr>
            <w:tcW w:w="1281" w:type="dxa"/>
            <w:shd w:val="clear" w:color="auto" w:fill="auto"/>
            <w:vAlign w:val="center"/>
          </w:tcPr>
          <w:p w14:paraId="366A121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28D0C50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54205953">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554B339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280CEF0A">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8114BDA">
            <w:pPr>
              <w:pStyle w:val="6"/>
              <w:jc w:val="center"/>
              <w:rPr>
                <w:rFonts w:hint="default" w:ascii="Times New Roman" w:hAnsi="Times New Roman" w:cs="Times New Roman" w:eastAsiaTheme="minorEastAsia"/>
                <w:sz w:val="24"/>
                <w:szCs w:val="24"/>
              </w:rPr>
            </w:pPr>
          </w:p>
        </w:tc>
      </w:tr>
      <w:tr w14:paraId="71B18C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33C4C46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135</w:t>
            </w:r>
          </w:p>
        </w:tc>
        <w:tc>
          <w:tcPr>
            <w:tcW w:w="3014" w:type="dxa"/>
            <w:vAlign w:val="center"/>
          </w:tcPr>
          <w:p w14:paraId="0168580A">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对擅自移动或者破坏野生植物保护设施、保护标志的行政处罚</w:t>
            </w:r>
          </w:p>
        </w:tc>
        <w:tc>
          <w:tcPr>
            <w:tcW w:w="812" w:type="dxa"/>
            <w:vAlign w:val="center"/>
          </w:tcPr>
          <w:p w14:paraId="2056E1F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41C0205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E3785D3">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b/>
                <w:bCs/>
                <w:sz w:val="24"/>
                <w:szCs w:val="24"/>
                <w:lang w:val="en-US" w:eastAsia="zh-CN"/>
              </w:rPr>
              <w:t>四川省野生植物保护条例》第九条第三款</w:t>
            </w:r>
            <w:r>
              <w:rPr>
                <w:rFonts w:hint="default" w:ascii="Times New Roman" w:hAnsi="Times New Roman" w:cs="Times New Roman" w:eastAsiaTheme="minorEastAsia"/>
                <w:sz w:val="24"/>
                <w:szCs w:val="24"/>
                <w:lang w:val="en-US" w:eastAsia="zh-CN"/>
              </w:rPr>
              <w:t>禁止破坏野生植物生长环境和野生植物保护小区、保护点的保护设施、保护标志。</w:t>
            </w:r>
          </w:p>
          <w:p w14:paraId="2443D732">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第二十四条</w:t>
            </w:r>
            <w:r>
              <w:rPr>
                <w:rFonts w:hint="default" w:ascii="Times New Roman" w:hAnsi="Times New Roman" w:cs="Times New Roman" w:eastAsiaTheme="minorEastAsia"/>
                <w:sz w:val="24"/>
                <w:szCs w:val="24"/>
                <w:lang w:val="en-US" w:eastAsia="zh-CN"/>
              </w:rPr>
              <w:t>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正、依法赔偿损失，可并处五百元以上二千元以下的罚款。</w:t>
            </w:r>
          </w:p>
        </w:tc>
        <w:tc>
          <w:tcPr>
            <w:tcW w:w="1281" w:type="dxa"/>
            <w:shd w:val="clear" w:color="auto" w:fill="auto"/>
            <w:vAlign w:val="center"/>
          </w:tcPr>
          <w:p w14:paraId="35D76EE3">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69F3265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2E81832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0DAD04AC">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F0D5889">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F536FA1">
            <w:pPr>
              <w:pStyle w:val="6"/>
              <w:jc w:val="center"/>
              <w:rPr>
                <w:rFonts w:hint="default" w:ascii="Times New Roman" w:hAnsi="Times New Roman" w:cs="Times New Roman" w:eastAsiaTheme="minorEastAsia"/>
                <w:sz w:val="24"/>
                <w:szCs w:val="24"/>
              </w:rPr>
            </w:pPr>
          </w:p>
        </w:tc>
      </w:tr>
      <w:tr w14:paraId="44B33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386EE9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136</w:t>
            </w:r>
          </w:p>
        </w:tc>
        <w:tc>
          <w:tcPr>
            <w:tcW w:w="3014" w:type="dxa"/>
            <w:vAlign w:val="center"/>
          </w:tcPr>
          <w:p w14:paraId="4C6003CD">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对在幼林地砍柴、毁苗、放牧造成林木毁坏的行政处罚</w:t>
            </w:r>
          </w:p>
        </w:tc>
        <w:tc>
          <w:tcPr>
            <w:tcW w:w="812" w:type="dxa"/>
            <w:vAlign w:val="center"/>
          </w:tcPr>
          <w:p w14:paraId="0602A99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6BD1D9D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01D23D5E">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《中华人民共和国森林法》第七十四条第二款</w:t>
            </w:r>
            <w:r>
              <w:rPr>
                <w:rFonts w:hint="default" w:ascii="Times New Roman" w:hAnsi="Times New Roman" w:cs="Times New Roman" w:eastAsiaTheme="minorEastAsia"/>
                <w:sz w:val="24"/>
                <w:szCs w:val="24"/>
                <w:lang w:val="en-US" w:eastAsia="zh-CN"/>
              </w:rPr>
              <w:t>违反本法规定，在幼林地砍柴、毁苗、放牧造成林木毁坏的，由县级以上人民政府林业主管部门责令停止违法行为，限期在原地或者异地补种毁坏株数一倍以上三倍以下的树木。</w:t>
            </w:r>
          </w:p>
        </w:tc>
        <w:tc>
          <w:tcPr>
            <w:tcW w:w="1281" w:type="dxa"/>
            <w:shd w:val="clear" w:color="auto" w:fill="auto"/>
            <w:vAlign w:val="center"/>
          </w:tcPr>
          <w:p w14:paraId="3DF9D89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65E6AE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BF00A18">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林业局</w:t>
            </w:r>
          </w:p>
        </w:tc>
        <w:tc>
          <w:tcPr>
            <w:tcW w:w="1435" w:type="dxa"/>
            <w:shd w:val="clear" w:color="auto" w:fill="auto"/>
            <w:vAlign w:val="center"/>
          </w:tcPr>
          <w:p w14:paraId="46A4328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9D77B47">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F476492">
            <w:pPr>
              <w:pStyle w:val="6"/>
              <w:jc w:val="center"/>
              <w:rPr>
                <w:rFonts w:hint="default" w:ascii="Times New Roman" w:hAnsi="Times New Roman" w:cs="Times New Roman" w:eastAsiaTheme="minorEastAsia"/>
                <w:sz w:val="24"/>
                <w:szCs w:val="24"/>
              </w:rPr>
            </w:pPr>
          </w:p>
        </w:tc>
      </w:tr>
      <w:tr w14:paraId="1788A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6FC60EE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137</w:t>
            </w:r>
          </w:p>
        </w:tc>
        <w:tc>
          <w:tcPr>
            <w:tcW w:w="3014" w:type="dxa"/>
            <w:vAlign w:val="center"/>
          </w:tcPr>
          <w:p w14:paraId="25297698">
            <w:pPr>
              <w:bidi w:val="0"/>
              <w:jc w:val="both"/>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对互联网上网服务营业场所接纳未成年人的行政处罚</w:t>
            </w:r>
          </w:p>
        </w:tc>
        <w:tc>
          <w:tcPr>
            <w:tcW w:w="812" w:type="dxa"/>
            <w:vAlign w:val="center"/>
          </w:tcPr>
          <w:p w14:paraId="436954D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5A7B005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38E9E05D">
            <w:pPr>
              <w:keepNext w:val="0"/>
              <w:keepLines w:val="0"/>
              <w:pageBreakBefore w:val="0"/>
              <w:widowControl/>
              <w:kinsoku w:val="0"/>
              <w:wordWrap/>
              <w:overflowPunct/>
              <w:topLinePunct w:val="0"/>
              <w:autoSpaceDE w:val="0"/>
              <w:autoSpaceDN w:val="0"/>
              <w:bidi w:val="0"/>
              <w:adjustRightInd w:val="0"/>
              <w:snapToGrid w:val="0"/>
              <w:spacing w:line="240" w:lineRule="auto"/>
              <w:ind w:firstLine="482" w:firstLineChars="200"/>
              <w:jc w:val="both"/>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《互联网上网服务营业场所管理条例》第三十一条第二项</w:t>
            </w:r>
            <w:r>
              <w:rPr>
                <w:rFonts w:hint="default" w:ascii="Times New Roman" w:hAnsi="Times New Roman" w:eastAsia="宋体" w:cs="Times New Roman"/>
                <w:snapToGrid w:val="0"/>
                <w:color w:val="000000"/>
                <w:kern w:val="0"/>
                <w:sz w:val="24"/>
                <w:szCs w:val="24"/>
                <w:lang w:val="en-US" w:eastAsia="zh-CN" w:bidi="ar"/>
              </w:rPr>
              <w:t>互</w:t>
            </w:r>
            <w:r>
              <w:rPr>
                <w:rFonts w:hint="default" w:ascii="Times New Roman" w:hAnsi="Times New Roman" w:cs="Times New Roman" w:eastAsiaTheme="minorEastAsia"/>
                <w:b w:val="0"/>
                <w:bCs w:val="0"/>
                <w:sz w:val="24"/>
                <w:szCs w:val="24"/>
                <w:lang w:val="en-US" w:eastAsia="zh-CN"/>
              </w:rPr>
              <w:t>联网上网服务营业场所经营单位违反本条例的规定，有下列行为之一的，由文化行政部门给予警告，可以并处15000元以下的罚款；情节严重的，责令停业整顿，直至吊销《网络文化经营许可证》：（二）接纳未成年人进入营业场所的。</w:t>
            </w:r>
          </w:p>
        </w:tc>
        <w:tc>
          <w:tcPr>
            <w:tcW w:w="1281" w:type="dxa"/>
            <w:shd w:val="clear" w:color="auto" w:fill="auto"/>
            <w:vAlign w:val="center"/>
          </w:tcPr>
          <w:p w14:paraId="2CE9C90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B4791C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33462F1A">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5B7C653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54971806">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31A1886B">
            <w:pPr>
              <w:keepNext w:val="0"/>
              <w:keepLines w:val="0"/>
              <w:widowControl/>
              <w:suppressLineNumbers w:val="0"/>
              <w:jc w:val="center"/>
              <w:rPr>
                <w:rFonts w:hint="default" w:ascii="Times New Roman" w:hAnsi="Times New Roman" w:cs="Times New Roman" w:eastAsiaTheme="minorEastAsia"/>
                <w:sz w:val="24"/>
                <w:szCs w:val="24"/>
              </w:rPr>
            </w:pPr>
            <w:r>
              <w:rPr>
                <w:rFonts w:hint="default" w:ascii="Times New Roman" w:hAnsi="Times New Roman" w:eastAsia="宋体" w:cs="Times New Roman"/>
                <w:snapToGrid w:val="0"/>
                <w:color w:val="000000"/>
                <w:kern w:val="0"/>
                <w:sz w:val="24"/>
                <w:szCs w:val="24"/>
                <w:lang w:val="en-US" w:eastAsia="zh-CN" w:bidi="ar"/>
              </w:rPr>
              <w:t>不含“吊销《网络文化经营许可证》”。</w:t>
            </w:r>
          </w:p>
        </w:tc>
      </w:tr>
      <w:tr w14:paraId="7D3AC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D0006F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138</w:t>
            </w:r>
          </w:p>
        </w:tc>
        <w:tc>
          <w:tcPr>
            <w:tcW w:w="3014" w:type="dxa"/>
            <w:vAlign w:val="center"/>
          </w:tcPr>
          <w:p w14:paraId="792E1C3B">
            <w:pPr>
              <w:keepNext w:val="0"/>
              <w:keepLines w:val="0"/>
              <w:widowControl/>
              <w:suppressLineNumbers w:val="0"/>
              <w:jc w:val="both"/>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对互联网上网服务营业场所未悬挂《网络文化经营许可证》或者未成年人禁入标志的行政处罚</w:t>
            </w:r>
          </w:p>
        </w:tc>
        <w:tc>
          <w:tcPr>
            <w:tcW w:w="812" w:type="dxa"/>
            <w:vAlign w:val="center"/>
          </w:tcPr>
          <w:p w14:paraId="55A9C01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2F84E9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1AA5D94">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b/>
                <w:bCs/>
                <w:sz w:val="24"/>
                <w:szCs w:val="24"/>
                <w:lang w:val="en-US" w:eastAsia="zh-CN"/>
              </w:rPr>
              <w:t>《互联网上网服务营业场所管理条例》</w:t>
            </w:r>
            <w:r>
              <w:rPr>
                <w:rFonts w:hint="default" w:ascii="Times New Roman" w:hAnsi="Times New Roman" w:eastAsia="宋体" w:cs="Times New Roman"/>
                <w:b/>
                <w:bCs/>
                <w:snapToGrid w:val="0"/>
                <w:color w:val="000000"/>
                <w:kern w:val="0"/>
                <w:sz w:val="24"/>
                <w:szCs w:val="24"/>
                <w:lang w:val="en-US" w:eastAsia="zh-CN" w:bidi="ar"/>
              </w:rPr>
              <w:t>第三十一条第五项</w:t>
            </w:r>
            <w:r>
              <w:rPr>
                <w:rFonts w:hint="default" w:ascii="Times New Roman" w:hAnsi="Times New Roman" w:eastAsia="宋体" w:cs="Times New Roman"/>
                <w:snapToGrid w:val="0"/>
                <w:color w:val="000000"/>
                <w:kern w:val="0"/>
                <w:sz w:val="24"/>
                <w:szCs w:val="24"/>
                <w:lang w:val="en-US" w:eastAsia="zh-CN" w:bidi="ar"/>
              </w:rPr>
              <w:t>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1281" w:type="dxa"/>
            <w:shd w:val="clear" w:color="auto" w:fill="auto"/>
            <w:vAlign w:val="center"/>
          </w:tcPr>
          <w:p w14:paraId="60A68F4D">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700D0EE1">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455B2D0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62F6438A">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6B850C4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shd w:val="clear" w:color="auto" w:fill="auto"/>
            <w:vAlign w:val="center"/>
          </w:tcPr>
          <w:p w14:paraId="0FE97ADE">
            <w:pPr>
              <w:keepNext w:val="0"/>
              <w:keepLines w:val="0"/>
              <w:widowControl/>
              <w:suppressLineNumbers w:val="0"/>
              <w:jc w:val="center"/>
              <w:rPr>
                <w:rFonts w:hint="default" w:ascii="Times New Roman" w:hAnsi="Times New Roman" w:cs="Times New Roman" w:eastAsiaTheme="minorEastAsia"/>
                <w:snapToGrid w:val="0"/>
                <w:color w:val="000000"/>
                <w:kern w:val="0"/>
                <w:sz w:val="24"/>
                <w:szCs w:val="24"/>
                <w:lang w:val="en-US" w:eastAsia="en-US" w:bidi="ar-SA"/>
              </w:rPr>
            </w:pPr>
            <w:r>
              <w:rPr>
                <w:rFonts w:hint="default" w:ascii="Times New Roman" w:hAnsi="Times New Roman" w:eastAsia="宋体" w:cs="Times New Roman"/>
                <w:snapToGrid w:val="0"/>
                <w:color w:val="000000"/>
                <w:kern w:val="0"/>
                <w:sz w:val="24"/>
                <w:szCs w:val="24"/>
                <w:lang w:val="en-US" w:eastAsia="zh-CN" w:bidi="ar"/>
              </w:rPr>
              <w:t>不含“吊销《网络文化经营许可证》”。</w:t>
            </w:r>
          </w:p>
        </w:tc>
      </w:tr>
      <w:tr w14:paraId="45B62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8F9B9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139</w:t>
            </w:r>
          </w:p>
        </w:tc>
        <w:tc>
          <w:tcPr>
            <w:tcW w:w="3014" w:type="dxa"/>
            <w:vAlign w:val="center"/>
          </w:tcPr>
          <w:p w14:paraId="6BAC9EFD">
            <w:pPr>
              <w:keepNext w:val="0"/>
              <w:keepLines w:val="0"/>
              <w:widowControl/>
              <w:suppressLineNumbers w:val="0"/>
              <w:jc w:val="both"/>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对擅自从事营业性演出经营活动的行政罚</w:t>
            </w:r>
          </w:p>
        </w:tc>
        <w:tc>
          <w:tcPr>
            <w:tcW w:w="812" w:type="dxa"/>
            <w:vAlign w:val="center"/>
          </w:tcPr>
          <w:p w14:paraId="2DE5567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06894CEB">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9CD3B50">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《营业性演出管理条例》第六条</w:t>
            </w:r>
            <w:r>
              <w:rPr>
                <w:rFonts w:hint="default" w:ascii="Times New Roman" w:hAnsi="Times New Roman" w:eastAsia="宋体" w:cs="Times New Roman"/>
                <w:snapToGrid w:val="0"/>
                <w:color w:val="000000"/>
                <w:kern w:val="0"/>
                <w:sz w:val="24"/>
                <w:szCs w:val="24"/>
                <w:lang w:val="en-US" w:eastAsia="zh-CN" w:bidi="ar"/>
              </w:rPr>
              <w:t>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593F9A4C">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第十条</w:t>
            </w:r>
            <w:r>
              <w:rPr>
                <w:rFonts w:hint="default" w:ascii="Times New Roman" w:hAnsi="Times New Roman" w:eastAsia="宋体" w:cs="Times New Roman"/>
                <w:snapToGrid w:val="0"/>
                <w:color w:val="000000"/>
                <w:kern w:val="0"/>
                <w:sz w:val="24"/>
                <w:szCs w:val="24"/>
                <w:lang w:val="en-US" w:eastAsia="zh-CN" w:bidi="ar"/>
              </w:rPr>
              <w:t>外国投资者可以依法在中国境内设立演出经纪机构、演出场所经营单位；不得设立文艺表演团体。外商投资的演出经纪机构申请从事营业性演出经营活动、外商投资的演出场所经营单位申请从事演出场所经营活动，应当向国务院文化主管</w:t>
            </w:r>
          </w:p>
          <w:p w14:paraId="58F10E40">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部门提出申请。国务院文化主管部门应当自收到申请之日起20日内作出决定。批准的，颁发营业性演出许可证；不批准的，应当书面通知申请人并说明理由。</w:t>
            </w:r>
          </w:p>
          <w:p w14:paraId="1C3AE4C5">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第十一条</w:t>
            </w:r>
          </w:p>
          <w:p w14:paraId="1A0D6E27">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香港特别行政区、澳门特别行政区</w:t>
            </w:r>
          </w:p>
          <w:p w14:paraId="50FD216F">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的投资者可以在内地投资设立演出经纪机构、演出场所经营单位以及由内地方控股的文艺表演团体；香港特别行政区、澳门特别行政区的演出经纪机构可以在内地设立分支机构。台湾地区的投资者可以在大陆投资设立演出经纪机构、演出场所经营单位，不得设立文艺表演团体。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p w14:paraId="72A8BCCC">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第四十三条第一款第一项</w:t>
            </w:r>
            <w:r>
              <w:rPr>
                <w:rFonts w:hint="default" w:ascii="Times New Roman" w:hAnsi="Times New Roman" w:eastAsia="宋体" w:cs="Times New Roman"/>
                <w:snapToGrid w:val="0"/>
                <w:color w:val="000000"/>
                <w:kern w:val="0"/>
                <w:sz w:val="24"/>
                <w:szCs w:val="24"/>
                <w:lang w:val="en-US" w:eastAsia="zh-CN" w:bidi="ar"/>
              </w:rPr>
              <w:t>有下列行为之一</w:t>
            </w:r>
          </w:p>
          <w:p w14:paraId="15710A6B">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kern w:val="0"/>
                <w:sz w:val="24"/>
                <w:szCs w:val="24"/>
                <w:lang w:val="en-US" w:eastAsia="zh-CN" w:bidi="ar"/>
              </w:rPr>
              <w:t>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w:t>
            </w:r>
          </w:p>
          <w:p w14:paraId="786F0D2C">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jc w:val="both"/>
              <w:textAlignment w:val="baseline"/>
              <w:rPr>
                <w:rFonts w:hint="default" w:ascii="Times New Roman" w:hAnsi="Times New Roman" w:cs="Times New Roman" w:eastAsiaTheme="minorEastAsia"/>
                <w:sz w:val="24"/>
                <w:szCs w:val="24"/>
                <w:lang w:val="en-US" w:eastAsia="zh-CN"/>
              </w:rPr>
            </w:pPr>
          </w:p>
        </w:tc>
        <w:tc>
          <w:tcPr>
            <w:tcW w:w="1281" w:type="dxa"/>
            <w:shd w:val="clear" w:color="auto" w:fill="auto"/>
            <w:vAlign w:val="center"/>
          </w:tcPr>
          <w:p w14:paraId="2D6B97E8">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3D314F6A">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6E18DF6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0C9E5211">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4EFFED04">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7BAF8B2C">
            <w:pPr>
              <w:keepNext w:val="0"/>
              <w:keepLines w:val="0"/>
              <w:widowControl/>
              <w:suppressLineNumbers w:val="0"/>
              <w:jc w:val="left"/>
              <w:rPr>
                <w:rFonts w:hint="default" w:ascii="Times New Roman" w:hAnsi="Times New Roman" w:eastAsia="宋体" w:cs="Times New Roman"/>
                <w:sz w:val="24"/>
                <w:szCs w:val="24"/>
              </w:rPr>
            </w:pPr>
            <w:r>
              <w:rPr>
                <w:rFonts w:hint="default" w:ascii="Times New Roman" w:hAnsi="Times New Roman" w:eastAsia="Times#20New#20Roman" w:cs="Times New Roman"/>
                <w:snapToGrid w:val="0"/>
                <w:color w:val="000000"/>
                <w:kern w:val="0"/>
                <w:sz w:val="24"/>
                <w:szCs w:val="24"/>
                <w:lang w:val="en-US" w:eastAsia="zh-CN" w:bidi="ar"/>
              </w:rPr>
              <w:t>1</w:t>
            </w:r>
            <w:r>
              <w:rPr>
                <w:rFonts w:hint="default" w:ascii="Times New Roman" w:hAnsi="Times New Roman" w:eastAsia="宋体" w:cs="Times New Roman"/>
                <w:snapToGrid w:val="0"/>
                <w:color w:val="000000"/>
                <w:kern w:val="0"/>
                <w:sz w:val="24"/>
                <w:szCs w:val="24"/>
                <w:lang w:val="en-US" w:eastAsia="zh-CN" w:bidi="ar"/>
              </w:rPr>
              <w:t>.不含“对违反《营业性演出管理条例》第十五条规定，未经批准举办营业性演出的行政处罚不含吊销营业性演出许可证</w:t>
            </w:r>
            <w:r>
              <w:rPr>
                <w:rFonts w:hint="eastAsia" w:ascii="Times New Roman" w:hAnsi="Times New Roman" w:eastAsia="宋体" w:cs="Times New Roman"/>
                <w:snapToGrid w:val="0"/>
                <w:color w:val="000000"/>
                <w:kern w:val="0"/>
                <w:sz w:val="24"/>
                <w:szCs w:val="24"/>
                <w:lang w:val="en-US" w:eastAsia="zh-CN" w:bidi="ar"/>
              </w:rPr>
              <w:t>”</w:t>
            </w:r>
            <w:r>
              <w:rPr>
                <w:rFonts w:hint="default" w:ascii="Times New Roman" w:hAnsi="Times New Roman" w:eastAsia="宋体" w:cs="Times New Roman"/>
                <w:snapToGrid w:val="0"/>
                <w:color w:val="000000"/>
                <w:kern w:val="0"/>
                <w:sz w:val="24"/>
                <w:szCs w:val="24"/>
                <w:lang w:val="en-US" w:eastAsia="zh-CN" w:bidi="ar"/>
              </w:rPr>
              <w:t>。</w:t>
            </w:r>
          </w:p>
          <w:p w14:paraId="38012853">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eastAsia="宋体" w:cs="Times New Roman"/>
                <w:snapToGrid w:val="0"/>
                <w:color w:val="000000"/>
                <w:kern w:val="0"/>
                <w:sz w:val="24"/>
                <w:szCs w:val="24"/>
                <w:lang w:val="en-US" w:eastAsia="zh-CN" w:bidi="ar"/>
              </w:rPr>
              <w:t>2.仅适用农村营业性演出活动。</w:t>
            </w:r>
          </w:p>
        </w:tc>
      </w:tr>
      <w:tr w14:paraId="2914A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530E152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140</w:t>
            </w:r>
          </w:p>
        </w:tc>
        <w:tc>
          <w:tcPr>
            <w:tcW w:w="3014" w:type="dxa"/>
            <w:vAlign w:val="center"/>
          </w:tcPr>
          <w:p w14:paraId="185755E7">
            <w:pPr>
              <w:keepNext w:val="0"/>
              <w:keepLines w:val="0"/>
              <w:widowControl/>
              <w:suppressLineNumbers w:val="0"/>
              <w:jc w:val="both"/>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对歌舞娱乐场所接纳未成年人的行政处罚</w:t>
            </w:r>
          </w:p>
        </w:tc>
        <w:tc>
          <w:tcPr>
            <w:tcW w:w="812" w:type="dxa"/>
            <w:vAlign w:val="center"/>
          </w:tcPr>
          <w:p w14:paraId="180F3A1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E6419B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54F8ED02">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b/>
                <w:bCs/>
                <w:snapToGrid w:val="0"/>
                <w:color w:val="000000"/>
                <w:kern w:val="0"/>
                <w:sz w:val="24"/>
                <w:szCs w:val="24"/>
                <w:lang w:val="en-US" w:eastAsia="zh-CN" w:bidi="ar"/>
              </w:rPr>
              <w:t>《娱乐场所管理条例》第四十八条第三项</w:t>
            </w:r>
            <w:r>
              <w:rPr>
                <w:rFonts w:hint="default" w:ascii="Times New Roman" w:hAnsi="Times New Roman" w:eastAsia="宋体" w:cs="Times New Roman"/>
                <w:snapToGrid w:val="0"/>
                <w:color w:val="000000"/>
                <w:kern w:val="0"/>
                <w:sz w:val="24"/>
                <w:szCs w:val="24"/>
                <w:lang w:val="en-US" w:eastAsia="zh-CN" w:bidi="ar"/>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tc>
        <w:tc>
          <w:tcPr>
            <w:tcW w:w="1281" w:type="dxa"/>
            <w:shd w:val="clear" w:color="auto" w:fill="auto"/>
            <w:vAlign w:val="center"/>
          </w:tcPr>
          <w:p w14:paraId="00423B4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4BF9173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7F2D333">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345E9208">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DB5C9BE">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F6D9E69">
            <w:pPr>
              <w:pStyle w:val="6"/>
              <w:jc w:val="center"/>
              <w:rPr>
                <w:rFonts w:hint="default" w:ascii="Times New Roman" w:hAnsi="Times New Roman" w:cs="Times New Roman" w:eastAsiaTheme="minorEastAsia"/>
                <w:sz w:val="24"/>
                <w:szCs w:val="24"/>
              </w:rPr>
            </w:pPr>
          </w:p>
        </w:tc>
      </w:tr>
      <w:tr w14:paraId="6276F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D96C2E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141</w:t>
            </w:r>
          </w:p>
        </w:tc>
        <w:tc>
          <w:tcPr>
            <w:tcW w:w="3014" w:type="dxa"/>
            <w:vAlign w:val="center"/>
          </w:tcPr>
          <w:p w14:paraId="4D755446">
            <w:pPr>
              <w:keepNext w:val="0"/>
              <w:keepLines w:val="0"/>
              <w:widowControl/>
              <w:suppressLineNumbers w:val="0"/>
              <w:jc w:val="both"/>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对游艺娱乐场所设置的电子游戏机在国家法定节假日外向未成年人提供的行政处罚</w:t>
            </w:r>
          </w:p>
        </w:tc>
        <w:tc>
          <w:tcPr>
            <w:tcW w:w="812" w:type="dxa"/>
            <w:vAlign w:val="center"/>
          </w:tcPr>
          <w:p w14:paraId="5657D21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7AEC5DF5">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41C84EFC">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《娱乐场所管理条例》第四十八条第四项</w:t>
            </w:r>
          </w:p>
          <w:p w14:paraId="19A34B3B">
            <w:pPr>
              <w:keepNext w:val="0"/>
              <w:keepLines w:val="0"/>
              <w:pageBreakBefore w:val="0"/>
              <w:widowControl/>
              <w:suppressLineNumbers w:val="0"/>
              <w:kinsoku w:val="0"/>
              <w:wordWrap/>
              <w:overflowPunct/>
              <w:topLinePunct w:val="0"/>
              <w:autoSpaceDE w:val="0"/>
              <w:autoSpaceDN w:val="0"/>
              <w:bidi w:val="0"/>
              <w:adjustRightInd w:val="0"/>
              <w:snapToGrid w:val="0"/>
              <w:ind w:firstLine="480" w:firstLineChars="200"/>
              <w:jc w:val="left"/>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tc>
        <w:tc>
          <w:tcPr>
            <w:tcW w:w="1281" w:type="dxa"/>
            <w:shd w:val="clear" w:color="auto" w:fill="auto"/>
            <w:vAlign w:val="center"/>
          </w:tcPr>
          <w:p w14:paraId="1A8CCB09">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0768D24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79D4C11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739C79D0">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3F6CBB32">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62AB1F47">
            <w:pPr>
              <w:pStyle w:val="6"/>
              <w:jc w:val="center"/>
              <w:rPr>
                <w:rFonts w:hint="default" w:ascii="Times New Roman" w:hAnsi="Times New Roman" w:cs="Times New Roman" w:eastAsiaTheme="minorEastAsia"/>
                <w:sz w:val="24"/>
                <w:szCs w:val="24"/>
              </w:rPr>
            </w:pPr>
          </w:p>
        </w:tc>
      </w:tr>
      <w:tr w14:paraId="5253C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74119D1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142</w:t>
            </w:r>
          </w:p>
        </w:tc>
        <w:tc>
          <w:tcPr>
            <w:tcW w:w="3014" w:type="dxa"/>
            <w:vAlign w:val="center"/>
          </w:tcPr>
          <w:p w14:paraId="2CE19898">
            <w:pPr>
              <w:keepNext w:val="0"/>
              <w:keepLines w:val="0"/>
              <w:widowControl/>
              <w:suppressLineNumbers w:val="0"/>
              <w:jc w:val="both"/>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对娱乐场所未按规定悬挂警示标志、未成年人禁入或者限入标志的行政处罚</w:t>
            </w:r>
          </w:p>
        </w:tc>
        <w:tc>
          <w:tcPr>
            <w:tcW w:w="812" w:type="dxa"/>
            <w:vAlign w:val="center"/>
          </w:tcPr>
          <w:p w14:paraId="6186CD1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8FF8CE7">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2E9D48A3">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b/>
                <w:bCs/>
                <w:snapToGrid w:val="0"/>
                <w:color w:val="000000"/>
                <w:kern w:val="0"/>
                <w:sz w:val="24"/>
                <w:szCs w:val="24"/>
                <w:lang w:val="en-US" w:eastAsia="zh-CN" w:bidi="ar"/>
              </w:rPr>
              <w:t>《娱乐场所管理条例》第五十一条</w:t>
            </w:r>
            <w:r>
              <w:rPr>
                <w:rFonts w:hint="default" w:ascii="Times New Roman" w:hAnsi="Times New Roman" w:eastAsia="宋体" w:cs="Times New Roman"/>
                <w:snapToGrid w:val="0"/>
                <w:color w:val="000000"/>
                <w:kern w:val="0"/>
                <w:sz w:val="24"/>
                <w:szCs w:val="24"/>
                <w:lang w:val="en-US" w:eastAsia="zh-CN" w:bidi="ar"/>
              </w:rPr>
              <w:t>娱乐场所未按照本条例规定悬挂警示标志、未成年人禁入或者限入标志的，由县级人民政府文化主管部门、县级公安部门依据法定职权责令改正，给予警告。</w:t>
            </w:r>
          </w:p>
        </w:tc>
        <w:tc>
          <w:tcPr>
            <w:tcW w:w="1281" w:type="dxa"/>
            <w:shd w:val="clear" w:color="auto" w:fill="auto"/>
            <w:vAlign w:val="center"/>
          </w:tcPr>
          <w:p w14:paraId="3D0440FF">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6CFB64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6143ECB8">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0CCB6AD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FE2D7A3">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0EB535CE">
            <w:pPr>
              <w:pStyle w:val="6"/>
              <w:jc w:val="center"/>
              <w:rPr>
                <w:rFonts w:hint="default" w:ascii="Times New Roman" w:hAnsi="Times New Roman" w:cs="Times New Roman" w:eastAsiaTheme="minorEastAsia"/>
                <w:sz w:val="24"/>
                <w:szCs w:val="24"/>
              </w:rPr>
            </w:pPr>
          </w:p>
        </w:tc>
      </w:tr>
      <w:tr w14:paraId="4AC80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660" w:type="dxa"/>
            <w:vAlign w:val="center"/>
          </w:tcPr>
          <w:p w14:paraId="22058BF0">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143</w:t>
            </w:r>
          </w:p>
        </w:tc>
        <w:tc>
          <w:tcPr>
            <w:tcW w:w="3014" w:type="dxa"/>
            <w:vAlign w:val="center"/>
          </w:tcPr>
          <w:p w14:paraId="7652DBA9">
            <w:pPr>
              <w:keepNext w:val="0"/>
              <w:keepLines w:val="0"/>
              <w:widowControl/>
              <w:suppressLineNumbers w:val="0"/>
              <w:jc w:val="both"/>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snapToGrid w:val="0"/>
                <w:color w:val="000000"/>
                <w:kern w:val="0"/>
                <w:sz w:val="24"/>
                <w:szCs w:val="24"/>
                <w:lang w:val="en-US" w:eastAsia="zh-CN" w:bidi="ar"/>
              </w:rPr>
              <w:t>对娱乐场所未在显著位置悬挂娱乐经营许可证，或者未成年人禁入（限入）标志未注明“12318”文化市场举报电话的行政处罚</w:t>
            </w:r>
          </w:p>
        </w:tc>
        <w:tc>
          <w:tcPr>
            <w:tcW w:w="812" w:type="dxa"/>
            <w:vAlign w:val="center"/>
          </w:tcPr>
          <w:p w14:paraId="426D714E">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行政</w:t>
            </w:r>
          </w:p>
          <w:p w14:paraId="128BFAAC">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处罚</w:t>
            </w:r>
          </w:p>
        </w:tc>
        <w:tc>
          <w:tcPr>
            <w:tcW w:w="6667" w:type="dxa"/>
            <w:vAlign w:val="top"/>
          </w:tcPr>
          <w:p w14:paraId="6EE9BBD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1.《娱乐场所管理办法》第二十四条</w:t>
            </w:r>
            <w:r>
              <w:rPr>
                <w:rFonts w:hint="default" w:ascii="Times New Roman" w:hAnsi="Times New Roman" w:eastAsia="宋体" w:cs="Times New Roman"/>
                <w:snapToGrid w:val="0"/>
                <w:color w:val="000000"/>
                <w:kern w:val="0"/>
                <w:sz w:val="24"/>
                <w:szCs w:val="24"/>
                <w:lang w:val="en-US" w:eastAsia="zh-CN" w:bidi="ar"/>
              </w:rPr>
              <w:t>娱乐场所应当在显著位置悬挂娱乐经营许可证、未成年人禁入或者限入标志，标志应当注明“12318”文化市场举报电话。</w:t>
            </w:r>
          </w:p>
          <w:p w14:paraId="5F74EF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napToGrid w:val="0"/>
                <w:color w:val="000000"/>
                <w:kern w:val="0"/>
                <w:sz w:val="24"/>
                <w:szCs w:val="24"/>
                <w:lang w:val="en-US" w:eastAsia="zh-CN" w:bidi="ar"/>
              </w:rPr>
              <w:t>第三十三条</w:t>
            </w:r>
            <w:r>
              <w:rPr>
                <w:rFonts w:hint="default" w:ascii="Times New Roman" w:hAnsi="Times New Roman" w:eastAsia="宋体" w:cs="Times New Roman"/>
                <w:snapToGrid w:val="0"/>
                <w:color w:val="000000"/>
                <w:kern w:val="0"/>
                <w:sz w:val="24"/>
                <w:szCs w:val="24"/>
                <w:lang w:val="en-US" w:eastAsia="zh-CN" w:bidi="ar"/>
              </w:rPr>
              <w:t>娱乐场所违反本办法第二十四条规定的，由县级以上人民政府文化主管部门责令改正，予以警告。</w:t>
            </w:r>
          </w:p>
          <w:p w14:paraId="061214A8">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default" w:ascii="Times New Roman" w:hAnsi="Times New Roman" w:cs="Times New Roman" w:eastAsiaTheme="minorEastAsia"/>
                <w:sz w:val="24"/>
                <w:szCs w:val="24"/>
                <w:lang w:val="en-US" w:eastAsia="zh-CN"/>
              </w:rPr>
            </w:pPr>
            <w:r>
              <w:rPr>
                <w:rFonts w:hint="default" w:ascii="Times New Roman" w:hAnsi="Times New Roman" w:eastAsia="宋体" w:cs="Times New Roman"/>
                <w:b/>
                <w:bCs/>
                <w:snapToGrid w:val="0"/>
                <w:color w:val="000000"/>
                <w:kern w:val="0"/>
                <w:sz w:val="24"/>
                <w:szCs w:val="24"/>
                <w:lang w:val="en-US" w:eastAsia="zh-CN" w:bidi="ar"/>
              </w:rPr>
              <w:t>2.《四川省娱乐场所管理办法》第三十三条第一款</w:t>
            </w:r>
            <w:r>
              <w:rPr>
                <w:rFonts w:hint="default" w:ascii="Times New Roman" w:hAnsi="Times New Roman" w:eastAsia="宋体" w:cs="Times New Roman"/>
                <w:snapToGrid w:val="0"/>
                <w:color w:val="000000"/>
                <w:kern w:val="0"/>
                <w:sz w:val="24"/>
                <w:szCs w:val="24"/>
                <w:lang w:val="en-US" w:eastAsia="zh-CN" w:bidi="ar"/>
              </w:rPr>
              <w:t>娱乐场所未按要求悬挂娱乐经营许可证、卫生许可证和工商营业执照，并拒不改正的，分别由县级文化行政主管部门或者依法授权的文化市场综合执法机构、卫生部门、工商部门按照各自职责，处1000元以上5</w:t>
            </w:r>
            <w:bookmarkStart w:id="0" w:name="_GoBack"/>
            <w:bookmarkEnd w:id="0"/>
            <w:r>
              <w:rPr>
                <w:rFonts w:hint="default" w:ascii="Times New Roman" w:hAnsi="Times New Roman" w:eastAsia="宋体" w:cs="Times New Roman"/>
                <w:snapToGrid w:val="0"/>
                <w:color w:val="000000"/>
                <w:kern w:val="0"/>
                <w:sz w:val="24"/>
                <w:szCs w:val="24"/>
                <w:lang w:val="en-US" w:eastAsia="zh-CN" w:bidi="ar"/>
              </w:rPr>
              <w:t>000元以下罚款。</w:t>
            </w:r>
          </w:p>
        </w:tc>
        <w:tc>
          <w:tcPr>
            <w:tcW w:w="1281" w:type="dxa"/>
            <w:shd w:val="clear" w:color="auto" w:fill="auto"/>
            <w:vAlign w:val="center"/>
          </w:tcPr>
          <w:p w14:paraId="12A90262">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攀枝花市</w:t>
            </w:r>
          </w:p>
          <w:p w14:paraId="15241D36">
            <w:pPr>
              <w:bidi w:val="0"/>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仁和区</w:t>
            </w:r>
          </w:p>
          <w:p w14:paraId="060B2F8D">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z w:val="24"/>
                <w:szCs w:val="24"/>
                <w:lang w:val="en-US" w:eastAsia="zh-CN"/>
              </w:rPr>
              <w:t>文化广播电视和旅游局</w:t>
            </w:r>
          </w:p>
        </w:tc>
        <w:tc>
          <w:tcPr>
            <w:tcW w:w="1435" w:type="dxa"/>
            <w:shd w:val="clear" w:color="auto" w:fill="auto"/>
            <w:vAlign w:val="center"/>
          </w:tcPr>
          <w:p w14:paraId="1FFADB66">
            <w:pPr>
              <w:bidi w:val="0"/>
              <w:jc w:val="center"/>
              <w:rPr>
                <w:rFonts w:hint="default" w:ascii="Times New Roman" w:hAnsi="Times New Roman" w:cs="Times New Roman" w:eastAsiaTheme="minorEastAsia"/>
                <w:snapToGrid w:val="0"/>
                <w:color w:val="000000"/>
                <w:kern w:val="0"/>
                <w:sz w:val="24"/>
                <w:szCs w:val="24"/>
                <w:lang w:eastAsia="zh-CN" w:bidi="ar"/>
              </w:rPr>
            </w:pPr>
            <w:r>
              <w:rPr>
                <w:rFonts w:hint="default" w:ascii="Times New Roman" w:hAnsi="Times New Roman" w:cs="Times New Roman" w:eastAsiaTheme="minorEastAsia"/>
                <w:snapToGrid w:val="0"/>
                <w:color w:val="000000"/>
                <w:kern w:val="0"/>
                <w:sz w:val="24"/>
                <w:szCs w:val="24"/>
                <w:lang w:eastAsia="zh-CN" w:bidi="ar"/>
              </w:rPr>
              <w:t>攀枝花市</w:t>
            </w:r>
          </w:p>
          <w:p w14:paraId="0F2A86B0">
            <w:pPr>
              <w:bidi w:val="0"/>
              <w:jc w:val="center"/>
              <w:rPr>
                <w:rFonts w:hint="default" w:ascii="Times New Roman" w:hAnsi="Times New Roman" w:cs="Times New Roman" w:eastAsiaTheme="minorEastAsia"/>
                <w:snapToGrid w:val="0"/>
                <w:color w:val="000000"/>
                <w:kern w:val="0"/>
                <w:sz w:val="24"/>
                <w:szCs w:val="24"/>
                <w:lang w:val="en-US" w:eastAsia="zh-CN" w:bidi="ar-SA"/>
              </w:rPr>
            </w:pPr>
            <w:r>
              <w:rPr>
                <w:rFonts w:hint="default" w:ascii="Times New Roman" w:hAnsi="Times New Roman" w:cs="Times New Roman" w:eastAsiaTheme="minorEastAsia"/>
                <w:snapToGrid w:val="0"/>
                <w:color w:val="000000"/>
                <w:kern w:val="0"/>
                <w:sz w:val="24"/>
                <w:szCs w:val="24"/>
                <w:lang w:eastAsia="zh-CN" w:bidi="ar"/>
              </w:rPr>
              <w:t>仁和区务本乡人民政府</w:t>
            </w:r>
          </w:p>
        </w:tc>
        <w:tc>
          <w:tcPr>
            <w:tcW w:w="1317" w:type="dxa"/>
            <w:vAlign w:val="center"/>
          </w:tcPr>
          <w:p w14:paraId="53D3CECE">
            <w:pPr>
              <w:pStyle w:val="6"/>
              <w:jc w:val="center"/>
              <w:rPr>
                <w:rFonts w:hint="default" w:ascii="Times New Roman" w:hAnsi="Times New Roman" w:cs="Times New Roman" w:eastAsiaTheme="minorEastAsia"/>
                <w:sz w:val="24"/>
                <w:szCs w:val="24"/>
              </w:rPr>
            </w:pPr>
          </w:p>
        </w:tc>
      </w:tr>
    </w:tbl>
    <w:p w14:paraId="747D0AD7">
      <w:pPr>
        <w:pStyle w:val="2"/>
        <w:spacing w:before="210" w:line="328" w:lineRule="auto"/>
        <w:ind w:left="72" w:right="1332" w:firstLine="675"/>
      </w:pPr>
    </w:p>
    <w:sectPr>
      <w:footerReference r:id="rId5" w:type="default"/>
      <w:pgSz w:w="16840" w:h="11907" w:orient="landscape"/>
      <w:pgMar w:top="1475" w:right="1431" w:bottom="1364" w:left="1538" w:header="0" w:footer="126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76820E-565E-4EDC-8BC0-01E056CA54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8BDA7ABE-7D55-4722-A0A2-C12F51404687}"/>
  </w:font>
  <w:font w:name="Times#20New#20Roman">
    <w:altName w:val="Segoe Print"/>
    <w:panose1 w:val="00000000000000000000"/>
    <w:charset w:val="00"/>
    <w:family w:val="auto"/>
    <w:pitch w:val="default"/>
    <w:sig w:usb0="00000000" w:usb1="00000000" w:usb2="00000000" w:usb3="00000000" w:csb0="00000000" w:csb1="00000000"/>
    <w:embedRegular r:id="rId3" w:fontKey="{D12D7A51-ADE4-413B-951F-9B18EB37E717}"/>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7D27">
    <w:pPr>
      <w:spacing w:line="175" w:lineRule="auto"/>
      <w:ind w:left="8266"/>
      <w:rPr>
        <w:rFonts w:ascii="宋体" w:hAnsi="宋体" w:eastAsia="宋体" w:cs="宋体"/>
        <w:sz w:val="28"/>
        <w:szCs w:val="28"/>
      </w:rPr>
    </w:pPr>
    <w:r>
      <w:rPr>
        <w:rFonts w:ascii="宋体" w:hAnsi="宋体" w:eastAsia="宋体" w:cs="宋体"/>
        <w:spacing w:val="-9"/>
        <w:sz w:val="28"/>
        <w:szCs w:val="2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ZmZWI2NzRmNWRiYjg2NTJlMmIwYTI2Y2MxMThlMzUifQ=="/>
  </w:docVars>
  <w:rsids>
    <w:rsidRoot w:val="00000000"/>
    <w:rsid w:val="0095525C"/>
    <w:rsid w:val="01182F62"/>
    <w:rsid w:val="01F845AD"/>
    <w:rsid w:val="02AE5751"/>
    <w:rsid w:val="03521FB6"/>
    <w:rsid w:val="039E1DDD"/>
    <w:rsid w:val="04040B7A"/>
    <w:rsid w:val="04135A12"/>
    <w:rsid w:val="045304FE"/>
    <w:rsid w:val="050943BF"/>
    <w:rsid w:val="052851DF"/>
    <w:rsid w:val="05541B88"/>
    <w:rsid w:val="05C466EF"/>
    <w:rsid w:val="05E500E0"/>
    <w:rsid w:val="064E7514"/>
    <w:rsid w:val="06B67795"/>
    <w:rsid w:val="074E79B8"/>
    <w:rsid w:val="07AF76CF"/>
    <w:rsid w:val="080F236A"/>
    <w:rsid w:val="088025F0"/>
    <w:rsid w:val="09D92125"/>
    <w:rsid w:val="0A2030CC"/>
    <w:rsid w:val="0A8E3CAF"/>
    <w:rsid w:val="0A962262"/>
    <w:rsid w:val="0C0B55F7"/>
    <w:rsid w:val="0C735AF6"/>
    <w:rsid w:val="0CFA30FC"/>
    <w:rsid w:val="0D6B65B1"/>
    <w:rsid w:val="0F8F2A8C"/>
    <w:rsid w:val="10172A20"/>
    <w:rsid w:val="126C2700"/>
    <w:rsid w:val="128F52CB"/>
    <w:rsid w:val="13F42FDA"/>
    <w:rsid w:val="19B80DD0"/>
    <w:rsid w:val="1AE23FFC"/>
    <w:rsid w:val="1BAD674F"/>
    <w:rsid w:val="1BDE08A9"/>
    <w:rsid w:val="1C0B7526"/>
    <w:rsid w:val="1C385379"/>
    <w:rsid w:val="1E2552B5"/>
    <w:rsid w:val="1E504393"/>
    <w:rsid w:val="20493E70"/>
    <w:rsid w:val="204A395E"/>
    <w:rsid w:val="22121299"/>
    <w:rsid w:val="23657539"/>
    <w:rsid w:val="24AF365E"/>
    <w:rsid w:val="25BE0976"/>
    <w:rsid w:val="266C4A5F"/>
    <w:rsid w:val="291A741E"/>
    <w:rsid w:val="29DD342A"/>
    <w:rsid w:val="2ACF739B"/>
    <w:rsid w:val="2B1D47D4"/>
    <w:rsid w:val="2E7446AA"/>
    <w:rsid w:val="2F3A3B86"/>
    <w:rsid w:val="30097454"/>
    <w:rsid w:val="31AB1C31"/>
    <w:rsid w:val="35DB70A1"/>
    <w:rsid w:val="36422FCA"/>
    <w:rsid w:val="364C2B74"/>
    <w:rsid w:val="37DA3703"/>
    <w:rsid w:val="38202938"/>
    <w:rsid w:val="388E309D"/>
    <w:rsid w:val="39C52C0D"/>
    <w:rsid w:val="39EA3F5F"/>
    <w:rsid w:val="3B0F37F5"/>
    <w:rsid w:val="3BD32DFF"/>
    <w:rsid w:val="3C495123"/>
    <w:rsid w:val="3DFF798C"/>
    <w:rsid w:val="3E6D717D"/>
    <w:rsid w:val="3F040BCB"/>
    <w:rsid w:val="41126B90"/>
    <w:rsid w:val="42FA114B"/>
    <w:rsid w:val="43B04043"/>
    <w:rsid w:val="440713C4"/>
    <w:rsid w:val="445B4D28"/>
    <w:rsid w:val="4520306C"/>
    <w:rsid w:val="453C25F9"/>
    <w:rsid w:val="45ED50AE"/>
    <w:rsid w:val="46021D8E"/>
    <w:rsid w:val="469E15AF"/>
    <w:rsid w:val="46D24563"/>
    <w:rsid w:val="47037727"/>
    <w:rsid w:val="47353186"/>
    <w:rsid w:val="4830538A"/>
    <w:rsid w:val="4AA743C5"/>
    <w:rsid w:val="4B0D06CC"/>
    <w:rsid w:val="4D3F37E3"/>
    <w:rsid w:val="4EC41427"/>
    <w:rsid w:val="4EF57671"/>
    <w:rsid w:val="4F952A3E"/>
    <w:rsid w:val="509616AE"/>
    <w:rsid w:val="50FC7684"/>
    <w:rsid w:val="51040296"/>
    <w:rsid w:val="513D6074"/>
    <w:rsid w:val="51AE272A"/>
    <w:rsid w:val="52872D62"/>
    <w:rsid w:val="52C13680"/>
    <w:rsid w:val="54E669CE"/>
    <w:rsid w:val="55EF09CE"/>
    <w:rsid w:val="56AE582A"/>
    <w:rsid w:val="571073CA"/>
    <w:rsid w:val="57F81AA1"/>
    <w:rsid w:val="58BE6AF1"/>
    <w:rsid w:val="5A3768DD"/>
    <w:rsid w:val="5C311F4A"/>
    <w:rsid w:val="5C9E7C04"/>
    <w:rsid w:val="5CEC03BB"/>
    <w:rsid w:val="5D3469F2"/>
    <w:rsid w:val="5D544069"/>
    <w:rsid w:val="5F4A15BE"/>
    <w:rsid w:val="5F5C2CD3"/>
    <w:rsid w:val="5F8F7CFD"/>
    <w:rsid w:val="615E45C7"/>
    <w:rsid w:val="618F7B8F"/>
    <w:rsid w:val="61D82C37"/>
    <w:rsid w:val="62572605"/>
    <w:rsid w:val="631D39F7"/>
    <w:rsid w:val="6378008B"/>
    <w:rsid w:val="63BF680D"/>
    <w:rsid w:val="676F43B5"/>
    <w:rsid w:val="68054C2E"/>
    <w:rsid w:val="69FD236B"/>
    <w:rsid w:val="6A8B2567"/>
    <w:rsid w:val="6BB7671B"/>
    <w:rsid w:val="6CFD7212"/>
    <w:rsid w:val="6D010332"/>
    <w:rsid w:val="6D12430A"/>
    <w:rsid w:val="6E5C0725"/>
    <w:rsid w:val="6F0B00D1"/>
    <w:rsid w:val="6FC27706"/>
    <w:rsid w:val="70DC7EE9"/>
    <w:rsid w:val="710E478C"/>
    <w:rsid w:val="71842293"/>
    <w:rsid w:val="71E51636"/>
    <w:rsid w:val="73830224"/>
    <w:rsid w:val="73E661C9"/>
    <w:rsid w:val="74CB1F96"/>
    <w:rsid w:val="76761A1C"/>
    <w:rsid w:val="76BD2B91"/>
    <w:rsid w:val="776F56D5"/>
    <w:rsid w:val="78115159"/>
    <w:rsid w:val="78356FDC"/>
    <w:rsid w:val="79116D2A"/>
    <w:rsid w:val="793212EE"/>
    <w:rsid w:val="799D787B"/>
    <w:rsid w:val="7B9D4282"/>
    <w:rsid w:val="7CCC3DED"/>
    <w:rsid w:val="7CD7280D"/>
    <w:rsid w:val="7EC9697C"/>
    <w:rsid w:val="7F2F4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15683</Words>
  <Characters>15774</Characters>
  <TotalTime>17</TotalTime>
  <ScaleCrop>false</ScaleCrop>
  <LinksUpToDate>false</LinksUpToDate>
  <CharactersWithSpaces>16394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2024-12-13T10:31:00Z</dcterms:created>
  <dc:creator>系统管理员</dc:creator>
  <cp:lastModifiedBy>姚万兵</cp:lastModifiedBy>
  <dcterms:modified xsi:type="dcterms:W3CDTF">2024-12-31T07:51:27Z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2024-12-13T10:59:21Z</vt:filetime>
  </property>
  <property fmtid="{D5CDD505-2E9C-101B-9397-08002B2CF9AE}" pid="4" name="KSOProductBuildVer">
    <vt:lpwstr>2052-12.1.0.18608</vt:lpwstr>
  </property>
  <property fmtid="{D5CDD505-2E9C-101B-9397-08002B2CF9AE}" pid="5" name="ICV">
    <vt:lpwstr>56721FD3B0444B6A98A0D8B1033A8DBE_12</vt:lpwstr>
  </property>
  <property fmtid="{D5CDD505-2E9C-101B-9397-08002B2CF9AE}" pid="6" name="KSOTemplateDocerSaveRecord">
    <vt:lpwstr>eyJoZGlkIjoiZGUxMjI5NWZiYjNkOWFlMzBmYmNjNDJhMDI4MGI0ZTIiLCJ1c2VySWQiOiIxNjQ4NTM1OTExIn0=</vt:lpwstr>
  </property>
</Properties>
</file>