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16E83">
      <w:pPr>
        <w:spacing w:line="600" w:lineRule="exact"/>
        <w:jc w:val="center"/>
        <w:outlineLvl w:val="0"/>
        <w:rPr>
          <w:rFonts w:ascii="方正小标宋简体" w:hAnsi="宋体" w:eastAsia="方正小标宋简体"/>
          <w:color w:val="000000"/>
          <w:sz w:val="72"/>
          <w:szCs w:val="72"/>
        </w:rPr>
      </w:pPr>
      <w:bookmarkStart w:id="0" w:name="_Toc15306267"/>
    </w:p>
    <w:p w14:paraId="6FFD91FB">
      <w:pPr>
        <w:spacing w:line="600" w:lineRule="exact"/>
        <w:jc w:val="center"/>
        <w:outlineLvl w:val="0"/>
        <w:rPr>
          <w:rFonts w:ascii="宋体" w:hAnsi="宋体" w:cs="宋体"/>
          <w:color w:val="000000"/>
          <w:sz w:val="72"/>
          <w:szCs w:val="72"/>
        </w:rPr>
      </w:pPr>
    </w:p>
    <w:p w14:paraId="74367F9E">
      <w:pPr>
        <w:spacing w:line="600" w:lineRule="exact"/>
        <w:jc w:val="center"/>
        <w:outlineLvl w:val="0"/>
        <w:rPr>
          <w:rFonts w:ascii="宋体" w:hAnsi="宋体" w:cs="宋体"/>
          <w:color w:val="000000"/>
          <w:sz w:val="72"/>
          <w:szCs w:val="72"/>
        </w:rPr>
      </w:pPr>
    </w:p>
    <w:p w14:paraId="7B5BDF1C">
      <w:pPr>
        <w:spacing w:line="600" w:lineRule="exact"/>
        <w:jc w:val="center"/>
        <w:outlineLvl w:val="0"/>
        <w:rPr>
          <w:rFonts w:ascii="宋体" w:hAnsi="宋体" w:cs="宋体"/>
          <w:color w:val="000000"/>
          <w:sz w:val="72"/>
          <w:szCs w:val="72"/>
        </w:rPr>
      </w:pPr>
    </w:p>
    <w:p w14:paraId="23211791">
      <w:pPr>
        <w:adjustRightInd w:val="0"/>
        <w:snapToGrid w:val="0"/>
        <w:spacing w:line="360" w:lineRule="auto"/>
        <w:jc w:val="center"/>
        <w:outlineLvl w:val="0"/>
        <w:rPr>
          <w:rFonts w:ascii="宋体" w:hAnsi="宋体" w:cs="宋体"/>
          <w:color w:val="000000"/>
          <w:sz w:val="72"/>
          <w:szCs w:val="72"/>
        </w:rPr>
      </w:pPr>
      <w:bookmarkStart w:id="1" w:name="_Toc15377425"/>
      <w:bookmarkStart w:id="2" w:name="_Toc15377193"/>
      <w:bookmarkStart w:id="3" w:name="_Toc15396475"/>
      <w:bookmarkStart w:id="4" w:name="_Toc15378441"/>
      <w:bookmarkStart w:id="5" w:name="_Toc15396597"/>
      <w:r>
        <w:rPr>
          <w:rFonts w:hint="eastAsia" w:ascii="宋体" w:hAnsi="宋体" w:cs="宋体"/>
          <w:color w:val="000000"/>
          <w:sz w:val="72"/>
          <w:szCs w:val="72"/>
        </w:rPr>
        <w:t>2021年度</w:t>
      </w:r>
      <w:bookmarkEnd w:id="1"/>
      <w:bookmarkEnd w:id="2"/>
      <w:bookmarkEnd w:id="3"/>
      <w:bookmarkEnd w:id="4"/>
      <w:bookmarkEnd w:id="5"/>
    </w:p>
    <w:bookmarkEnd w:id="0"/>
    <w:p w14:paraId="202BC98F">
      <w:pPr>
        <w:adjustRightInd w:val="0"/>
        <w:snapToGrid w:val="0"/>
        <w:spacing w:line="360" w:lineRule="auto"/>
        <w:jc w:val="center"/>
        <w:outlineLvl w:val="0"/>
        <w:rPr>
          <w:rFonts w:ascii="宋体" w:hAnsi="宋体" w:cs="宋体"/>
          <w:color w:val="000000"/>
          <w:sz w:val="72"/>
          <w:szCs w:val="72"/>
        </w:rPr>
      </w:pPr>
      <w:bookmarkStart w:id="6" w:name="_Toc15378442"/>
      <w:bookmarkStart w:id="7" w:name="_Toc15377426"/>
      <w:bookmarkStart w:id="8" w:name="_Toc15396476"/>
      <w:bookmarkStart w:id="9" w:name="_Toc15377194"/>
      <w:bookmarkStart w:id="10" w:name="_Toc15306268"/>
      <w:bookmarkStart w:id="11" w:name="_Toc15396598"/>
      <w:r>
        <w:rPr>
          <w:rFonts w:hint="eastAsia" w:ascii="宋体" w:hAnsi="宋体" w:cs="宋体"/>
          <w:color w:val="000000"/>
          <w:sz w:val="72"/>
          <w:szCs w:val="72"/>
        </w:rPr>
        <w:t>仁和区总发乡中心学校</w:t>
      </w:r>
    </w:p>
    <w:p w14:paraId="7DB49C2D">
      <w:pPr>
        <w:adjustRightInd w:val="0"/>
        <w:snapToGrid w:val="0"/>
        <w:spacing w:line="360" w:lineRule="auto"/>
        <w:jc w:val="center"/>
        <w:outlineLvl w:val="0"/>
        <w:rPr>
          <w:rFonts w:ascii="宋体" w:hAnsi="宋体" w:cs="宋体"/>
          <w:color w:val="000000"/>
          <w:sz w:val="72"/>
          <w:szCs w:val="72"/>
        </w:rPr>
      </w:pPr>
      <w:r>
        <w:rPr>
          <w:rFonts w:hint="eastAsia" w:ascii="宋体" w:hAnsi="宋体" w:cs="宋体"/>
          <w:color w:val="000000"/>
          <w:sz w:val="72"/>
          <w:szCs w:val="72"/>
        </w:rPr>
        <w:t>部门决算</w:t>
      </w:r>
      <w:bookmarkEnd w:id="6"/>
      <w:bookmarkEnd w:id="7"/>
      <w:bookmarkEnd w:id="8"/>
      <w:bookmarkEnd w:id="9"/>
      <w:bookmarkEnd w:id="10"/>
      <w:bookmarkEnd w:id="11"/>
      <w:r>
        <w:rPr>
          <w:rFonts w:hint="eastAsia" w:ascii="宋体" w:hAnsi="宋体" w:cs="宋体"/>
          <w:color w:val="000000"/>
          <w:sz w:val="72"/>
          <w:szCs w:val="72"/>
        </w:rPr>
        <w:t>编制说明</w:t>
      </w:r>
    </w:p>
    <w:p w14:paraId="5556FA97">
      <w:pPr>
        <w:widowControl/>
        <w:jc w:val="center"/>
        <w:rPr>
          <w:rFonts w:ascii="宋体" w:hAnsi="宋体" w:cs="宋体"/>
          <w:color w:val="000000"/>
          <w:sz w:val="48"/>
          <w:szCs w:val="48"/>
        </w:rPr>
      </w:pPr>
      <w:r>
        <w:rPr>
          <w:rFonts w:hint="eastAsia" w:ascii="宋体" w:hAnsi="宋体" w:cs="宋体"/>
          <w:color w:val="000000"/>
          <w:sz w:val="36"/>
          <w:szCs w:val="36"/>
        </w:rPr>
        <w:br w:type="page"/>
      </w:r>
      <w:r>
        <w:rPr>
          <w:rFonts w:hint="eastAsia" w:ascii="宋体" w:hAnsi="宋体" w:cs="宋体"/>
          <w:color w:val="000000"/>
          <w:sz w:val="48"/>
          <w:szCs w:val="48"/>
        </w:rPr>
        <w:t>目录</w:t>
      </w:r>
    </w:p>
    <w:p w14:paraId="11759DF1">
      <w:pPr>
        <w:widowControl/>
        <w:jc w:val="center"/>
        <w:rPr>
          <w:rFonts w:ascii="宋体" w:hAnsi="宋体" w:cs="宋体"/>
          <w:sz w:val="28"/>
          <w:szCs w:val="28"/>
        </w:rPr>
      </w:pPr>
    </w:p>
    <w:p w14:paraId="4109F152">
      <w:pPr>
        <w:pStyle w:val="12"/>
        <w:rPr>
          <w:rFonts w:ascii="宋体" w:hAnsi="宋体" w:eastAsia="宋体" w:cs="宋体"/>
        </w:rPr>
      </w:pPr>
      <w:r>
        <w:rPr>
          <w:rFonts w:hint="eastAsia" w:ascii="宋体" w:hAnsi="宋体" w:eastAsia="宋体" w:cs="宋体"/>
        </w:rPr>
        <w:t>公开时间：2022年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9</w:t>
      </w:r>
      <w:r>
        <w:rPr>
          <w:rFonts w:hint="eastAsia" w:ascii="宋体" w:hAnsi="宋体" w:eastAsia="宋体" w:cs="宋体"/>
        </w:rPr>
        <w:t>日</w:t>
      </w:r>
    </w:p>
    <w:p w14:paraId="08E9D0A4">
      <w:pPr>
        <w:rPr>
          <w:rFonts w:ascii="宋体" w:hAnsi="宋体" w:cs="宋体"/>
        </w:rPr>
      </w:pPr>
    </w:p>
    <w:p w14:paraId="5FDE7426">
      <w:pPr>
        <w:pStyle w:val="12"/>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rPr>
        <w:t>第一部分 单位概况..................................................4</w:t>
      </w:r>
    </w:p>
    <w:p w14:paraId="5F87444D">
      <w:pPr>
        <w:pStyle w:val="13"/>
        <w:adjustRightInd w:val="0"/>
        <w:snapToGrid w:val="0"/>
        <w:spacing w:line="440" w:lineRule="exact"/>
        <w:jc w:val="left"/>
        <w:rPr>
          <w:rFonts w:ascii="宋体" w:hAnsi="宋体" w:cs="宋体"/>
          <w:sz w:val="24"/>
        </w:rPr>
      </w:pPr>
      <w:r>
        <w:rPr>
          <w:rFonts w:hint="eastAsia" w:ascii="宋体" w:hAnsi="宋体" w:cs="宋体"/>
          <w:sz w:val="24"/>
        </w:rPr>
        <w:t>一、职能简介………………………………………………</w:t>
      </w:r>
      <w:r>
        <w:rPr>
          <w:rFonts w:ascii="宋体" w:hAnsi="宋体" w:cs="宋体"/>
          <w:sz w:val="24"/>
        </w:rPr>
        <w:t>…</w:t>
      </w:r>
      <w:r>
        <w:rPr>
          <w:rFonts w:hint="eastAsia" w:ascii="宋体" w:hAnsi="宋体" w:cs="宋体"/>
          <w:sz w:val="24"/>
        </w:rPr>
        <w:t>4</w:t>
      </w:r>
    </w:p>
    <w:p w14:paraId="2E6105A6">
      <w:pPr>
        <w:pStyle w:val="13"/>
        <w:adjustRightInd w:val="0"/>
        <w:snapToGrid w:val="0"/>
        <w:spacing w:line="440" w:lineRule="exact"/>
        <w:jc w:val="left"/>
        <w:rPr>
          <w:rFonts w:ascii="宋体" w:hAnsi="宋体" w:cs="宋体"/>
          <w:sz w:val="24"/>
        </w:rPr>
      </w:pPr>
      <w:r>
        <w:rPr>
          <w:rFonts w:hint="eastAsia" w:ascii="宋体" w:hAnsi="宋体" w:cs="宋体"/>
          <w:sz w:val="24"/>
        </w:rPr>
        <w:t>二、2021年重点工作完成情况</w:t>
      </w:r>
      <w:r>
        <w:rPr>
          <w:rFonts w:ascii="宋体" w:hAnsi="宋体" w:cs="宋体"/>
          <w:sz w:val="24"/>
        </w:rPr>
        <w:t>…………………………………</w:t>
      </w:r>
      <w:r>
        <w:rPr>
          <w:rFonts w:hint="eastAsia" w:ascii="宋体" w:hAnsi="宋体" w:cs="宋体"/>
          <w:sz w:val="24"/>
        </w:rPr>
        <w:t>4-6</w:t>
      </w:r>
    </w:p>
    <w:p w14:paraId="265C1C8E">
      <w:pPr>
        <w:pStyle w:val="13"/>
        <w:adjustRightInd w:val="0"/>
        <w:snapToGrid w:val="0"/>
        <w:spacing w:line="440" w:lineRule="exact"/>
        <w:jc w:val="left"/>
        <w:rPr>
          <w:rFonts w:ascii="宋体" w:hAnsi="宋体" w:cs="宋体"/>
          <w:sz w:val="24"/>
        </w:rPr>
      </w:pPr>
      <w:r>
        <w:rPr>
          <w:rFonts w:hint="eastAsia" w:ascii="宋体" w:hAnsi="宋体" w:cs="宋体"/>
          <w:sz w:val="24"/>
        </w:rPr>
        <w:t>三、机构设置情况…………………………………………………………6</w:t>
      </w:r>
    </w:p>
    <w:p w14:paraId="2E9BAEC3">
      <w:pPr>
        <w:pStyle w:val="12"/>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rPr>
        <w:t>第二部分 部门决算情况说明.........................................7</w:t>
      </w:r>
    </w:p>
    <w:p w14:paraId="18A9C03F">
      <w:pPr>
        <w:pStyle w:val="13"/>
        <w:adjustRightInd w:val="0"/>
        <w:snapToGrid w:val="0"/>
        <w:spacing w:line="440" w:lineRule="exact"/>
        <w:jc w:val="left"/>
        <w:rPr>
          <w:rFonts w:ascii="宋体" w:hAnsi="宋体" w:cs="宋体"/>
          <w:sz w:val="24"/>
        </w:rPr>
      </w:pPr>
      <w:r>
        <w:rPr>
          <w:rFonts w:hint="eastAsia" w:ascii="宋体" w:hAnsi="宋体" w:cs="宋体"/>
          <w:sz w:val="24"/>
        </w:rPr>
        <w:t>一、收入支出决算总体情况说明………………………………………………7</w:t>
      </w:r>
    </w:p>
    <w:p w14:paraId="4A5ED2EC">
      <w:pPr>
        <w:pStyle w:val="13"/>
        <w:adjustRightInd w:val="0"/>
        <w:snapToGrid w:val="0"/>
        <w:spacing w:line="440" w:lineRule="exact"/>
        <w:jc w:val="left"/>
        <w:rPr>
          <w:rFonts w:ascii="宋体" w:hAnsi="宋体" w:cs="宋体"/>
          <w:sz w:val="24"/>
        </w:rPr>
      </w:pPr>
      <w:r>
        <w:rPr>
          <w:rFonts w:hint="eastAsia" w:ascii="宋体" w:hAnsi="宋体" w:cs="宋体"/>
          <w:sz w:val="24"/>
        </w:rPr>
        <w:t>二、收入决算情况说明…………………………………………………………7</w:t>
      </w:r>
    </w:p>
    <w:p w14:paraId="528ED59C">
      <w:pPr>
        <w:pStyle w:val="13"/>
        <w:adjustRightInd w:val="0"/>
        <w:snapToGrid w:val="0"/>
        <w:spacing w:line="440" w:lineRule="exact"/>
        <w:jc w:val="left"/>
        <w:rPr>
          <w:rFonts w:ascii="宋体" w:hAnsi="宋体" w:cs="宋体"/>
          <w:sz w:val="24"/>
        </w:rPr>
      </w:pPr>
      <w:r>
        <w:rPr>
          <w:rFonts w:hint="eastAsia" w:ascii="宋体" w:hAnsi="宋体" w:cs="宋体"/>
          <w:sz w:val="24"/>
        </w:rPr>
        <w:t>三、支出决算情况说明…………………………………………………………7</w:t>
      </w:r>
    </w:p>
    <w:p w14:paraId="02133E7A">
      <w:pPr>
        <w:pStyle w:val="13"/>
        <w:adjustRightInd w:val="0"/>
        <w:snapToGrid w:val="0"/>
        <w:spacing w:line="440" w:lineRule="exact"/>
        <w:jc w:val="left"/>
        <w:rPr>
          <w:rFonts w:ascii="宋体" w:hAnsi="宋体" w:cs="宋体"/>
          <w:sz w:val="24"/>
        </w:rPr>
      </w:pPr>
      <w:r>
        <w:rPr>
          <w:rFonts w:hint="eastAsia" w:ascii="宋体" w:hAnsi="宋体" w:cs="宋体"/>
          <w:sz w:val="24"/>
        </w:rPr>
        <w:t>四、财政拨款收入支出决算总体情况说明……………………………..…..7</w:t>
      </w:r>
    </w:p>
    <w:p w14:paraId="2147E901">
      <w:pPr>
        <w:pStyle w:val="13"/>
        <w:adjustRightInd w:val="0"/>
        <w:snapToGrid w:val="0"/>
        <w:spacing w:line="440" w:lineRule="exact"/>
        <w:jc w:val="left"/>
        <w:rPr>
          <w:rFonts w:ascii="宋体" w:hAnsi="宋体" w:cs="宋体"/>
          <w:sz w:val="24"/>
        </w:rPr>
      </w:pPr>
      <w:r>
        <w:rPr>
          <w:rFonts w:hint="eastAsia" w:ascii="宋体" w:hAnsi="宋体" w:cs="宋体"/>
          <w:sz w:val="24"/>
        </w:rPr>
        <w:t>五、一般公共预算财政拨款支出决算情况明………………………………7-9</w:t>
      </w:r>
    </w:p>
    <w:p w14:paraId="0115BFEE">
      <w:pPr>
        <w:pStyle w:val="13"/>
        <w:adjustRightInd w:val="0"/>
        <w:snapToGrid w:val="0"/>
        <w:spacing w:line="440" w:lineRule="exact"/>
        <w:jc w:val="left"/>
        <w:rPr>
          <w:rFonts w:ascii="宋体" w:hAnsi="宋体" w:cs="宋体"/>
          <w:sz w:val="24"/>
        </w:rPr>
      </w:pPr>
      <w:r>
        <w:rPr>
          <w:rFonts w:hint="eastAsia" w:ascii="宋体" w:hAnsi="宋体" w:cs="宋体"/>
          <w:sz w:val="24"/>
        </w:rPr>
        <w:t>六、一般公共预算财政拨款基本支出决算情况说明………………………9-10</w:t>
      </w:r>
    </w:p>
    <w:p w14:paraId="56E25B3A">
      <w:pPr>
        <w:pStyle w:val="13"/>
        <w:adjustRightInd w:val="0"/>
        <w:snapToGrid w:val="0"/>
        <w:spacing w:line="440" w:lineRule="exact"/>
        <w:jc w:val="left"/>
        <w:rPr>
          <w:rFonts w:ascii="宋体" w:hAnsi="宋体" w:cs="宋体"/>
          <w:sz w:val="24"/>
        </w:rPr>
      </w:pPr>
      <w:r>
        <w:rPr>
          <w:rFonts w:hint="eastAsia" w:ascii="宋体" w:hAnsi="宋体" w:cs="宋体"/>
          <w:sz w:val="24"/>
        </w:rPr>
        <w:t>七、“三公”经费财政拨款支出决算情况说明………………………….…10-11</w:t>
      </w:r>
    </w:p>
    <w:p w14:paraId="4926781F">
      <w:pPr>
        <w:pStyle w:val="13"/>
        <w:adjustRightInd w:val="0"/>
        <w:snapToGrid w:val="0"/>
        <w:spacing w:line="440" w:lineRule="exact"/>
        <w:jc w:val="left"/>
        <w:rPr>
          <w:rFonts w:ascii="宋体" w:hAnsi="宋体" w:cs="宋体"/>
          <w:sz w:val="24"/>
        </w:rPr>
      </w:pPr>
      <w:r>
        <w:rPr>
          <w:rFonts w:hint="eastAsia" w:ascii="宋体" w:hAnsi="宋体" w:cs="宋体"/>
          <w:sz w:val="24"/>
        </w:rPr>
        <w:t>八、政府性基金预算支出决算情况说明…………………………………11-12九、 国有资本经营预算支出决算情况说明……………………………..12</w:t>
      </w:r>
    </w:p>
    <w:p w14:paraId="6CD51512">
      <w:pPr>
        <w:adjustRightInd w:val="0"/>
        <w:snapToGrid w:val="0"/>
        <w:spacing w:line="440" w:lineRule="exact"/>
        <w:ind w:firstLine="480" w:firstLineChars="200"/>
        <w:jc w:val="left"/>
        <w:rPr>
          <w:rFonts w:ascii="宋体" w:hAnsi="宋体" w:cs="宋体"/>
          <w:sz w:val="24"/>
        </w:rPr>
      </w:pPr>
      <w:r>
        <w:rPr>
          <w:rStyle w:val="17"/>
          <w:rFonts w:hint="eastAsia" w:ascii="宋体" w:hAnsi="宋体" w:cs="宋体"/>
          <w:color w:val="000000"/>
          <w:sz w:val="24"/>
        </w:rPr>
        <w:t>十、</w:t>
      </w:r>
      <w:r>
        <w:rPr>
          <w:rFonts w:hint="eastAsia" w:ascii="宋体" w:hAnsi="宋体" w:cs="宋体"/>
          <w:sz w:val="24"/>
        </w:rPr>
        <w:t>其他重要事项的情况说明……………………………………………12-13</w:t>
      </w:r>
    </w:p>
    <w:p w14:paraId="7E3BC81E">
      <w:pPr>
        <w:pStyle w:val="12"/>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rPr>
        <w:t>第三部分 名词解释..............................................14-15</w:t>
      </w:r>
    </w:p>
    <w:p w14:paraId="2D51BD97">
      <w:pPr>
        <w:pStyle w:val="12"/>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rPr>
        <w:t>第四部分 附件......................................................16</w:t>
      </w:r>
    </w:p>
    <w:p w14:paraId="330E9622">
      <w:pPr>
        <w:pStyle w:val="13"/>
        <w:adjustRightInd w:val="0"/>
        <w:snapToGrid w:val="0"/>
        <w:spacing w:line="440" w:lineRule="exact"/>
        <w:jc w:val="left"/>
        <w:rPr>
          <w:rFonts w:ascii="宋体" w:hAnsi="宋体" w:cs="宋体"/>
          <w:sz w:val="24"/>
        </w:rPr>
      </w:pPr>
      <w:r>
        <w:rPr>
          <w:rFonts w:hint="eastAsia" w:ascii="宋体" w:hAnsi="宋体" w:cs="宋体"/>
          <w:sz w:val="24"/>
        </w:rPr>
        <w:t>附件1……………………………………………………………………… 16-22</w:t>
      </w:r>
    </w:p>
    <w:p w14:paraId="78113DFC">
      <w:pPr>
        <w:pStyle w:val="13"/>
        <w:adjustRightInd w:val="0"/>
        <w:snapToGrid w:val="0"/>
        <w:spacing w:line="440" w:lineRule="exact"/>
        <w:jc w:val="left"/>
        <w:rPr>
          <w:rFonts w:ascii="宋体" w:hAnsi="宋体" w:cs="宋体"/>
          <w:sz w:val="24"/>
        </w:rPr>
      </w:pPr>
      <w:r>
        <w:rPr>
          <w:rFonts w:hint="eastAsia" w:ascii="宋体" w:hAnsi="宋体" w:cs="宋体"/>
          <w:sz w:val="24"/>
        </w:rPr>
        <w:t>附件2……………………………………………………………………… 23-24</w:t>
      </w:r>
    </w:p>
    <w:p w14:paraId="2C107DF7">
      <w:pPr>
        <w:pStyle w:val="12"/>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rPr>
        <w:t>第五部分 附表......................................................25</w:t>
      </w:r>
    </w:p>
    <w:p w14:paraId="5C49C517">
      <w:pPr>
        <w:pStyle w:val="13"/>
        <w:adjustRightInd w:val="0"/>
        <w:snapToGrid w:val="0"/>
        <w:spacing w:line="440" w:lineRule="exact"/>
        <w:jc w:val="left"/>
        <w:rPr>
          <w:rFonts w:ascii="宋体" w:hAnsi="宋体" w:cs="宋体"/>
          <w:sz w:val="24"/>
        </w:rPr>
      </w:pPr>
      <w:r>
        <w:rPr>
          <w:rFonts w:hint="eastAsia" w:ascii="宋体" w:hAnsi="宋体" w:cs="宋体"/>
          <w:sz w:val="24"/>
        </w:rPr>
        <w:t>一、收入支出决算总表…………………………………………………………26</w:t>
      </w:r>
    </w:p>
    <w:p w14:paraId="52545DFF">
      <w:pPr>
        <w:pStyle w:val="13"/>
        <w:adjustRightInd w:val="0"/>
        <w:snapToGrid w:val="0"/>
        <w:spacing w:line="440" w:lineRule="exact"/>
        <w:jc w:val="left"/>
        <w:rPr>
          <w:rFonts w:ascii="宋体" w:hAnsi="宋体" w:cs="宋体"/>
          <w:sz w:val="24"/>
        </w:rPr>
      </w:pPr>
      <w:r>
        <w:rPr>
          <w:rFonts w:hint="eastAsia" w:ascii="宋体" w:hAnsi="宋体" w:cs="宋体"/>
          <w:sz w:val="24"/>
        </w:rPr>
        <w:t>二、收入决算表…………………………………………………………………27</w:t>
      </w:r>
    </w:p>
    <w:p w14:paraId="599930F2">
      <w:pPr>
        <w:pStyle w:val="13"/>
        <w:adjustRightInd w:val="0"/>
        <w:snapToGrid w:val="0"/>
        <w:spacing w:line="440" w:lineRule="exact"/>
        <w:jc w:val="left"/>
        <w:rPr>
          <w:rFonts w:ascii="宋体" w:hAnsi="宋体" w:cs="宋体"/>
          <w:sz w:val="24"/>
        </w:rPr>
      </w:pPr>
      <w:r>
        <w:rPr>
          <w:rFonts w:hint="eastAsia" w:ascii="宋体" w:hAnsi="宋体" w:cs="宋体"/>
          <w:sz w:val="24"/>
        </w:rPr>
        <w:t>三、支出决算表…………………………………………………………………28</w:t>
      </w:r>
    </w:p>
    <w:p w14:paraId="680B8F69">
      <w:pPr>
        <w:pStyle w:val="13"/>
        <w:adjustRightInd w:val="0"/>
        <w:snapToGrid w:val="0"/>
        <w:spacing w:line="440" w:lineRule="exact"/>
        <w:jc w:val="left"/>
        <w:rPr>
          <w:rFonts w:ascii="宋体" w:hAnsi="宋体" w:cs="宋体"/>
          <w:sz w:val="24"/>
        </w:rPr>
      </w:pPr>
      <w:r>
        <w:rPr>
          <w:rFonts w:hint="eastAsia" w:ascii="宋体" w:hAnsi="宋体" w:cs="宋体"/>
          <w:sz w:val="24"/>
        </w:rPr>
        <w:t>四、财政拨款收入支出决算总表………………………………………………29</w:t>
      </w:r>
    </w:p>
    <w:p w14:paraId="0C6297C4">
      <w:pPr>
        <w:pStyle w:val="13"/>
        <w:adjustRightInd w:val="0"/>
        <w:snapToGrid w:val="0"/>
        <w:spacing w:line="440" w:lineRule="exact"/>
        <w:jc w:val="left"/>
        <w:rPr>
          <w:rFonts w:ascii="宋体" w:hAnsi="宋体" w:cs="宋体"/>
          <w:sz w:val="24"/>
        </w:rPr>
      </w:pPr>
      <w:r>
        <w:rPr>
          <w:rFonts w:hint="eastAsia" w:ascii="宋体" w:hAnsi="宋体" w:cs="宋体"/>
          <w:sz w:val="24"/>
        </w:rPr>
        <w:t>五、财政拨款支出决算明细表…………………………………………………30</w:t>
      </w:r>
    </w:p>
    <w:p w14:paraId="2627BDD5">
      <w:pPr>
        <w:pStyle w:val="13"/>
        <w:adjustRightInd w:val="0"/>
        <w:snapToGrid w:val="0"/>
        <w:spacing w:line="440" w:lineRule="exact"/>
        <w:jc w:val="left"/>
        <w:rPr>
          <w:rFonts w:ascii="宋体" w:hAnsi="宋体" w:cs="宋体"/>
          <w:sz w:val="24"/>
        </w:rPr>
      </w:pPr>
      <w:r>
        <w:rPr>
          <w:rFonts w:hint="eastAsia" w:ascii="宋体" w:hAnsi="宋体" w:cs="宋体"/>
          <w:sz w:val="24"/>
        </w:rPr>
        <w:t>六、一般公共预算财政拨款支出决算表………………………………………31</w:t>
      </w:r>
    </w:p>
    <w:p w14:paraId="318B6353">
      <w:pPr>
        <w:pStyle w:val="13"/>
        <w:adjustRightInd w:val="0"/>
        <w:snapToGrid w:val="0"/>
        <w:spacing w:line="440" w:lineRule="exact"/>
        <w:jc w:val="left"/>
        <w:rPr>
          <w:rFonts w:ascii="宋体" w:hAnsi="宋体" w:cs="宋体"/>
          <w:sz w:val="24"/>
        </w:rPr>
      </w:pPr>
      <w:r>
        <w:rPr>
          <w:rFonts w:hint="eastAsia" w:ascii="宋体" w:hAnsi="宋体" w:cs="宋体"/>
          <w:sz w:val="24"/>
        </w:rPr>
        <w:t>七、一般公共预算财政拨款支出决算明细表…………………………………32</w:t>
      </w:r>
    </w:p>
    <w:p w14:paraId="795B100C">
      <w:pPr>
        <w:pStyle w:val="13"/>
        <w:adjustRightInd w:val="0"/>
        <w:snapToGrid w:val="0"/>
        <w:spacing w:line="440" w:lineRule="exact"/>
        <w:jc w:val="left"/>
        <w:rPr>
          <w:rFonts w:ascii="宋体" w:hAnsi="宋体" w:cs="宋体"/>
          <w:sz w:val="24"/>
        </w:rPr>
      </w:pPr>
      <w:r>
        <w:rPr>
          <w:rFonts w:hint="eastAsia" w:ascii="宋体" w:hAnsi="宋体" w:cs="宋体"/>
          <w:sz w:val="24"/>
        </w:rPr>
        <w:t>八、一般公共预算财政拨款基本支出决算表……………………………..…33</w:t>
      </w:r>
    </w:p>
    <w:p w14:paraId="0479B691">
      <w:pPr>
        <w:pStyle w:val="13"/>
        <w:adjustRightInd w:val="0"/>
        <w:snapToGrid w:val="0"/>
        <w:spacing w:line="440" w:lineRule="exact"/>
        <w:jc w:val="left"/>
        <w:rPr>
          <w:rFonts w:ascii="宋体" w:hAnsi="宋体" w:cs="宋体"/>
          <w:sz w:val="24"/>
        </w:rPr>
      </w:pPr>
      <w:r>
        <w:rPr>
          <w:rFonts w:hint="eastAsia" w:ascii="宋体" w:hAnsi="宋体" w:cs="宋体"/>
          <w:sz w:val="24"/>
        </w:rPr>
        <w:t>九、一般公共预算财政拨款项目支出决算表……………………………..…34</w:t>
      </w:r>
    </w:p>
    <w:p w14:paraId="1E7B5665">
      <w:pPr>
        <w:pStyle w:val="13"/>
        <w:adjustRightInd w:val="0"/>
        <w:snapToGrid w:val="0"/>
        <w:spacing w:line="440" w:lineRule="exact"/>
        <w:jc w:val="left"/>
        <w:rPr>
          <w:rFonts w:ascii="宋体" w:hAnsi="宋体" w:cs="宋体"/>
          <w:sz w:val="24"/>
        </w:rPr>
      </w:pPr>
      <w:r>
        <w:rPr>
          <w:rFonts w:hint="eastAsia" w:ascii="宋体" w:hAnsi="宋体" w:cs="宋体"/>
          <w:sz w:val="24"/>
        </w:rPr>
        <w:t>十、一般公共预算财政拨款“三公”经费支出决算表……………..………35</w:t>
      </w:r>
    </w:p>
    <w:p w14:paraId="1ACA2B6B">
      <w:pPr>
        <w:pStyle w:val="13"/>
        <w:adjustRightInd w:val="0"/>
        <w:snapToGrid w:val="0"/>
        <w:spacing w:line="440" w:lineRule="exact"/>
        <w:jc w:val="left"/>
        <w:rPr>
          <w:rFonts w:ascii="宋体" w:hAnsi="宋体" w:cs="宋体"/>
          <w:sz w:val="24"/>
        </w:rPr>
      </w:pPr>
      <w:r>
        <w:rPr>
          <w:rFonts w:hint="eastAsia" w:ascii="宋体" w:hAnsi="宋体" w:cs="宋体"/>
          <w:sz w:val="24"/>
        </w:rPr>
        <w:t>十一、政府性基金预算财政拨款收入支出决算表……………………..……36</w:t>
      </w:r>
    </w:p>
    <w:p w14:paraId="74FE9004">
      <w:pPr>
        <w:pStyle w:val="13"/>
        <w:adjustRightInd w:val="0"/>
        <w:snapToGrid w:val="0"/>
        <w:spacing w:line="440" w:lineRule="exact"/>
        <w:jc w:val="left"/>
        <w:rPr>
          <w:rFonts w:ascii="宋体" w:hAnsi="宋体" w:cs="宋体"/>
          <w:sz w:val="24"/>
        </w:rPr>
      </w:pPr>
      <w:r>
        <w:rPr>
          <w:rFonts w:hint="eastAsia" w:ascii="宋体" w:hAnsi="宋体" w:cs="宋体"/>
          <w:sz w:val="24"/>
        </w:rPr>
        <w:t>十二、政府性基金预算财政拨款“三公”经费支出决算表……………..…37</w:t>
      </w:r>
    </w:p>
    <w:p w14:paraId="26D297FC">
      <w:pPr>
        <w:pStyle w:val="13"/>
        <w:adjustRightInd w:val="0"/>
        <w:snapToGrid w:val="0"/>
        <w:spacing w:line="440" w:lineRule="exact"/>
        <w:jc w:val="left"/>
        <w:rPr>
          <w:rFonts w:ascii="宋体" w:hAnsi="宋体" w:cs="宋体"/>
          <w:sz w:val="24"/>
        </w:rPr>
      </w:pPr>
      <w:r>
        <w:rPr>
          <w:rFonts w:hint="eastAsia" w:ascii="宋体" w:hAnsi="宋体" w:cs="宋体"/>
          <w:sz w:val="24"/>
        </w:rPr>
        <w:t>十三、国有资本经营预算财政拨款收入支出决算表……………………..…38</w:t>
      </w:r>
    </w:p>
    <w:p w14:paraId="3E6DCB5D">
      <w:pPr>
        <w:pStyle w:val="13"/>
        <w:adjustRightInd w:val="0"/>
        <w:snapToGrid w:val="0"/>
        <w:spacing w:line="440" w:lineRule="exact"/>
        <w:jc w:val="left"/>
        <w:rPr>
          <w:rFonts w:ascii="宋体" w:hAnsi="宋体" w:cs="宋体"/>
          <w:sz w:val="24"/>
        </w:rPr>
      </w:pPr>
      <w:r>
        <w:rPr>
          <w:rFonts w:hint="eastAsia" w:ascii="宋体" w:hAnsi="宋体" w:cs="宋体"/>
          <w:sz w:val="24"/>
        </w:rPr>
        <w:t>十四、国有资本经营预算财政拨款支出决算表………………………..……39</w:t>
      </w:r>
    </w:p>
    <w:p w14:paraId="2E21C5B2">
      <w:pPr>
        <w:widowControl/>
        <w:jc w:val="center"/>
        <w:rPr>
          <w:rFonts w:ascii="宋体" w:hAnsi="宋体" w:cs="宋体"/>
          <w:sz w:val="24"/>
        </w:rPr>
      </w:pPr>
      <w:r>
        <w:rPr>
          <w:rFonts w:hint="eastAsia" w:ascii="宋体" w:hAnsi="宋体" w:cs="宋体"/>
          <w:sz w:val="24"/>
        </w:rPr>
        <w:br w:type="page"/>
      </w:r>
    </w:p>
    <w:p w14:paraId="20C8A09B">
      <w:pPr>
        <w:widowControl/>
        <w:spacing w:line="440" w:lineRule="exact"/>
        <w:jc w:val="center"/>
        <w:rPr>
          <w:rStyle w:val="26"/>
          <w:rFonts w:ascii="宋体" w:hAnsi="宋体" w:cs="宋体"/>
          <w:b w:val="0"/>
          <w:sz w:val="32"/>
          <w:szCs w:val="32"/>
        </w:rPr>
      </w:pPr>
      <w:bookmarkStart w:id="12" w:name="_Toc15377196"/>
      <w:bookmarkStart w:id="13" w:name="_Toc15396599"/>
      <w:r>
        <w:rPr>
          <w:rFonts w:hint="eastAsia" w:ascii="宋体" w:hAnsi="宋体" w:cs="宋体"/>
          <w:b/>
          <w:sz w:val="32"/>
          <w:szCs w:val="32"/>
        </w:rPr>
        <w:t xml:space="preserve">第一部分 </w:t>
      </w:r>
      <w:r>
        <w:rPr>
          <w:rStyle w:val="26"/>
          <w:rFonts w:hint="eastAsia" w:ascii="宋体" w:hAnsi="宋体" w:cs="宋体"/>
          <w:sz w:val="32"/>
          <w:szCs w:val="32"/>
        </w:rPr>
        <w:t>单位概况</w:t>
      </w:r>
      <w:bookmarkEnd w:id="12"/>
      <w:bookmarkEnd w:id="13"/>
      <w:bookmarkStart w:id="14" w:name="_Toc15377197"/>
      <w:bookmarkStart w:id="15" w:name="_Toc15396600"/>
    </w:p>
    <w:p w14:paraId="4E457645">
      <w:pPr>
        <w:widowControl/>
        <w:spacing w:line="440" w:lineRule="exact"/>
        <w:rPr>
          <w:rStyle w:val="26"/>
          <w:rFonts w:ascii="宋体" w:hAnsi="宋体" w:cs="宋体"/>
          <w:sz w:val="32"/>
          <w:szCs w:val="32"/>
        </w:rPr>
      </w:pPr>
    </w:p>
    <w:p w14:paraId="6353FFA7">
      <w:pPr>
        <w:widowControl/>
        <w:spacing w:line="440" w:lineRule="exact"/>
        <w:rPr>
          <w:rStyle w:val="27"/>
          <w:rFonts w:ascii="宋体" w:hAnsi="宋体" w:eastAsia="宋体" w:cs="宋体"/>
          <w:kern w:val="44"/>
        </w:rPr>
      </w:pPr>
      <w:r>
        <w:rPr>
          <w:rFonts w:hint="eastAsia" w:ascii="宋体" w:hAnsi="宋体" w:cs="宋体"/>
          <w:color w:val="000000"/>
          <w:sz w:val="32"/>
          <w:szCs w:val="32"/>
        </w:rPr>
        <w:t>一、</w:t>
      </w:r>
      <w:bookmarkEnd w:id="14"/>
      <w:bookmarkEnd w:id="15"/>
      <w:r>
        <w:rPr>
          <w:rStyle w:val="27"/>
          <w:rFonts w:hint="eastAsia" w:ascii="宋体" w:hAnsi="宋体" w:eastAsia="宋体" w:cs="宋体"/>
        </w:rPr>
        <w:t>职能简介</w:t>
      </w:r>
    </w:p>
    <w:p w14:paraId="6D351711">
      <w:pPr>
        <w:pStyle w:val="7"/>
        <w:adjustRightInd w:val="0"/>
        <w:snapToGrid w:val="0"/>
        <w:spacing w:before="93" w:line="580" w:lineRule="exact"/>
        <w:ind w:firstLine="672" w:firstLineChars="210"/>
        <w:rPr>
          <w:rFonts w:ascii="宋体" w:hAnsi="宋体" w:eastAsia="宋体" w:cs="宋体"/>
          <w:bCs/>
          <w:sz w:val="32"/>
          <w:szCs w:val="32"/>
        </w:rPr>
      </w:pPr>
      <w:bookmarkStart w:id="16" w:name="_Toc15377200"/>
      <w:bookmarkStart w:id="17" w:name="_Toc15396601"/>
      <w:r>
        <w:rPr>
          <w:rFonts w:hint="eastAsia" w:ascii="宋体" w:hAnsi="宋体" w:eastAsia="宋体" w:cs="宋体"/>
          <w:bCs/>
          <w:sz w:val="32"/>
          <w:szCs w:val="32"/>
        </w:rPr>
        <w:t>1.攀枝花市仁和区总发乡中心学校是攀枝花市仁和区教育和体育局直属管辖的小学阶段义务教育学校；2021年学校重点工作任务是完成本辖区内适龄儿童的义务教育小学阶段学历教育及相关社会服务，</w:t>
      </w:r>
      <w:r>
        <w:rPr>
          <w:rFonts w:hint="eastAsia" w:ascii="宋体" w:hAnsi="宋体" w:eastAsia="宋体" w:cs="宋体"/>
          <w:sz w:val="32"/>
          <w:szCs w:val="32"/>
        </w:rPr>
        <w:t>是一所城乡结合的寄宿制小学</w:t>
      </w:r>
      <w:r>
        <w:rPr>
          <w:rFonts w:hint="eastAsia" w:ascii="宋体" w:hAnsi="宋体" w:eastAsia="宋体" w:cs="宋体"/>
          <w:bCs/>
          <w:sz w:val="32"/>
          <w:szCs w:val="32"/>
        </w:rPr>
        <w:t>。</w:t>
      </w:r>
      <w:r>
        <w:rPr>
          <w:rFonts w:hint="eastAsia" w:ascii="宋体" w:hAnsi="宋体" w:eastAsia="宋体" w:cs="宋体"/>
          <w:sz w:val="32"/>
          <w:szCs w:val="32"/>
        </w:rPr>
        <w:t>现所辖一所中心校、及一所幼儿园(总发乡中心幼儿园)</w:t>
      </w:r>
    </w:p>
    <w:p w14:paraId="62A8832D">
      <w:pPr>
        <w:pStyle w:val="7"/>
        <w:adjustRightInd w:val="0"/>
        <w:snapToGrid w:val="0"/>
        <w:spacing w:before="93" w:line="580" w:lineRule="exact"/>
        <w:ind w:firstLine="480" w:firstLineChars="150"/>
        <w:rPr>
          <w:rFonts w:ascii="宋体" w:hAnsi="宋体" w:eastAsia="宋体" w:cs="宋体"/>
          <w:sz w:val="32"/>
          <w:szCs w:val="32"/>
        </w:rPr>
      </w:pPr>
      <w:r>
        <w:rPr>
          <w:rFonts w:hint="eastAsia" w:ascii="宋体" w:hAnsi="宋体" w:eastAsia="宋体" w:cs="宋体"/>
          <w:sz w:val="32"/>
          <w:szCs w:val="32"/>
        </w:rPr>
        <w:t>2.机构情况，包括当年变动情况及原因。</w:t>
      </w:r>
    </w:p>
    <w:p w14:paraId="29C62FE5">
      <w:pPr>
        <w:snapToGrid w:val="0"/>
        <w:spacing w:line="520" w:lineRule="exact"/>
        <w:ind w:firstLine="640" w:firstLineChars="200"/>
        <w:rPr>
          <w:rFonts w:ascii="宋体" w:hAnsi="宋体" w:cs="宋体"/>
          <w:sz w:val="32"/>
          <w:szCs w:val="32"/>
        </w:rPr>
      </w:pPr>
      <w:r>
        <w:rPr>
          <w:rFonts w:hint="eastAsia" w:ascii="宋体" w:hAnsi="宋体" w:cs="宋体"/>
          <w:sz w:val="32"/>
          <w:szCs w:val="32"/>
        </w:rPr>
        <w:t>攀枝花市仁和区总发乡中心学校属于独立核算的一类事业单位，由财政全额拨款的事业单位。2021年无变动情况。</w:t>
      </w:r>
    </w:p>
    <w:p w14:paraId="50FE7674">
      <w:pPr>
        <w:snapToGrid w:val="0"/>
        <w:spacing w:line="520" w:lineRule="exact"/>
        <w:ind w:firstLine="640" w:firstLineChars="200"/>
        <w:rPr>
          <w:rStyle w:val="27"/>
          <w:rFonts w:ascii="宋体" w:hAnsi="宋体" w:eastAsia="宋体" w:cs="宋体"/>
          <w:b w:val="0"/>
          <w:bCs w:val="0"/>
        </w:rPr>
      </w:pPr>
      <w:r>
        <w:rPr>
          <w:rFonts w:hint="eastAsia" w:ascii="宋体" w:hAnsi="宋体" w:cs="宋体"/>
          <w:sz w:val="32"/>
          <w:szCs w:val="32"/>
        </w:rPr>
        <w:t>3.人员情况，包括当年变动情况及原因。我校现有财政补助开支人数34人，其中：在职教职工34人。与上年相比持平。主要原因是：2021年退休2人，公招2人。</w:t>
      </w:r>
    </w:p>
    <w:p w14:paraId="697B739E">
      <w:pPr>
        <w:snapToGrid w:val="0"/>
        <w:spacing w:line="520" w:lineRule="exact"/>
        <w:ind w:firstLine="640" w:firstLineChars="200"/>
        <w:rPr>
          <w:rFonts w:ascii="宋体" w:hAnsi="宋体" w:cs="宋体"/>
          <w:sz w:val="32"/>
          <w:szCs w:val="32"/>
        </w:rPr>
      </w:pPr>
      <w:r>
        <w:rPr>
          <w:rFonts w:hint="eastAsia" w:ascii="宋体" w:hAnsi="宋体" w:cs="宋体"/>
          <w:sz w:val="32"/>
          <w:szCs w:val="32"/>
        </w:rPr>
        <w:t>4.总发乡中心学校属一级预算单位，下设独立编制机构0个，其中行政机构0个，参照公务员法管理的事业机构0个，其他事业机构0个。</w:t>
      </w:r>
    </w:p>
    <w:p w14:paraId="798543EE">
      <w:pPr>
        <w:pStyle w:val="7"/>
        <w:adjustRightInd w:val="0"/>
        <w:snapToGrid w:val="0"/>
        <w:spacing w:before="93" w:line="600" w:lineRule="exact"/>
        <w:ind w:firstLine="161" w:firstLineChars="50"/>
        <w:outlineLvl w:val="2"/>
        <w:rPr>
          <w:rFonts w:ascii="宋体" w:hAnsi="宋体" w:eastAsia="宋体" w:cs="宋体"/>
          <w:b/>
          <w:bCs/>
          <w:color w:val="000000"/>
          <w:sz w:val="32"/>
          <w:szCs w:val="32"/>
        </w:rPr>
      </w:pPr>
      <w:bookmarkStart w:id="18" w:name="_Toc15377199"/>
      <w:bookmarkStart w:id="19" w:name="_Toc15378446"/>
      <w:r>
        <w:rPr>
          <w:rFonts w:hint="eastAsia" w:ascii="宋体" w:hAnsi="宋体" w:eastAsia="宋体" w:cs="宋体"/>
          <w:b/>
          <w:bCs/>
          <w:color w:val="000000"/>
          <w:sz w:val="32"/>
          <w:szCs w:val="32"/>
        </w:rPr>
        <w:t>二、2021年重点工作完成情况</w:t>
      </w:r>
      <w:bookmarkEnd w:id="18"/>
      <w:bookmarkEnd w:id="19"/>
    </w:p>
    <w:p w14:paraId="29B09227">
      <w:pPr>
        <w:ind w:firstLine="640" w:firstLineChars="200"/>
        <w:jc w:val="left"/>
        <w:rPr>
          <w:rFonts w:ascii="宋体" w:hAnsi="宋体" w:cs="宋体"/>
          <w:sz w:val="32"/>
          <w:szCs w:val="32"/>
        </w:rPr>
      </w:pPr>
      <w:r>
        <w:rPr>
          <w:rFonts w:hint="eastAsia" w:ascii="宋体" w:hAnsi="宋体" w:cs="宋体"/>
          <w:sz w:val="32"/>
          <w:szCs w:val="32"/>
        </w:rPr>
        <w:t>从整个收支预算可以看出，2021年收支预决算执行情况良好。2021年与2020年相比较财政拨款预算收入增加了61.08万元，原因：财政增加教育投入，人员经费增加、在审核监督财务收支过程中、发现问题及时进行了处理、及时向上级财政主管部门请教、使各项财务工作能顺利的在我单位得以顺利实施。</w:t>
      </w:r>
    </w:p>
    <w:p w14:paraId="0F2CB209">
      <w:pPr>
        <w:ind w:firstLine="640" w:firstLineChars="200"/>
        <w:jc w:val="left"/>
        <w:rPr>
          <w:rFonts w:ascii="宋体" w:hAnsi="宋体" w:cs="宋体"/>
          <w:sz w:val="32"/>
          <w:szCs w:val="32"/>
        </w:rPr>
      </w:pPr>
      <w:r>
        <w:rPr>
          <w:rFonts w:hint="eastAsia" w:ascii="宋体" w:hAnsi="宋体" w:cs="宋体"/>
          <w:sz w:val="32"/>
          <w:szCs w:val="32"/>
        </w:rPr>
        <w:t>（一）切实加强党建工作，增强党组织的战斗力和凝聚力。强化理论学习，提高思想政治素质，发挥先锋模范作用。继续开展“加强作风建设优化育人环境”活动。开展“不忘初心、立德树人”为主题的师德师风建设；加强学校廉政文化建设；加强了意识形态工作，成立了意识形态工作小组，制定了《总发乡中心学校意识形态工作实施方案》，并在思想政治学习、师德师风学习中落实意识形态工作。一学年来，保质保量地完成年度工作计划，为学校的和谐持续发展作出贡献!</w:t>
      </w:r>
    </w:p>
    <w:p w14:paraId="0FF57952">
      <w:pPr>
        <w:ind w:firstLine="480" w:firstLineChars="150"/>
        <w:jc w:val="left"/>
        <w:rPr>
          <w:rFonts w:ascii="宋体" w:hAnsi="宋体" w:cs="宋体"/>
          <w:sz w:val="32"/>
          <w:szCs w:val="32"/>
        </w:rPr>
      </w:pPr>
      <w:r>
        <w:rPr>
          <w:rFonts w:hint="eastAsia" w:ascii="宋体" w:hAnsi="宋体" w:cs="宋体"/>
          <w:sz w:val="32"/>
          <w:szCs w:val="32"/>
        </w:rPr>
        <w:t>（二）德育工作方面：以素质教育为目标，以德育工作为先导，以感恩教育、爱国主义为主旋律，以日常行为规范为抓手，寓德育教育于丰富多彩的活动之中， 突出艺术特色，搭建成长平台, 学校拥有一支团结协作、拼搏</w:t>
      </w:r>
    </w:p>
    <w:p w14:paraId="25FCE28B">
      <w:pPr>
        <w:jc w:val="left"/>
        <w:rPr>
          <w:rFonts w:ascii="宋体" w:hAnsi="宋体" w:cs="宋体"/>
          <w:sz w:val="32"/>
          <w:szCs w:val="32"/>
        </w:rPr>
      </w:pPr>
      <w:r>
        <w:rPr>
          <w:rFonts w:hint="eastAsia" w:ascii="宋体" w:hAnsi="宋体" w:cs="宋体"/>
          <w:sz w:val="32"/>
          <w:szCs w:val="32"/>
        </w:rPr>
        <w:t xml:space="preserve">   ( 三)坚持以教学为中心，全面提高教学质量积极组织教师以校本培训为主要方式，深入学习各科新课程理念。开学初，组织全校语文老师对各科教材进行了细致的知识点梳理，并按照“三疑三探”课堂模式进行集体备课。四、六年级参加市调研监测考试成绩好，被评为攀枝花市义务教育教学质量贡献学校。</w:t>
      </w:r>
    </w:p>
    <w:p w14:paraId="08A25ECD">
      <w:pPr>
        <w:ind w:firstLine="480" w:firstLineChars="150"/>
        <w:jc w:val="left"/>
        <w:rPr>
          <w:rFonts w:ascii="宋体" w:hAnsi="宋体" w:cs="宋体"/>
          <w:color w:val="000000"/>
        </w:rPr>
      </w:pPr>
      <w:r>
        <w:rPr>
          <w:rFonts w:hint="eastAsia" w:ascii="宋体" w:hAnsi="宋体" w:cs="宋体"/>
          <w:sz w:val="32"/>
          <w:szCs w:val="32"/>
        </w:rPr>
        <w:t>(四)强化安全管理责任，加强学校总务后勤服务工作，继续把安全工作列入重要议事日程，坚持常规工作不放松，确保教育教学的正常进行。通过培训等方式增强教职工的安全责任意识。把安全责任分解落实到人。 争取社会、家庭、派出所、卫生所、乡综合治理的密切配合。做好学校安全保卫工作，组织开展一系列道德、法制教育活动，交通安全知识竞赛活动。近些年的学校安全卫生工作得到上级教育部门的一致好评。杜绝了学校重大安全、卫生事故的发生，保障了正常的教育教学秩序。</w:t>
      </w:r>
    </w:p>
    <w:bookmarkEnd w:id="16"/>
    <w:bookmarkEnd w:id="17"/>
    <w:p w14:paraId="4024341B">
      <w:pPr>
        <w:spacing w:line="360" w:lineRule="auto"/>
        <w:rPr>
          <w:rFonts w:cs="黑体" w:asciiTheme="minorEastAsia" w:hAnsiTheme="minorEastAsia" w:eastAsiaTheme="minorEastAsia"/>
          <w:sz w:val="32"/>
          <w:szCs w:val="32"/>
          <w:lang w:val="zh-CN"/>
        </w:rPr>
      </w:pPr>
      <w:bookmarkStart w:id="20" w:name="_Toc15377204"/>
      <w:bookmarkStart w:id="21" w:name="_Toc15396602"/>
      <w:r>
        <w:rPr>
          <w:rFonts w:hint="eastAsia" w:cs="黑体" w:asciiTheme="minorEastAsia" w:hAnsiTheme="minorEastAsia" w:eastAsiaTheme="minorEastAsia"/>
          <w:color w:val="000000"/>
          <w:sz w:val="32"/>
          <w:szCs w:val="32"/>
          <w:lang w:val="zh-CN"/>
        </w:rPr>
        <w:t>三、机</w:t>
      </w:r>
      <w:r>
        <w:rPr>
          <w:rFonts w:hint="eastAsia" w:cs="黑体" w:asciiTheme="minorEastAsia" w:hAnsiTheme="minorEastAsia" w:eastAsiaTheme="minorEastAsia"/>
          <w:sz w:val="32"/>
          <w:szCs w:val="32"/>
          <w:lang w:val="zh-CN"/>
        </w:rPr>
        <w:t>构设置</w:t>
      </w:r>
    </w:p>
    <w:p w14:paraId="2F57AD36">
      <w:pPr>
        <w:spacing w:line="360" w:lineRule="auto"/>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1</w:t>
      </w:r>
      <w:r>
        <w:rPr>
          <w:rFonts w:hint="eastAsia" w:cs="仿宋_GB2312" w:asciiTheme="minorEastAsia" w:hAnsiTheme="minorEastAsia" w:eastAsiaTheme="minorEastAsia"/>
          <w:sz w:val="32"/>
          <w:szCs w:val="32"/>
        </w:rPr>
        <w:t>、学校为公益一类、全额拨款事业单位。内设机构</w:t>
      </w:r>
      <w:r>
        <w:rPr>
          <w:rFonts w:cs="仿宋_GB2312" w:asciiTheme="minorEastAsia" w:hAnsiTheme="minorEastAsia" w:eastAsiaTheme="minorEastAsia"/>
          <w:sz w:val="32"/>
          <w:szCs w:val="32"/>
        </w:rPr>
        <w:t>3</w:t>
      </w:r>
      <w:r>
        <w:rPr>
          <w:rFonts w:hint="eastAsia" w:cs="仿宋_GB2312" w:asciiTheme="minorEastAsia" w:hAnsiTheme="minorEastAsia" w:eastAsiaTheme="minorEastAsia"/>
          <w:sz w:val="32"/>
          <w:szCs w:val="32"/>
        </w:rPr>
        <w:t>个，名称分别是：教导处、德育处、总务处。</w:t>
      </w:r>
    </w:p>
    <w:p w14:paraId="4E69A6EC">
      <w:pPr>
        <w:spacing w:line="360" w:lineRule="auto"/>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2</w:t>
      </w:r>
      <w:r>
        <w:rPr>
          <w:rFonts w:hint="eastAsia" w:cs="仿宋_GB2312" w:asciiTheme="minorEastAsia" w:hAnsiTheme="minorEastAsia" w:eastAsiaTheme="minorEastAsia"/>
          <w:sz w:val="32"/>
          <w:szCs w:val="32"/>
        </w:rPr>
        <w:t>、根据仁和区人力资源和社会保障局相关文件精神，攀枝花市仁和区总发小学教职工编制数</w:t>
      </w:r>
      <w:r>
        <w:rPr>
          <w:rFonts w:cs="仿宋_GB2312" w:asciiTheme="minorEastAsia" w:hAnsiTheme="minorEastAsia" w:eastAsiaTheme="minorEastAsia"/>
          <w:sz w:val="32"/>
          <w:szCs w:val="32"/>
        </w:rPr>
        <w:t>37</w:t>
      </w:r>
      <w:r>
        <w:rPr>
          <w:rFonts w:hint="eastAsia" w:cs="仿宋_GB2312" w:asciiTheme="minorEastAsia" w:hAnsiTheme="minorEastAsia" w:eastAsiaTheme="minorEastAsia"/>
          <w:sz w:val="32"/>
          <w:szCs w:val="32"/>
        </w:rPr>
        <w:t>名，其中：专业技术岗位</w:t>
      </w:r>
      <w:r>
        <w:rPr>
          <w:rFonts w:cs="仿宋_GB2312" w:asciiTheme="minorEastAsia" w:hAnsiTheme="minorEastAsia" w:eastAsiaTheme="minorEastAsia"/>
          <w:sz w:val="32"/>
          <w:szCs w:val="32"/>
        </w:rPr>
        <w:t>36</w:t>
      </w:r>
      <w:r>
        <w:rPr>
          <w:rFonts w:hint="eastAsia" w:cs="仿宋_GB2312" w:asciiTheme="minorEastAsia" w:hAnsiTheme="minorEastAsia" w:eastAsiaTheme="minorEastAsia"/>
          <w:sz w:val="32"/>
          <w:szCs w:val="32"/>
        </w:rPr>
        <w:t>个，工勤技能岗位</w:t>
      </w:r>
      <w:r>
        <w:rPr>
          <w:rFonts w:cs="仿宋_GB2312" w:asciiTheme="minorEastAsia" w:hAnsiTheme="minorEastAsia" w:eastAsiaTheme="minorEastAsia"/>
          <w:sz w:val="32"/>
          <w:szCs w:val="32"/>
        </w:rPr>
        <w:t>1</w:t>
      </w:r>
      <w:r>
        <w:rPr>
          <w:rFonts w:hint="eastAsia" w:cs="仿宋_GB2312" w:asciiTheme="minorEastAsia" w:hAnsiTheme="minorEastAsia" w:eastAsiaTheme="minorEastAsia"/>
          <w:sz w:val="32"/>
          <w:szCs w:val="32"/>
        </w:rPr>
        <w:t>个。在职人员总数34人，退休人员总数37人，合计</w:t>
      </w:r>
      <w:r>
        <w:rPr>
          <w:rFonts w:cs="仿宋_GB2312" w:asciiTheme="minorEastAsia" w:hAnsiTheme="minorEastAsia" w:eastAsiaTheme="minorEastAsia"/>
          <w:sz w:val="32"/>
          <w:szCs w:val="32"/>
        </w:rPr>
        <w:t>73</w:t>
      </w:r>
      <w:r>
        <w:rPr>
          <w:rFonts w:hint="eastAsia" w:cs="仿宋_GB2312" w:asciiTheme="minorEastAsia" w:hAnsiTheme="minorEastAsia" w:eastAsiaTheme="minorEastAsia"/>
          <w:sz w:val="32"/>
          <w:szCs w:val="32"/>
        </w:rPr>
        <w:t>人。无车辆。</w:t>
      </w:r>
    </w:p>
    <w:p w14:paraId="6E3A2FA0">
      <w:pPr>
        <w:ind w:firstLine="482" w:firstLineChars="150"/>
        <w:jc w:val="left"/>
        <w:rPr>
          <w:rFonts w:ascii="宋体" w:hAnsi="宋体" w:cs="宋体"/>
          <w:b/>
          <w:color w:val="000000"/>
          <w:sz w:val="32"/>
          <w:szCs w:val="32"/>
        </w:rPr>
      </w:pPr>
    </w:p>
    <w:p w14:paraId="69A9533C">
      <w:pPr>
        <w:ind w:firstLine="482" w:firstLineChars="150"/>
        <w:jc w:val="left"/>
        <w:rPr>
          <w:rFonts w:ascii="宋体" w:hAnsi="宋体" w:cs="宋体"/>
          <w:b/>
          <w:color w:val="000000"/>
          <w:sz w:val="32"/>
          <w:szCs w:val="32"/>
        </w:rPr>
      </w:pPr>
    </w:p>
    <w:p w14:paraId="7623127B">
      <w:pPr>
        <w:ind w:firstLine="482" w:firstLineChars="150"/>
        <w:jc w:val="left"/>
        <w:rPr>
          <w:rFonts w:ascii="宋体" w:hAnsi="宋体" w:cs="宋体"/>
          <w:b/>
          <w:color w:val="000000"/>
          <w:sz w:val="32"/>
          <w:szCs w:val="32"/>
        </w:rPr>
      </w:pPr>
    </w:p>
    <w:p w14:paraId="22B8B85C">
      <w:pPr>
        <w:ind w:firstLine="482" w:firstLineChars="150"/>
        <w:jc w:val="left"/>
        <w:rPr>
          <w:rFonts w:ascii="宋体" w:hAnsi="宋体" w:cs="宋体"/>
          <w:b/>
          <w:color w:val="000000"/>
          <w:sz w:val="32"/>
          <w:szCs w:val="32"/>
        </w:rPr>
      </w:pPr>
    </w:p>
    <w:p w14:paraId="3210E8DC">
      <w:pPr>
        <w:ind w:firstLine="482" w:firstLineChars="150"/>
        <w:jc w:val="left"/>
        <w:rPr>
          <w:rFonts w:ascii="宋体" w:hAnsi="宋体" w:cs="宋体"/>
          <w:b/>
          <w:color w:val="000000"/>
          <w:sz w:val="32"/>
          <w:szCs w:val="32"/>
        </w:rPr>
      </w:pPr>
    </w:p>
    <w:p w14:paraId="74C28A7F">
      <w:pPr>
        <w:ind w:firstLine="482" w:firstLineChars="150"/>
        <w:jc w:val="left"/>
        <w:rPr>
          <w:rFonts w:ascii="宋体" w:hAnsi="宋体" w:cs="宋体"/>
          <w:b/>
          <w:color w:val="000000"/>
          <w:sz w:val="32"/>
          <w:szCs w:val="32"/>
        </w:rPr>
      </w:pPr>
    </w:p>
    <w:p w14:paraId="38EB8AAE">
      <w:pPr>
        <w:ind w:firstLine="482" w:firstLineChars="150"/>
        <w:jc w:val="left"/>
        <w:rPr>
          <w:rFonts w:ascii="宋体" w:hAnsi="宋体" w:cs="宋体"/>
          <w:b/>
          <w:color w:val="000000"/>
          <w:sz w:val="32"/>
          <w:szCs w:val="32"/>
        </w:rPr>
      </w:pPr>
    </w:p>
    <w:p w14:paraId="73A54AEF">
      <w:pPr>
        <w:ind w:firstLine="482" w:firstLineChars="150"/>
        <w:jc w:val="left"/>
        <w:rPr>
          <w:rFonts w:ascii="宋体" w:hAnsi="宋体" w:cs="宋体"/>
          <w:b/>
          <w:color w:val="000000"/>
          <w:sz w:val="32"/>
          <w:szCs w:val="32"/>
        </w:rPr>
      </w:pPr>
    </w:p>
    <w:p w14:paraId="45525C34">
      <w:pPr>
        <w:ind w:firstLine="482" w:firstLineChars="150"/>
        <w:jc w:val="left"/>
        <w:rPr>
          <w:rFonts w:ascii="宋体" w:hAnsi="宋体" w:cs="宋体"/>
          <w:b/>
          <w:color w:val="000000"/>
          <w:sz w:val="32"/>
          <w:szCs w:val="32"/>
        </w:rPr>
      </w:pPr>
    </w:p>
    <w:p w14:paraId="47250928">
      <w:pPr>
        <w:ind w:firstLine="1124" w:firstLineChars="350"/>
        <w:jc w:val="left"/>
        <w:rPr>
          <w:rStyle w:val="26"/>
          <w:rFonts w:ascii="宋体" w:hAnsi="宋体" w:cs="宋体"/>
          <w:bCs w:val="0"/>
          <w:color w:val="000000"/>
          <w:kern w:val="2"/>
          <w:sz w:val="32"/>
          <w:szCs w:val="32"/>
        </w:rPr>
      </w:pPr>
      <w:r>
        <w:rPr>
          <w:rFonts w:hint="eastAsia" w:ascii="宋体" w:hAnsi="宋体" w:cs="宋体"/>
          <w:b/>
          <w:color w:val="000000"/>
          <w:sz w:val="32"/>
          <w:szCs w:val="32"/>
        </w:rPr>
        <w:t>第二部分</w:t>
      </w:r>
      <w:r>
        <w:rPr>
          <w:rStyle w:val="26"/>
          <w:rFonts w:hint="eastAsia" w:ascii="宋体" w:hAnsi="宋体" w:cs="宋体"/>
          <w:sz w:val="32"/>
          <w:szCs w:val="32"/>
        </w:rPr>
        <w:t>2021年度单位决算情况说明</w:t>
      </w:r>
      <w:bookmarkEnd w:id="20"/>
      <w:bookmarkEnd w:id="21"/>
    </w:p>
    <w:p w14:paraId="7059EA7E">
      <w:pPr>
        <w:pStyle w:val="25"/>
        <w:numPr>
          <w:ilvl w:val="0"/>
          <w:numId w:val="1"/>
        </w:numPr>
        <w:spacing w:line="600" w:lineRule="exact"/>
        <w:ind w:firstLineChars="0"/>
        <w:outlineLvl w:val="1"/>
        <w:rPr>
          <w:rStyle w:val="27"/>
          <w:rFonts w:ascii="宋体" w:hAnsi="宋体" w:eastAsia="宋体" w:cs="宋体"/>
          <w:b w:val="0"/>
        </w:rPr>
      </w:pPr>
      <w:bookmarkStart w:id="22" w:name="_Toc15396603"/>
      <w:bookmarkStart w:id="23" w:name="_Toc15377205"/>
      <w:r>
        <w:rPr>
          <w:rFonts w:hint="eastAsia" w:ascii="宋体" w:hAnsi="宋体" w:cs="宋体"/>
          <w:b/>
          <w:color w:val="000000"/>
          <w:sz w:val="32"/>
          <w:szCs w:val="32"/>
        </w:rPr>
        <w:t>收</w:t>
      </w:r>
      <w:r>
        <w:rPr>
          <w:rStyle w:val="27"/>
          <w:rFonts w:hint="eastAsia" w:ascii="宋体" w:hAnsi="宋体" w:eastAsia="宋体" w:cs="宋体"/>
        </w:rPr>
        <w:t>入支出决算总体情况说明</w:t>
      </w:r>
      <w:bookmarkEnd w:id="22"/>
      <w:bookmarkEnd w:id="23"/>
    </w:p>
    <w:p w14:paraId="25F5A7A1">
      <w:pPr>
        <w:spacing w:line="600" w:lineRule="exact"/>
        <w:ind w:firstLine="640" w:firstLineChars="200"/>
        <w:rPr>
          <w:rFonts w:ascii="宋体" w:hAnsi="宋体" w:cs="宋体"/>
          <w:color w:val="000000"/>
          <w:sz w:val="32"/>
          <w:szCs w:val="32"/>
        </w:rPr>
      </w:pPr>
      <w:r>
        <w:rPr>
          <w:rFonts w:hint="eastAsia" w:ascii="宋体" w:hAnsi="宋体" w:cs="宋体"/>
          <w:color w:val="000000"/>
          <w:sz w:val="32"/>
          <w:szCs w:val="32"/>
        </w:rPr>
        <w:t>2021年度收、支总计716.92万元。与2020年相比，收、支总计各减少15.05万元，减少3.8%。主要变动原因是</w:t>
      </w:r>
      <w:r>
        <w:rPr>
          <w:rFonts w:hint="eastAsia" w:ascii="宋体" w:hAnsi="宋体" w:cs="宋体"/>
          <w:sz w:val="32"/>
          <w:szCs w:val="32"/>
        </w:rPr>
        <w:t>单位人员减少，人员经费减少。</w:t>
      </w:r>
    </w:p>
    <w:p w14:paraId="296A08F7">
      <w:pPr>
        <w:pStyle w:val="25"/>
        <w:numPr>
          <w:ilvl w:val="0"/>
          <w:numId w:val="1"/>
        </w:numPr>
        <w:spacing w:line="600" w:lineRule="exact"/>
        <w:ind w:firstLineChars="0"/>
        <w:outlineLvl w:val="1"/>
        <w:rPr>
          <w:rStyle w:val="27"/>
          <w:rFonts w:ascii="宋体" w:hAnsi="宋体" w:eastAsia="宋体" w:cs="宋体"/>
          <w:b w:val="0"/>
        </w:rPr>
      </w:pPr>
      <w:bookmarkStart w:id="24" w:name="_Toc15396604"/>
      <w:bookmarkStart w:id="25" w:name="_Toc15377206"/>
      <w:r>
        <w:rPr>
          <w:rFonts w:hint="eastAsia" w:ascii="宋体" w:hAnsi="宋体" w:cs="宋体"/>
          <w:b/>
          <w:color w:val="000000"/>
          <w:sz w:val="32"/>
          <w:szCs w:val="32"/>
        </w:rPr>
        <w:t>收</w:t>
      </w:r>
      <w:r>
        <w:rPr>
          <w:rStyle w:val="27"/>
          <w:rFonts w:hint="eastAsia" w:ascii="宋体" w:hAnsi="宋体" w:eastAsia="宋体" w:cs="宋体"/>
          <w:b w:val="0"/>
        </w:rPr>
        <w:t>入决算情况说明</w:t>
      </w:r>
      <w:bookmarkEnd w:id="24"/>
      <w:bookmarkEnd w:id="25"/>
    </w:p>
    <w:p w14:paraId="0F8B0565">
      <w:pPr>
        <w:spacing w:line="600" w:lineRule="exact"/>
        <w:ind w:firstLine="640" w:firstLineChars="200"/>
        <w:outlineLvl w:val="1"/>
        <w:rPr>
          <w:rFonts w:ascii="宋体" w:hAnsi="宋体" w:cs="宋体"/>
          <w:color w:val="000000"/>
          <w:sz w:val="32"/>
          <w:szCs w:val="32"/>
        </w:rPr>
      </w:pPr>
      <w:r>
        <w:rPr>
          <w:rFonts w:hint="eastAsia" w:ascii="宋体" w:hAnsi="宋体" w:cs="宋体"/>
          <w:color w:val="000000"/>
          <w:sz w:val="32"/>
          <w:szCs w:val="32"/>
        </w:rPr>
        <w:t>2021年本年收入合计716.92万元，其中：一般公共预算财政拨款收入716.92万元，占100%；政府性基金预算财政拨款收入0万元，占0%；国有资本经营预算财政拨款收入0万元，占0%；</w:t>
      </w:r>
      <w:r>
        <w:rPr>
          <w:rFonts w:hint="eastAsia" w:ascii="宋体" w:hAnsi="宋体" w:cs="宋体"/>
          <w:color w:val="000000" w:themeColor="text1"/>
          <w:sz w:val="32"/>
          <w:szCs w:val="32"/>
        </w:rPr>
        <w:t>上级补助收入0</w:t>
      </w:r>
      <w:r>
        <w:rPr>
          <w:rFonts w:hint="eastAsia" w:ascii="宋体" w:hAnsi="宋体" w:cs="宋体"/>
          <w:color w:val="000000"/>
          <w:sz w:val="32"/>
          <w:szCs w:val="32"/>
        </w:rPr>
        <w:t>万元，占0%；事业收入0万元，占0%；经营收入0万元，占0%；附属单位上缴收入0万元，占0%；其他收入0万元，占0%。</w:t>
      </w:r>
    </w:p>
    <w:p w14:paraId="7AB5D71F">
      <w:pPr>
        <w:pStyle w:val="25"/>
        <w:numPr>
          <w:ilvl w:val="0"/>
          <w:numId w:val="1"/>
        </w:numPr>
        <w:spacing w:line="600" w:lineRule="exact"/>
        <w:ind w:firstLineChars="0"/>
        <w:outlineLvl w:val="1"/>
        <w:rPr>
          <w:rStyle w:val="27"/>
          <w:rFonts w:ascii="宋体" w:hAnsi="宋体" w:eastAsia="宋体" w:cs="宋体"/>
        </w:rPr>
      </w:pPr>
      <w:bookmarkStart w:id="26" w:name="_Toc15396605"/>
      <w:bookmarkStart w:id="27" w:name="_Toc15377207"/>
      <w:r>
        <w:rPr>
          <w:rFonts w:hint="eastAsia" w:ascii="宋体" w:hAnsi="宋体" w:cs="宋体"/>
          <w:b/>
          <w:color w:val="000000"/>
          <w:sz w:val="32"/>
          <w:szCs w:val="32"/>
        </w:rPr>
        <w:t>支</w:t>
      </w:r>
      <w:r>
        <w:rPr>
          <w:rStyle w:val="27"/>
          <w:rFonts w:hint="eastAsia" w:ascii="宋体" w:hAnsi="宋体" w:eastAsia="宋体" w:cs="宋体"/>
        </w:rPr>
        <w:t>出决算情况说明</w:t>
      </w:r>
      <w:bookmarkEnd w:id="26"/>
      <w:bookmarkEnd w:id="27"/>
    </w:p>
    <w:p w14:paraId="0F7CDD9F">
      <w:pPr>
        <w:spacing w:line="600" w:lineRule="exact"/>
        <w:ind w:firstLine="640" w:firstLineChars="200"/>
        <w:outlineLvl w:val="1"/>
        <w:rPr>
          <w:rFonts w:ascii="宋体" w:hAnsi="宋体" w:cs="宋体"/>
          <w:color w:val="000000"/>
          <w:sz w:val="32"/>
          <w:szCs w:val="32"/>
        </w:rPr>
      </w:pPr>
      <w:r>
        <w:rPr>
          <w:rFonts w:hint="eastAsia" w:ascii="宋体" w:hAnsi="宋体" w:cs="宋体"/>
          <w:color w:val="000000"/>
          <w:sz w:val="32"/>
          <w:szCs w:val="32"/>
        </w:rPr>
        <w:t>2021年本年支出合计716.92万元，其中：基本支出571.79万元，占79.76%；项目支出145.13万元，占20.24%；上缴上级支出0万元，占0%；经营支出0万元，占0%；对附属单位补助支出0万元，占0%。</w:t>
      </w:r>
    </w:p>
    <w:p w14:paraId="5EF1DE17">
      <w:pPr>
        <w:spacing w:line="600" w:lineRule="exact"/>
        <w:ind w:firstLine="643" w:firstLineChars="200"/>
        <w:outlineLvl w:val="1"/>
        <w:rPr>
          <w:rStyle w:val="27"/>
          <w:rFonts w:ascii="宋体" w:hAnsi="宋体" w:eastAsia="宋体" w:cs="宋体"/>
        </w:rPr>
      </w:pPr>
      <w:bookmarkStart w:id="28" w:name="_Toc15396606"/>
      <w:bookmarkStart w:id="29" w:name="_Toc15377208"/>
      <w:r>
        <w:rPr>
          <w:rFonts w:hint="eastAsia" w:ascii="宋体" w:hAnsi="宋体" w:cs="宋体"/>
          <w:b/>
          <w:color w:val="000000"/>
          <w:sz w:val="32"/>
          <w:szCs w:val="32"/>
        </w:rPr>
        <w:t>四、</w:t>
      </w:r>
      <w:r>
        <w:rPr>
          <w:rFonts w:hint="eastAsia" w:ascii="宋体" w:hAnsi="宋体" w:cs="宋体"/>
          <w:color w:val="000000"/>
          <w:sz w:val="32"/>
          <w:szCs w:val="32"/>
        </w:rPr>
        <w:t>财</w:t>
      </w:r>
      <w:r>
        <w:rPr>
          <w:rStyle w:val="27"/>
          <w:rFonts w:hint="eastAsia" w:ascii="宋体" w:hAnsi="宋体" w:eastAsia="宋体" w:cs="宋体"/>
        </w:rPr>
        <w:t>政拨款收入支出决算总体情况说明</w:t>
      </w:r>
      <w:bookmarkEnd w:id="28"/>
      <w:bookmarkEnd w:id="29"/>
    </w:p>
    <w:p w14:paraId="22EA4EAE">
      <w:pPr>
        <w:spacing w:line="600" w:lineRule="exact"/>
        <w:ind w:firstLine="640"/>
        <w:rPr>
          <w:rFonts w:ascii="宋体" w:hAnsi="宋体" w:cs="宋体"/>
          <w:color w:val="000000"/>
          <w:sz w:val="32"/>
          <w:szCs w:val="32"/>
        </w:rPr>
      </w:pPr>
      <w:bookmarkStart w:id="30" w:name="_Toc15396607"/>
      <w:bookmarkStart w:id="31" w:name="_Toc15377209"/>
      <w:r>
        <w:rPr>
          <w:rFonts w:hint="eastAsia" w:ascii="宋体" w:hAnsi="宋体" w:cs="宋体"/>
          <w:color w:val="000000"/>
          <w:sz w:val="32"/>
          <w:szCs w:val="32"/>
        </w:rPr>
        <w:t>2021年财政拨款收、支总计716.92万元。与2020年相比，财政拨款收、支总计各减少6万元，减少0.84%。主要变动原因是</w:t>
      </w:r>
      <w:r>
        <w:rPr>
          <w:rFonts w:hint="eastAsia" w:ascii="宋体" w:hAnsi="宋体" w:cs="宋体"/>
          <w:sz w:val="32"/>
          <w:szCs w:val="32"/>
        </w:rPr>
        <w:t>人员经费</w:t>
      </w:r>
      <w:r>
        <w:rPr>
          <w:rFonts w:hint="eastAsia" w:ascii="宋体" w:hAnsi="宋体" w:cs="宋体"/>
          <w:color w:val="000000"/>
          <w:sz w:val="32"/>
          <w:szCs w:val="32"/>
        </w:rPr>
        <w:t>减少</w:t>
      </w:r>
      <w:r>
        <w:rPr>
          <w:rFonts w:hint="eastAsia" w:ascii="宋体" w:hAnsi="宋体" w:cs="宋体"/>
          <w:sz w:val="32"/>
          <w:szCs w:val="32"/>
        </w:rPr>
        <w:t>。</w:t>
      </w:r>
    </w:p>
    <w:p w14:paraId="326999DB">
      <w:pPr>
        <w:spacing w:line="600" w:lineRule="exact"/>
        <w:ind w:firstLine="640" w:firstLineChars="200"/>
        <w:outlineLvl w:val="1"/>
        <w:rPr>
          <w:rStyle w:val="27"/>
          <w:rFonts w:ascii="宋体" w:hAnsi="宋体" w:eastAsia="宋体" w:cs="宋体"/>
          <w:b w:val="0"/>
        </w:rPr>
      </w:pPr>
      <w:r>
        <w:rPr>
          <w:rFonts w:hint="eastAsia" w:ascii="宋体" w:hAnsi="宋体" w:cs="宋体"/>
          <w:color w:val="000000"/>
          <w:sz w:val="32"/>
          <w:szCs w:val="32"/>
        </w:rPr>
        <w:t>五、</w:t>
      </w:r>
      <w:r>
        <w:rPr>
          <w:rFonts w:hint="eastAsia" w:ascii="宋体" w:hAnsi="宋体" w:cs="宋体"/>
          <w:b/>
          <w:color w:val="000000"/>
          <w:sz w:val="32"/>
          <w:szCs w:val="32"/>
        </w:rPr>
        <w:t>一</w:t>
      </w:r>
      <w:r>
        <w:rPr>
          <w:rStyle w:val="27"/>
          <w:rFonts w:hint="eastAsia" w:ascii="宋体" w:hAnsi="宋体" w:eastAsia="宋体" w:cs="宋体"/>
          <w:b w:val="0"/>
        </w:rPr>
        <w:t>般公共预算财政拨款支出决算情况说明</w:t>
      </w:r>
      <w:bookmarkEnd w:id="30"/>
      <w:bookmarkEnd w:id="31"/>
    </w:p>
    <w:p w14:paraId="382F56BA">
      <w:pPr>
        <w:spacing w:line="600" w:lineRule="exact"/>
        <w:ind w:firstLine="643" w:firstLineChars="200"/>
        <w:outlineLvl w:val="2"/>
        <w:rPr>
          <w:rFonts w:ascii="宋体" w:hAnsi="宋体" w:cs="宋体"/>
          <w:b/>
          <w:color w:val="000000"/>
          <w:sz w:val="32"/>
          <w:szCs w:val="32"/>
        </w:rPr>
      </w:pPr>
      <w:bookmarkStart w:id="32" w:name="_Toc15377210"/>
      <w:r>
        <w:rPr>
          <w:rFonts w:hint="eastAsia" w:ascii="宋体" w:hAnsi="宋体" w:cs="宋体"/>
          <w:b/>
          <w:color w:val="000000"/>
          <w:sz w:val="32"/>
          <w:szCs w:val="32"/>
        </w:rPr>
        <w:t>（一）一般公共预算财政拨款支出决算总体情况</w:t>
      </w:r>
      <w:bookmarkEnd w:id="32"/>
    </w:p>
    <w:p w14:paraId="7287D5BF">
      <w:pPr>
        <w:spacing w:line="600" w:lineRule="exact"/>
        <w:ind w:firstLine="640" w:firstLineChars="200"/>
        <w:rPr>
          <w:rFonts w:ascii="宋体" w:hAnsi="宋体" w:cs="宋体"/>
          <w:color w:val="000000"/>
          <w:sz w:val="32"/>
          <w:szCs w:val="32"/>
        </w:rPr>
      </w:pPr>
      <w:r>
        <w:rPr>
          <w:rFonts w:hint="eastAsia" w:ascii="宋体" w:hAnsi="宋体" w:cs="宋体"/>
          <w:color w:val="000000"/>
          <w:sz w:val="32"/>
          <w:szCs w:val="32"/>
        </w:rPr>
        <w:t>2021年一般公共预算财政拨款支出716.92万元，占本年支出合计的100%。与2020年相比，一般公共预算财政拨款增加22万元，增加3.16%。主要变动原因是</w:t>
      </w:r>
      <w:bookmarkStart w:id="58" w:name="_GoBack"/>
      <w:bookmarkEnd w:id="58"/>
      <w:r>
        <w:rPr>
          <w:rFonts w:hint="eastAsia" w:ascii="宋体" w:hAnsi="宋体" w:cs="宋体"/>
          <w:sz w:val="32"/>
          <w:szCs w:val="32"/>
        </w:rPr>
        <w:t>人员经费增加。</w:t>
      </w:r>
    </w:p>
    <w:p w14:paraId="4487F188">
      <w:pPr>
        <w:spacing w:line="600" w:lineRule="exact"/>
        <w:ind w:firstLine="643" w:firstLineChars="200"/>
        <w:outlineLvl w:val="2"/>
        <w:rPr>
          <w:rFonts w:ascii="宋体" w:hAnsi="宋体" w:cs="宋体"/>
          <w:b/>
          <w:color w:val="000000"/>
          <w:sz w:val="32"/>
          <w:szCs w:val="32"/>
        </w:rPr>
      </w:pPr>
      <w:bookmarkStart w:id="33" w:name="_Toc15377211"/>
      <w:r>
        <w:rPr>
          <w:rFonts w:hint="eastAsia" w:ascii="宋体" w:hAnsi="宋体" w:cs="宋体"/>
          <w:b/>
          <w:color w:val="000000"/>
          <w:sz w:val="32"/>
          <w:szCs w:val="32"/>
        </w:rPr>
        <w:t>（二）一般公共预算财政拨款支出决算结构情况</w:t>
      </w:r>
      <w:bookmarkEnd w:id="33"/>
    </w:p>
    <w:p w14:paraId="16A9912B">
      <w:pPr>
        <w:spacing w:line="600" w:lineRule="exact"/>
        <w:ind w:firstLine="640"/>
        <w:rPr>
          <w:rFonts w:ascii="宋体" w:hAnsi="宋体" w:cs="宋体"/>
          <w:b/>
          <w:color w:val="000000" w:themeColor="text1"/>
          <w:sz w:val="32"/>
          <w:szCs w:val="32"/>
        </w:rPr>
      </w:pPr>
      <w:r>
        <w:rPr>
          <w:rFonts w:hint="eastAsia" w:ascii="宋体" w:hAnsi="宋体" w:cs="宋体"/>
          <w:color w:val="000000"/>
          <w:sz w:val="32"/>
          <w:szCs w:val="32"/>
        </w:rPr>
        <w:t>2021年一般公共预算财</w:t>
      </w:r>
      <w:r>
        <w:rPr>
          <w:rFonts w:hint="eastAsia" w:ascii="宋体" w:hAnsi="宋体" w:cs="宋体"/>
          <w:color w:val="000000" w:themeColor="text1"/>
          <w:sz w:val="32"/>
          <w:szCs w:val="32"/>
        </w:rPr>
        <w:t>政拨款支出</w:t>
      </w:r>
      <w:r>
        <w:rPr>
          <w:rFonts w:hint="eastAsia" w:ascii="宋体" w:hAnsi="宋体" w:cs="宋体"/>
          <w:color w:val="000000"/>
          <w:sz w:val="32"/>
          <w:szCs w:val="32"/>
        </w:rPr>
        <w:t>716.92</w:t>
      </w:r>
      <w:r>
        <w:rPr>
          <w:rFonts w:hint="eastAsia" w:ascii="宋体" w:hAnsi="宋体" w:cs="宋体"/>
          <w:color w:val="000000" w:themeColor="text1"/>
          <w:sz w:val="32"/>
          <w:szCs w:val="32"/>
        </w:rPr>
        <w:t>万元，主要用于以下方面:</w:t>
      </w:r>
      <w:r>
        <w:rPr>
          <w:rFonts w:hint="eastAsia" w:ascii="宋体" w:hAnsi="宋体" w:cs="宋体"/>
          <w:b/>
          <w:color w:val="000000"/>
          <w:sz w:val="32"/>
          <w:szCs w:val="32"/>
        </w:rPr>
        <w:t xml:space="preserve"> 一般公共服务（类）</w:t>
      </w:r>
      <w:r>
        <w:rPr>
          <w:rFonts w:hint="eastAsia" w:ascii="宋体" w:hAnsi="宋体" w:cs="宋体"/>
          <w:color w:val="000000"/>
          <w:sz w:val="32"/>
          <w:szCs w:val="32"/>
        </w:rPr>
        <w:t>支出0万元，占100%；</w:t>
      </w:r>
      <w:r>
        <w:rPr>
          <w:rFonts w:hint="eastAsia" w:ascii="宋体" w:hAnsi="宋体" w:cs="宋体"/>
          <w:b/>
          <w:color w:val="000000" w:themeColor="text1"/>
          <w:sz w:val="32"/>
          <w:szCs w:val="32"/>
        </w:rPr>
        <w:t>教育支出（类）</w:t>
      </w:r>
      <w:r>
        <w:rPr>
          <w:rFonts w:hint="eastAsia" w:ascii="宋体" w:hAnsi="宋体" w:cs="宋体"/>
          <w:color w:val="000000" w:themeColor="text1"/>
          <w:sz w:val="32"/>
          <w:szCs w:val="32"/>
        </w:rPr>
        <w:t>520.06万元，占72.54%；</w:t>
      </w:r>
      <w:r>
        <w:rPr>
          <w:rFonts w:hint="eastAsia" w:ascii="宋体" w:hAnsi="宋体" w:cs="宋体"/>
          <w:b/>
          <w:color w:val="000000" w:themeColor="text1"/>
          <w:sz w:val="32"/>
          <w:szCs w:val="32"/>
        </w:rPr>
        <w:t>社会保障和就业（类）</w:t>
      </w:r>
      <w:r>
        <w:rPr>
          <w:rFonts w:hint="eastAsia" w:ascii="宋体" w:hAnsi="宋体" w:cs="宋体"/>
          <w:color w:val="000000" w:themeColor="text1"/>
          <w:sz w:val="32"/>
          <w:szCs w:val="32"/>
        </w:rPr>
        <w:t>支出104.48万元，占14.57%；</w:t>
      </w:r>
      <w:r>
        <w:rPr>
          <w:rFonts w:hint="eastAsia" w:ascii="宋体" w:hAnsi="宋体" w:cs="宋体"/>
          <w:b/>
          <w:bCs/>
          <w:color w:val="000000" w:themeColor="text1"/>
          <w:sz w:val="32"/>
          <w:szCs w:val="32"/>
        </w:rPr>
        <w:t>卫生健康支出</w:t>
      </w:r>
      <w:r>
        <w:rPr>
          <w:rFonts w:hint="eastAsia" w:ascii="宋体" w:hAnsi="宋体" w:cs="宋体"/>
          <w:color w:val="000000" w:themeColor="text1"/>
          <w:sz w:val="32"/>
          <w:szCs w:val="32"/>
        </w:rPr>
        <w:t>33.91万元，占4.73%；</w:t>
      </w:r>
      <w:r>
        <w:rPr>
          <w:rFonts w:hint="eastAsia" w:ascii="宋体" w:hAnsi="宋体" w:cs="宋体"/>
          <w:b/>
          <w:color w:val="000000" w:themeColor="text1"/>
          <w:sz w:val="32"/>
          <w:szCs w:val="32"/>
        </w:rPr>
        <w:t>住房保障支出</w:t>
      </w:r>
      <w:r>
        <w:rPr>
          <w:rFonts w:hint="eastAsia" w:ascii="宋体" w:hAnsi="宋体" w:cs="宋体"/>
          <w:color w:val="000000" w:themeColor="text1"/>
          <w:sz w:val="32"/>
          <w:szCs w:val="32"/>
        </w:rPr>
        <w:t>58.47万元，占8.16%；</w:t>
      </w:r>
      <w:r>
        <w:rPr>
          <w:rFonts w:hint="eastAsia" w:ascii="宋体" w:hAnsi="宋体" w:cs="宋体"/>
          <w:b/>
          <w:color w:val="000000" w:themeColor="text1"/>
          <w:sz w:val="32"/>
          <w:szCs w:val="32"/>
        </w:rPr>
        <w:t>其他支出（类）</w:t>
      </w:r>
      <w:r>
        <w:rPr>
          <w:rFonts w:hint="eastAsia" w:ascii="宋体" w:hAnsi="宋体" w:cs="宋体"/>
          <w:color w:val="000000" w:themeColor="text1"/>
          <w:sz w:val="32"/>
          <w:szCs w:val="32"/>
        </w:rPr>
        <w:t>0万元，占0%</w:t>
      </w:r>
      <w:r>
        <w:rPr>
          <w:rFonts w:hint="eastAsia" w:ascii="宋体" w:hAnsi="宋体" w:cs="宋体"/>
          <w:b/>
          <w:color w:val="000000" w:themeColor="text1"/>
          <w:sz w:val="32"/>
          <w:szCs w:val="32"/>
        </w:rPr>
        <w:t xml:space="preserve">。 </w:t>
      </w:r>
    </w:p>
    <w:p w14:paraId="34A9FA6C">
      <w:pPr>
        <w:spacing w:line="600" w:lineRule="exact"/>
        <w:ind w:firstLine="643" w:firstLineChars="200"/>
        <w:outlineLvl w:val="2"/>
        <w:rPr>
          <w:rFonts w:ascii="宋体" w:hAnsi="宋体" w:cs="宋体"/>
          <w:b/>
          <w:color w:val="000000"/>
          <w:sz w:val="32"/>
          <w:szCs w:val="32"/>
        </w:rPr>
      </w:pPr>
      <w:bookmarkStart w:id="34" w:name="_Toc15377212"/>
      <w:r>
        <w:rPr>
          <w:rFonts w:hint="eastAsia" w:ascii="宋体" w:hAnsi="宋体" w:cs="宋体"/>
          <w:b/>
          <w:color w:val="000000"/>
          <w:sz w:val="32"/>
          <w:szCs w:val="32"/>
        </w:rPr>
        <w:t>（三）一般公共预算财政拨款支出决算具体情况</w:t>
      </w:r>
      <w:bookmarkEnd w:id="34"/>
    </w:p>
    <w:p w14:paraId="6259B719">
      <w:pPr>
        <w:spacing w:line="600" w:lineRule="exact"/>
        <w:ind w:firstLine="643" w:firstLineChars="200"/>
        <w:outlineLvl w:val="2"/>
        <w:rPr>
          <w:rFonts w:ascii="宋体" w:hAnsi="宋体" w:cs="宋体"/>
          <w:color w:val="FF0000"/>
          <w:sz w:val="32"/>
          <w:szCs w:val="32"/>
        </w:rPr>
      </w:pPr>
      <w:bookmarkStart w:id="35" w:name="_Toc15377213"/>
      <w:bookmarkStart w:id="36" w:name="_Toc15378460"/>
      <w:bookmarkStart w:id="37" w:name="_Toc15377444"/>
      <w:r>
        <w:rPr>
          <w:rFonts w:hint="eastAsia" w:ascii="宋体" w:hAnsi="宋体" w:cs="宋体"/>
          <w:b/>
          <w:color w:val="000000" w:themeColor="text1"/>
          <w:sz w:val="32"/>
          <w:szCs w:val="32"/>
        </w:rPr>
        <w:t>2021年</w:t>
      </w:r>
      <w:r>
        <w:rPr>
          <w:rFonts w:hint="eastAsia" w:ascii="宋体" w:hAnsi="宋体" w:cs="宋体"/>
          <w:b/>
          <w:color w:val="000000"/>
          <w:sz w:val="32"/>
          <w:szCs w:val="32"/>
        </w:rPr>
        <w:t>一</w:t>
      </w:r>
      <w:r>
        <w:rPr>
          <w:rFonts w:hint="eastAsia" w:ascii="宋体" w:hAnsi="宋体" w:cs="宋体"/>
          <w:b/>
          <w:color w:val="000000" w:themeColor="text1"/>
          <w:sz w:val="32"/>
          <w:szCs w:val="32"/>
        </w:rPr>
        <w:t>般公共预算支出决算数为</w:t>
      </w:r>
      <w:r>
        <w:rPr>
          <w:rFonts w:hint="eastAsia" w:ascii="宋体" w:hAnsi="宋体" w:cs="宋体"/>
          <w:color w:val="000000"/>
          <w:sz w:val="32"/>
          <w:szCs w:val="32"/>
        </w:rPr>
        <w:t>716.92</w:t>
      </w:r>
      <w:r>
        <w:rPr>
          <w:rFonts w:hint="eastAsia" w:ascii="宋体" w:hAnsi="宋体" w:cs="宋体"/>
          <w:color w:val="000000" w:themeColor="text1"/>
          <w:sz w:val="32"/>
          <w:szCs w:val="32"/>
        </w:rPr>
        <w:t>万元，</w:t>
      </w:r>
      <w:r>
        <w:rPr>
          <w:rStyle w:val="16"/>
          <w:rFonts w:hint="eastAsia" w:ascii="宋体" w:hAnsi="宋体" w:cs="宋体"/>
          <w:bCs/>
          <w:color w:val="000000" w:themeColor="text1"/>
          <w:sz w:val="32"/>
          <w:szCs w:val="32"/>
        </w:rPr>
        <w:t>完成</w:t>
      </w:r>
      <w:r>
        <w:rPr>
          <w:rStyle w:val="16"/>
          <w:rFonts w:hint="eastAsia" w:ascii="宋体" w:hAnsi="宋体" w:cs="宋体"/>
          <w:bCs/>
          <w:color w:val="000000"/>
          <w:sz w:val="32"/>
          <w:szCs w:val="32"/>
        </w:rPr>
        <w:t>预算119.52%。其中：</w:t>
      </w:r>
      <w:bookmarkEnd w:id="35"/>
      <w:bookmarkEnd w:id="36"/>
      <w:bookmarkEnd w:id="37"/>
    </w:p>
    <w:p w14:paraId="130AEB95">
      <w:pPr>
        <w:spacing w:line="600" w:lineRule="exact"/>
        <w:ind w:firstLine="643" w:firstLineChars="200"/>
        <w:rPr>
          <w:rFonts w:ascii="宋体" w:hAnsi="宋体" w:cs="宋体"/>
          <w:color w:val="000000"/>
          <w:sz w:val="32"/>
          <w:szCs w:val="32"/>
        </w:rPr>
      </w:pPr>
      <w:r>
        <w:rPr>
          <w:rStyle w:val="16"/>
          <w:rFonts w:hint="eastAsia" w:ascii="宋体" w:hAnsi="宋体" w:cs="宋体"/>
          <w:bCs/>
          <w:color w:val="000000"/>
          <w:sz w:val="32"/>
          <w:szCs w:val="32"/>
        </w:rPr>
        <w:t>1.教育（类）205:</w:t>
      </w:r>
      <w:r>
        <w:rPr>
          <w:rStyle w:val="16"/>
          <w:rFonts w:hint="eastAsia" w:ascii="宋体" w:hAnsi="宋体" w:cs="宋体"/>
          <w:b w:val="0"/>
          <w:bCs/>
          <w:color w:val="000000"/>
          <w:sz w:val="32"/>
          <w:szCs w:val="32"/>
        </w:rPr>
        <w:t xml:space="preserve"> 支出决算为</w:t>
      </w:r>
      <w:r>
        <w:rPr>
          <w:rFonts w:hint="eastAsia" w:ascii="宋体" w:hAnsi="宋体" w:cs="宋体"/>
          <w:color w:val="000000" w:themeColor="text1"/>
          <w:sz w:val="32"/>
          <w:szCs w:val="32"/>
        </w:rPr>
        <w:t>520.06</w:t>
      </w:r>
      <w:r>
        <w:rPr>
          <w:rStyle w:val="16"/>
          <w:rFonts w:hint="eastAsia" w:ascii="宋体" w:hAnsi="宋体" w:cs="宋体"/>
          <w:b w:val="0"/>
          <w:bCs/>
          <w:color w:val="000000"/>
          <w:sz w:val="32"/>
          <w:szCs w:val="32"/>
        </w:rPr>
        <w:t>万元，完成预算120.95%，决算数大于预算数的主要原因是</w:t>
      </w:r>
      <w:r>
        <w:rPr>
          <w:rFonts w:hint="eastAsia" w:ascii="宋体" w:hAnsi="宋体" w:cs="宋体"/>
          <w:sz w:val="32"/>
          <w:szCs w:val="32"/>
        </w:rPr>
        <w:t>财政增加教育投入，</w:t>
      </w:r>
      <w:r>
        <w:rPr>
          <w:rStyle w:val="16"/>
          <w:rFonts w:hint="eastAsia" w:ascii="宋体" w:hAnsi="宋体" w:cs="宋体"/>
          <w:b w:val="0"/>
          <w:bCs/>
          <w:color w:val="000000"/>
          <w:sz w:val="32"/>
          <w:szCs w:val="32"/>
        </w:rPr>
        <w:t>2021年</w:t>
      </w:r>
      <w:r>
        <w:rPr>
          <w:rFonts w:hint="eastAsia" w:ascii="宋体" w:hAnsi="宋体" w:cs="宋体"/>
          <w:sz w:val="32"/>
          <w:szCs w:val="32"/>
        </w:rPr>
        <w:t>人员经费增加。</w:t>
      </w:r>
    </w:p>
    <w:p w14:paraId="2A9F4375">
      <w:pPr>
        <w:spacing w:line="600" w:lineRule="exact"/>
        <w:ind w:firstLine="643" w:firstLineChars="200"/>
        <w:rPr>
          <w:rFonts w:ascii="宋体" w:hAnsi="宋体" w:cs="宋体"/>
          <w:color w:val="000000"/>
          <w:sz w:val="32"/>
          <w:szCs w:val="32"/>
        </w:rPr>
      </w:pPr>
      <w:r>
        <w:rPr>
          <w:rStyle w:val="16"/>
          <w:rFonts w:hint="eastAsia" w:ascii="宋体" w:hAnsi="宋体" w:cs="宋体"/>
          <w:bCs/>
          <w:color w:val="000000"/>
          <w:sz w:val="32"/>
          <w:szCs w:val="32"/>
        </w:rPr>
        <w:t>2.</w:t>
      </w:r>
      <w:r>
        <w:rPr>
          <w:rFonts w:hint="eastAsia" w:ascii="宋体" w:hAnsi="宋体" w:cs="宋体"/>
          <w:b/>
          <w:color w:val="000000" w:themeColor="text1"/>
          <w:sz w:val="32"/>
          <w:szCs w:val="32"/>
        </w:rPr>
        <w:t xml:space="preserve"> 社会保障和就业</w:t>
      </w:r>
      <w:r>
        <w:rPr>
          <w:rStyle w:val="16"/>
          <w:rFonts w:hint="eastAsia" w:ascii="宋体" w:hAnsi="宋体" w:cs="宋体"/>
          <w:bCs/>
          <w:color w:val="000000"/>
          <w:sz w:val="32"/>
          <w:szCs w:val="32"/>
        </w:rPr>
        <w:t>（类）</w:t>
      </w:r>
      <w:r>
        <w:rPr>
          <w:rFonts w:hint="eastAsia" w:ascii="宋体" w:hAnsi="宋体" w:cs="宋体"/>
          <w:b/>
          <w:color w:val="000000" w:themeColor="text1"/>
          <w:sz w:val="32"/>
          <w:szCs w:val="32"/>
        </w:rPr>
        <w:t>208</w:t>
      </w:r>
      <w:r>
        <w:rPr>
          <w:rStyle w:val="16"/>
          <w:rFonts w:hint="eastAsia" w:ascii="宋体" w:hAnsi="宋体" w:cs="宋体"/>
          <w:bCs/>
          <w:color w:val="000000"/>
          <w:sz w:val="32"/>
          <w:szCs w:val="32"/>
        </w:rPr>
        <w:t>:</w:t>
      </w:r>
      <w:r>
        <w:rPr>
          <w:rStyle w:val="16"/>
          <w:rFonts w:hint="eastAsia" w:ascii="宋体" w:hAnsi="宋体" w:cs="宋体"/>
          <w:b w:val="0"/>
          <w:bCs/>
          <w:color w:val="000000"/>
          <w:sz w:val="32"/>
          <w:szCs w:val="32"/>
        </w:rPr>
        <w:t xml:space="preserve"> 支出决算为</w:t>
      </w:r>
      <w:r>
        <w:rPr>
          <w:rFonts w:hint="eastAsia" w:ascii="宋体" w:hAnsi="宋体" w:cs="宋体"/>
          <w:color w:val="000000" w:themeColor="text1"/>
          <w:sz w:val="32"/>
          <w:szCs w:val="32"/>
        </w:rPr>
        <w:t>104.48</w:t>
      </w:r>
      <w:r>
        <w:rPr>
          <w:rStyle w:val="16"/>
          <w:rFonts w:hint="eastAsia" w:ascii="宋体" w:hAnsi="宋体" w:cs="宋体"/>
          <w:b w:val="0"/>
          <w:bCs/>
          <w:color w:val="000000"/>
          <w:sz w:val="32"/>
          <w:szCs w:val="32"/>
        </w:rPr>
        <w:t>万元，完成预算123.12%，决算数大于预算数的主要原因是2021年</w:t>
      </w:r>
      <w:r>
        <w:rPr>
          <w:rFonts w:hint="eastAsia" w:ascii="宋体" w:hAnsi="宋体" w:cs="宋体"/>
          <w:sz w:val="32"/>
          <w:szCs w:val="32"/>
        </w:rPr>
        <w:t>人员经费增加。</w:t>
      </w:r>
    </w:p>
    <w:p w14:paraId="4CB7E9ED">
      <w:pPr>
        <w:spacing w:line="600" w:lineRule="exact"/>
        <w:ind w:firstLine="643" w:firstLineChars="200"/>
        <w:rPr>
          <w:rFonts w:ascii="宋体" w:hAnsi="宋体" w:cs="宋体"/>
          <w:color w:val="000000"/>
          <w:sz w:val="32"/>
          <w:szCs w:val="32"/>
        </w:rPr>
      </w:pPr>
      <w:r>
        <w:rPr>
          <w:rStyle w:val="16"/>
          <w:rFonts w:hint="eastAsia" w:ascii="宋体" w:hAnsi="宋体" w:cs="宋体"/>
          <w:bCs/>
          <w:color w:val="000000"/>
          <w:sz w:val="32"/>
          <w:szCs w:val="32"/>
        </w:rPr>
        <w:t>3.</w:t>
      </w:r>
      <w:r>
        <w:rPr>
          <w:rFonts w:hint="eastAsia" w:ascii="宋体" w:hAnsi="宋体" w:cs="宋体"/>
          <w:b/>
          <w:bCs/>
          <w:color w:val="000000" w:themeColor="text1"/>
          <w:sz w:val="32"/>
          <w:szCs w:val="32"/>
        </w:rPr>
        <w:t>卫生健康</w:t>
      </w:r>
      <w:r>
        <w:rPr>
          <w:rStyle w:val="16"/>
          <w:rFonts w:hint="eastAsia" w:ascii="宋体" w:hAnsi="宋体" w:cs="宋体"/>
          <w:bCs/>
          <w:color w:val="000000"/>
          <w:sz w:val="32"/>
          <w:szCs w:val="32"/>
        </w:rPr>
        <w:t>（类）</w:t>
      </w:r>
      <w:r>
        <w:rPr>
          <w:rFonts w:hint="eastAsia" w:ascii="宋体" w:hAnsi="宋体" w:cs="宋体"/>
          <w:b/>
          <w:color w:val="000000" w:themeColor="text1"/>
          <w:sz w:val="32"/>
          <w:szCs w:val="32"/>
        </w:rPr>
        <w:t>210</w:t>
      </w:r>
      <w:r>
        <w:rPr>
          <w:rStyle w:val="16"/>
          <w:rFonts w:hint="eastAsia" w:ascii="宋体" w:hAnsi="宋体" w:cs="宋体"/>
          <w:bCs/>
          <w:color w:val="000000"/>
          <w:sz w:val="32"/>
          <w:szCs w:val="32"/>
        </w:rPr>
        <w:t>:</w:t>
      </w:r>
      <w:r>
        <w:rPr>
          <w:rStyle w:val="16"/>
          <w:rFonts w:hint="eastAsia" w:ascii="宋体" w:hAnsi="宋体" w:cs="宋体"/>
          <w:b w:val="0"/>
          <w:bCs/>
          <w:color w:val="000000"/>
          <w:sz w:val="32"/>
          <w:szCs w:val="32"/>
        </w:rPr>
        <w:t xml:space="preserve"> 支出决算为</w:t>
      </w:r>
      <w:r>
        <w:rPr>
          <w:rFonts w:hint="eastAsia" w:ascii="宋体" w:hAnsi="宋体" w:cs="宋体"/>
          <w:color w:val="000000" w:themeColor="text1"/>
          <w:sz w:val="32"/>
          <w:szCs w:val="32"/>
        </w:rPr>
        <w:t>33.91</w:t>
      </w:r>
      <w:r>
        <w:rPr>
          <w:rStyle w:val="16"/>
          <w:rFonts w:hint="eastAsia" w:ascii="宋体" w:hAnsi="宋体" w:cs="宋体"/>
          <w:b w:val="0"/>
          <w:bCs/>
          <w:color w:val="000000"/>
          <w:sz w:val="32"/>
          <w:szCs w:val="32"/>
        </w:rPr>
        <w:t>万元，完成预算97.58%，决算数小于预算数的主要原因是2021年</w:t>
      </w:r>
      <w:r>
        <w:rPr>
          <w:rFonts w:hint="eastAsia" w:ascii="宋体" w:hAnsi="宋体" w:cs="宋体"/>
          <w:sz w:val="32"/>
          <w:szCs w:val="32"/>
        </w:rPr>
        <w:t>2人退休, 人员经费减少。</w:t>
      </w:r>
    </w:p>
    <w:p w14:paraId="64BEF133">
      <w:pPr>
        <w:spacing w:line="600" w:lineRule="exact"/>
        <w:ind w:firstLine="643" w:firstLineChars="200"/>
        <w:rPr>
          <w:rFonts w:ascii="宋体" w:hAnsi="宋体" w:cs="宋体"/>
          <w:b/>
          <w:color w:val="000000"/>
          <w:sz w:val="32"/>
          <w:szCs w:val="32"/>
        </w:rPr>
      </w:pPr>
      <w:r>
        <w:rPr>
          <w:rStyle w:val="16"/>
          <w:rFonts w:hint="eastAsia" w:ascii="宋体" w:hAnsi="宋体" w:cs="宋体"/>
          <w:bCs/>
          <w:color w:val="000000"/>
          <w:sz w:val="32"/>
          <w:szCs w:val="32"/>
        </w:rPr>
        <w:t>4.</w:t>
      </w:r>
      <w:r>
        <w:rPr>
          <w:rFonts w:hint="eastAsia" w:ascii="宋体" w:hAnsi="宋体" w:cs="宋体"/>
          <w:b/>
          <w:color w:val="000000" w:themeColor="text1"/>
          <w:sz w:val="32"/>
          <w:szCs w:val="32"/>
        </w:rPr>
        <w:t xml:space="preserve"> 住房保障</w:t>
      </w:r>
      <w:r>
        <w:rPr>
          <w:rStyle w:val="16"/>
          <w:rFonts w:hint="eastAsia" w:ascii="宋体" w:hAnsi="宋体" w:cs="宋体"/>
          <w:bCs/>
          <w:color w:val="000000"/>
          <w:sz w:val="32"/>
          <w:szCs w:val="32"/>
        </w:rPr>
        <w:t>（类）221:</w:t>
      </w:r>
      <w:r>
        <w:rPr>
          <w:rStyle w:val="16"/>
          <w:rFonts w:hint="eastAsia" w:ascii="宋体" w:hAnsi="宋体" w:cs="宋体"/>
          <w:b w:val="0"/>
          <w:bCs/>
          <w:color w:val="000000"/>
          <w:sz w:val="32"/>
          <w:szCs w:val="32"/>
        </w:rPr>
        <w:t xml:space="preserve"> 支出决算为</w:t>
      </w:r>
      <w:r>
        <w:rPr>
          <w:rFonts w:hint="eastAsia" w:ascii="宋体" w:hAnsi="宋体" w:cs="宋体"/>
          <w:color w:val="000000" w:themeColor="text1"/>
          <w:sz w:val="32"/>
          <w:szCs w:val="32"/>
        </w:rPr>
        <w:t>56.81</w:t>
      </w:r>
      <w:r>
        <w:rPr>
          <w:rStyle w:val="16"/>
          <w:rFonts w:hint="eastAsia" w:ascii="宋体" w:hAnsi="宋体" w:cs="宋体"/>
          <w:b w:val="0"/>
          <w:bCs/>
          <w:color w:val="000000"/>
          <w:sz w:val="32"/>
          <w:szCs w:val="32"/>
        </w:rPr>
        <w:t>万元，完成预算95.76%，决算数小于预算数的主要原因是2021年</w:t>
      </w:r>
      <w:r>
        <w:rPr>
          <w:rFonts w:hint="eastAsia" w:ascii="宋体" w:hAnsi="宋体" w:cs="宋体"/>
          <w:sz w:val="32"/>
          <w:szCs w:val="32"/>
        </w:rPr>
        <w:t>2人退休, 人员经费减少。</w:t>
      </w:r>
    </w:p>
    <w:p w14:paraId="15C8126B">
      <w:pPr>
        <w:tabs>
          <w:tab w:val="right" w:pos="8306"/>
        </w:tabs>
        <w:spacing w:line="600" w:lineRule="exact"/>
        <w:ind w:firstLine="640"/>
        <w:outlineLvl w:val="1"/>
        <w:rPr>
          <w:rStyle w:val="27"/>
          <w:rFonts w:ascii="宋体" w:hAnsi="宋体" w:eastAsia="宋体" w:cs="宋体"/>
        </w:rPr>
      </w:pPr>
      <w:bookmarkStart w:id="38" w:name="_Toc15377214"/>
      <w:bookmarkStart w:id="39" w:name="_Toc15396608"/>
      <w:r>
        <w:rPr>
          <w:rFonts w:hint="eastAsia" w:ascii="宋体" w:hAnsi="宋体" w:cs="宋体"/>
          <w:b/>
          <w:color w:val="000000"/>
          <w:sz w:val="32"/>
          <w:szCs w:val="32"/>
        </w:rPr>
        <w:t>六、</w:t>
      </w:r>
      <w:r>
        <w:rPr>
          <w:rFonts w:hint="eastAsia" w:ascii="宋体" w:hAnsi="宋体" w:cs="宋体"/>
          <w:color w:val="000000"/>
          <w:sz w:val="32"/>
          <w:szCs w:val="32"/>
        </w:rPr>
        <w:t>一</w:t>
      </w:r>
      <w:r>
        <w:rPr>
          <w:rStyle w:val="27"/>
          <w:rFonts w:hint="eastAsia" w:ascii="宋体" w:hAnsi="宋体" w:eastAsia="宋体" w:cs="宋体"/>
        </w:rPr>
        <w:t>般公共预算财政拨款基本支出决算情况说明</w:t>
      </w:r>
      <w:bookmarkEnd w:id="38"/>
      <w:bookmarkEnd w:id="39"/>
      <w:r>
        <w:rPr>
          <w:rStyle w:val="27"/>
          <w:rFonts w:hint="eastAsia" w:ascii="宋体" w:hAnsi="宋体" w:eastAsia="宋体" w:cs="宋体"/>
        </w:rPr>
        <w:tab/>
      </w:r>
    </w:p>
    <w:p w14:paraId="430C5217">
      <w:pPr>
        <w:spacing w:line="600" w:lineRule="exact"/>
        <w:ind w:firstLine="645"/>
        <w:rPr>
          <w:rFonts w:ascii="宋体" w:hAnsi="宋体" w:cs="宋体"/>
          <w:color w:val="000000"/>
          <w:sz w:val="32"/>
          <w:szCs w:val="32"/>
        </w:rPr>
      </w:pPr>
      <w:r>
        <w:rPr>
          <w:rFonts w:hint="eastAsia" w:ascii="宋体" w:hAnsi="宋体" w:cs="宋体"/>
          <w:color w:val="000000"/>
          <w:sz w:val="32"/>
          <w:szCs w:val="32"/>
        </w:rPr>
        <w:t>2021年一般公共预算财政拨款基本支出716.92万元，其中：</w:t>
      </w:r>
    </w:p>
    <w:p w14:paraId="0A37CD9B">
      <w:pPr>
        <w:spacing w:line="600" w:lineRule="exact"/>
        <w:ind w:firstLine="645"/>
        <w:rPr>
          <w:rFonts w:ascii="宋体" w:hAnsi="宋体" w:cs="宋体"/>
          <w:color w:val="000000"/>
          <w:sz w:val="32"/>
          <w:szCs w:val="32"/>
        </w:rPr>
      </w:pPr>
      <w:r>
        <w:rPr>
          <w:rFonts w:hint="eastAsia" w:ascii="宋体" w:hAnsi="宋体" w:cs="宋体"/>
          <w:color w:val="000000"/>
          <w:sz w:val="32"/>
          <w:szCs w:val="32"/>
        </w:rPr>
        <w:t>人员经费558.8万元，主要包括：基本工资167.22万元、津贴补贴25.92万元、奖金0万元、伙食补助费0万元、绩效工资162.63万元、机关事业单位基本养老保险缴费47.75万元、职业年金缴费12.51万元、职工基本医疗保险缴费28.32万元、公务员医疗补助缴费5.59万元、其他社会保障缴费5.4万元、住房公积金58.47万元、医疗费0万元、其他工资福利支出0万元、离休费0万元、退休费0万元、退职（役）费0万元、抚恤金0万元、生活补助42.59万元、救济费0万元、医疗费补助0万元、助学金0万元、奖励金2.4万元、个人农业生产补贴0万元、代缴社会保险0万元、其他对个人和家庭的补助支出0万元。</w:t>
      </w:r>
    </w:p>
    <w:p w14:paraId="1C41B234">
      <w:pPr>
        <w:spacing w:line="600" w:lineRule="exact"/>
        <w:ind w:firstLine="480" w:firstLineChars="150"/>
        <w:rPr>
          <w:rFonts w:ascii="宋体" w:hAnsi="宋体" w:cs="宋体"/>
          <w:color w:val="000000"/>
          <w:sz w:val="32"/>
          <w:szCs w:val="32"/>
        </w:rPr>
      </w:pPr>
      <w:r>
        <w:rPr>
          <w:rFonts w:hint="eastAsia" w:ascii="宋体" w:hAnsi="宋体" w:cs="宋体"/>
          <w:color w:val="000000"/>
          <w:sz w:val="32"/>
          <w:szCs w:val="32"/>
        </w:rPr>
        <w:t>日常公用经费158.13万元，主要包括：</w:t>
      </w:r>
      <w:bookmarkStart w:id="40" w:name="_Toc15396609"/>
      <w:bookmarkStart w:id="41" w:name="_Toc15377215"/>
      <w:r>
        <w:rPr>
          <w:rFonts w:hint="eastAsia" w:ascii="宋体" w:hAnsi="宋体" w:cs="宋体"/>
          <w:color w:val="000000"/>
          <w:sz w:val="32"/>
          <w:szCs w:val="32"/>
        </w:rPr>
        <w:t>办公费10.39万元、印刷费0.05万元、咨询费0万元、手续费0万元、水费3.28万元、电费2.87万元、邮电费2.56万元、取暖费0万元、物业管理费1.04万元、差旅费1.92万元、因公出国（境）费用0万元、维修（护）费53.5万元、租赁费0.22万元、会议费0万元、培训费2.92万元、公务接待费0万元、劳务费18.22万元、委托业务费30.52万元、工会经费6.07万元、福利费8.14万元、公务用车运行维护费0万元、其他交通费1.87万元、税金及附加费用0万元、其他商品和服务支出2.91万元、国内债务付息0万元、国外债务付息0万元、国内债务发行费用0万元、国外债务发行费用0万元、房屋建筑物构建0万元、办公设备购置11.2万元、专用设备购置0万元、基础设施建设0万元、大型修缮0万元、信息网络及软件购置更新0万元、物资储备0万元、土地补偿0万元、安置补助0万元、地上附着物和青苗补偿0万元、拆迁补偿0万元、公务用车购置0万元、其他交通工具购置0万元、文物和陈列品购置0万元、无形资产购置0万元、其他资本性支出0万元、资本金注入0万元、政府投资基金股权投资0万元、费用补贴0万元、利息补贴0万元、其他对企业补助0万元、赠与0万元、国家赔偿费用支出0万元、对民间非营利组织和群众性自治组织补贴0万元、其他支出0万元。</w:t>
      </w:r>
    </w:p>
    <w:p w14:paraId="6B07CB07">
      <w:pPr>
        <w:spacing w:line="600" w:lineRule="exact"/>
        <w:ind w:firstLine="645"/>
        <w:rPr>
          <w:rStyle w:val="27"/>
          <w:rFonts w:ascii="宋体" w:hAnsi="宋体" w:eastAsia="宋体" w:cs="宋体"/>
        </w:rPr>
      </w:pPr>
      <w:r>
        <w:rPr>
          <w:rFonts w:hint="eastAsia" w:ascii="宋体" w:hAnsi="宋体" w:cs="宋体"/>
          <w:b/>
          <w:color w:val="000000"/>
          <w:sz w:val="32"/>
          <w:szCs w:val="32"/>
        </w:rPr>
        <w:t>七、</w:t>
      </w:r>
      <w:r>
        <w:rPr>
          <w:rStyle w:val="27"/>
          <w:rFonts w:hint="eastAsia" w:ascii="宋体" w:hAnsi="宋体" w:eastAsia="宋体" w:cs="宋体"/>
        </w:rPr>
        <w:t>“三公”经费财政拨款支出决算情况说明</w:t>
      </w:r>
      <w:bookmarkEnd w:id="40"/>
      <w:bookmarkEnd w:id="41"/>
    </w:p>
    <w:p w14:paraId="3708BD60">
      <w:pPr>
        <w:spacing w:line="600" w:lineRule="exact"/>
        <w:ind w:firstLine="640"/>
        <w:outlineLvl w:val="2"/>
        <w:rPr>
          <w:rFonts w:ascii="宋体" w:hAnsi="宋体" w:cs="宋体"/>
          <w:b/>
          <w:color w:val="000000"/>
          <w:sz w:val="32"/>
          <w:szCs w:val="32"/>
        </w:rPr>
      </w:pPr>
      <w:bookmarkStart w:id="42" w:name="_Toc15377216"/>
      <w:r>
        <w:rPr>
          <w:rFonts w:hint="eastAsia" w:ascii="宋体" w:hAnsi="宋体" w:cs="宋体"/>
          <w:b/>
          <w:color w:val="000000"/>
          <w:sz w:val="32"/>
          <w:szCs w:val="32"/>
        </w:rPr>
        <w:t>（一）“三公”经费财政拨款支出决算总体情况说明</w:t>
      </w:r>
      <w:bookmarkEnd w:id="42"/>
    </w:p>
    <w:p w14:paraId="54C00063">
      <w:pPr>
        <w:spacing w:line="480" w:lineRule="auto"/>
        <w:ind w:firstLine="640"/>
        <w:rPr>
          <w:rFonts w:ascii="宋体" w:hAnsi="宋体" w:cs="宋体"/>
          <w:color w:val="000000"/>
          <w:sz w:val="32"/>
          <w:szCs w:val="32"/>
        </w:rPr>
      </w:pPr>
      <w:r>
        <w:rPr>
          <w:rFonts w:hint="eastAsia" w:ascii="宋体" w:hAnsi="宋体" w:cs="宋体"/>
          <w:color w:val="000000"/>
          <w:sz w:val="32"/>
          <w:szCs w:val="32"/>
        </w:rPr>
        <w:t>2021年“三公”经费财政拨款支出决算为0万元</w:t>
      </w:r>
    </w:p>
    <w:p w14:paraId="0ADF147D">
      <w:pPr>
        <w:spacing w:line="480" w:lineRule="auto"/>
        <w:ind w:firstLine="640"/>
        <w:rPr>
          <w:rFonts w:ascii="宋体" w:hAnsi="宋体" w:cs="宋体"/>
          <w:color w:val="333333"/>
          <w:sz w:val="32"/>
          <w:szCs w:val="32"/>
        </w:rPr>
      </w:pPr>
      <w:r>
        <w:rPr>
          <w:rFonts w:hint="eastAsia" w:ascii="宋体" w:hAnsi="宋体" w:cs="宋体"/>
          <w:color w:val="333333"/>
          <w:sz w:val="32"/>
          <w:szCs w:val="32"/>
        </w:rPr>
        <w:t>攀枝花市仁和区总发乡中心学校2021年度“三公”经费财政拨款支出决算为0万元，</w:t>
      </w:r>
      <w:r>
        <w:rPr>
          <w:rFonts w:hint="eastAsia" w:ascii="宋体" w:hAnsi="宋体" w:cs="宋体"/>
          <w:color w:val="000000"/>
          <w:sz w:val="32"/>
          <w:szCs w:val="32"/>
        </w:rPr>
        <w:t>无预算。</w:t>
      </w:r>
    </w:p>
    <w:p w14:paraId="10043086">
      <w:pPr>
        <w:spacing w:line="600" w:lineRule="exact"/>
        <w:ind w:firstLine="640"/>
        <w:outlineLvl w:val="2"/>
        <w:rPr>
          <w:rFonts w:ascii="宋体" w:hAnsi="宋体" w:cs="宋体"/>
          <w:b/>
          <w:color w:val="000000"/>
          <w:sz w:val="32"/>
          <w:szCs w:val="32"/>
        </w:rPr>
      </w:pPr>
      <w:bookmarkStart w:id="43" w:name="_Toc15377217"/>
      <w:r>
        <w:rPr>
          <w:rFonts w:hint="eastAsia" w:ascii="宋体" w:hAnsi="宋体" w:cs="宋体"/>
          <w:b/>
          <w:color w:val="000000"/>
          <w:sz w:val="32"/>
          <w:szCs w:val="32"/>
        </w:rPr>
        <w:t>（二）“三公”经费财政拨款支出决算具体情况说明</w:t>
      </w:r>
      <w:bookmarkEnd w:id="43"/>
    </w:p>
    <w:p w14:paraId="006C527A">
      <w:pPr>
        <w:spacing w:line="600" w:lineRule="exact"/>
        <w:ind w:firstLine="640"/>
        <w:rPr>
          <w:rFonts w:ascii="宋体" w:hAnsi="宋体" w:cs="宋体"/>
          <w:color w:val="000000"/>
          <w:sz w:val="32"/>
          <w:szCs w:val="32"/>
        </w:rPr>
      </w:pPr>
      <w:bookmarkStart w:id="44" w:name="_Toc15377218"/>
      <w:bookmarkStart w:id="45" w:name="_Toc15396610"/>
      <w:r>
        <w:rPr>
          <w:rFonts w:hint="eastAsia" w:ascii="宋体" w:hAnsi="宋体" w:cs="宋体"/>
          <w:color w:val="000000"/>
          <w:sz w:val="32"/>
          <w:szCs w:val="32"/>
        </w:rPr>
        <w:t>2021年“三公”经费财政拨款支出决算中，因公出国（境）费支出决算0万元，占0%；公务用车购置及运行维护费支出决算0万元，占0%；公务接待费支出决算0万元，占0%。具体情况如下：</w:t>
      </w:r>
    </w:p>
    <w:p w14:paraId="08E7CCDE">
      <w:pPr>
        <w:spacing w:line="600" w:lineRule="exact"/>
        <w:ind w:firstLine="640"/>
        <w:rPr>
          <w:rFonts w:ascii="宋体" w:hAnsi="宋体" w:cs="宋体"/>
          <w:b/>
          <w:color w:val="000000"/>
          <w:sz w:val="32"/>
          <w:szCs w:val="32"/>
        </w:rPr>
      </w:pPr>
      <w:r>
        <w:rPr>
          <w:rFonts w:hint="eastAsia" w:ascii="宋体" w:hAnsi="宋体" w:cs="宋体"/>
          <w:b/>
          <w:color w:val="000000"/>
          <w:sz w:val="32"/>
          <w:szCs w:val="32"/>
        </w:rPr>
        <w:t>1.因公出国（境）经费支出</w:t>
      </w:r>
      <w:r>
        <w:rPr>
          <w:rFonts w:hint="eastAsia" w:ascii="宋体" w:hAnsi="宋体" w:cs="宋体"/>
          <w:color w:val="000000"/>
          <w:sz w:val="32"/>
          <w:szCs w:val="32"/>
        </w:rPr>
        <w:t>0万元，无预算</w:t>
      </w:r>
      <w:r>
        <w:rPr>
          <w:rStyle w:val="16"/>
          <w:rFonts w:hint="eastAsia" w:ascii="宋体" w:hAnsi="宋体" w:cs="宋体"/>
          <w:b w:val="0"/>
          <w:bCs/>
          <w:color w:val="000000"/>
          <w:sz w:val="32"/>
          <w:szCs w:val="32"/>
        </w:rPr>
        <w:t>。</w:t>
      </w:r>
      <w:r>
        <w:rPr>
          <w:rFonts w:hint="eastAsia" w:ascii="宋体" w:hAnsi="宋体" w:cs="宋体"/>
          <w:color w:val="000000"/>
          <w:sz w:val="32"/>
          <w:szCs w:val="32"/>
        </w:rPr>
        <w:t>全年安排因公出国（境）团组0次，出国（境）0人。因公出国（境）支出决算与2020年持平（无预算）。</w:t>
      </w:r>
    </w:p>
    <w:p w14:paraId="30B1F87A">
      <w:pPr>
        <w:spacing w:line="600" w:lineRule="exact"/>
        <w:ind w:firstLine="640"/>
        <w:rPr>
          <w:rFonts w:ascii="宋体" w:hAnsi="宋体" w:cs="宋体"/>
          <w:color w:val="000000"/>
          <w:sz w:val="32"/>
          <w:szCs w:val="32"/>
        </w:rPr>
      </w:pPr>
      <w:r>
        <w:rPr>
          <w:rFonts w:hint="eastAsia" w:ascii="宋体" w:hAnsi="宋体" w:cs="宋体"/>
          <w:b/>
          <w:color w:val="000000"/>
          <w:sz w:val="32"/>
          <w:szCs w:val="32"/>
        </w:rPr>
        <w:t>2.公务用车购置及运行维护费支出</w:t>
      </w:r>
      <w:r>
        <w:rPr>
          <w:rFonts w:hint="eastAsia" w:ascii="宋体" w:hAnsi="宋体" w:cs="宋体"/>
          <w:color w:val="000000"/>
          <w:sz w:val="32"/>
          <w:szCs w:val="32"/>
        </w:rPr>
        <w:t>0万元, 无预算</w:t>
      </w:r>
      <w:r>
        <w:rPr>
          <w:rStyle w:val="16"/>
          <w:rFonts w:hint="eastAsia" w:ascii="宋体" w:hAnsi="宋体" w:cs="宋体"/>
          <w:b w:val="0"/>
          <w:bCs/>
          <w:color w:val="000000"/>
          <w:sz w:val="32"/>
          <w:szCs w:val="32"/>
        </w:rPr>
        <w:t>。</w:t>
      </w:r>
      <w:r>
        <w:rPr>
          <w:rFonts w:hint="eastAsia" w:ascii="宋体" w:hAnsi="宋体" w:cs="宋体"/>
          <w:color w:val="000000"/>
          <w:sz w:val="32"/>
          <w:szCs w:val="32"/>
        </w:rPr>
        <w:t>公务用车购置及运行维护费支出决算与2020年持平（无预算）。</w:t>
      </w:r>
    </w:p>
    <w:p w14:paraId="590D51FF">
      <w:pPr>
        <w:spacing w:line="600" w:lineRule="exact"/>
        <w:ind w:firstLine="640"/>
        <w:rPr>
          <w:rFonts w:ascii="宋体" w:hAnsi="宋体" w:cs="宋体"/>
          <w:color w:val="000000"/>
          <w:sz w:val="32"/>
          <w:szCs w:val="32"/>
        </w:rPr>
      </w:pPr>
      <w:r>
        <w:rPr>
          <w:rFonts w:hint="eastAsia" w:ascii="宋体" w:hAnsi="宋体" w:cs="宋体"/>
          <w:color w:val="000000"/>
          <w:sz w:val="32"/>
          <w:szCs w:val="32"/>
        </w:rPr>
        <w:t>其中：</w:t>
      </w:r>
      <w:r>
        <w:rPr>
          <w:rFonts w:hint="eastAsia" w:ascii="宋体" w:hAnsi="宋体" w:cs="宋体"/>
          <w:b/>
          <w:color w:val="000000"/>
          <w:sz w:val="32"/>
          <w:szCs w:val="32"/>
        </w:rPr>
        <w:t>公务用车购置支出</w:t>
      </w:r>
      <w:r>
        <w:rPr>
          <w:rFonts w:hint="eastAsia" w:ascii="宋体" w:hAnsi="宋体" w:cs="宋体"/>
          <w:color w:val="000000"/>
          <w:sz w:val="32"/>
          <w:szCs w:val="32"/>
        </w:rPr>
        <w:t>0万元。全年按规定更新购置公务用车0辆，其中：轿车0辆、金额0万元，越野车0辆、金额0万元，小型载客汽车0辆、金额0万元，大中型载客汽车0辆、金额0万元，其他车型0辆、金额0万元。截至2020年12月底，单位共有公务用车0辆，其中：轿车0辆、越野车0辆、小型载客汽车0辆、大中型载客汽车0辆、其他车型0辆。</w:t>
      </w:r>
    </w:p>
    <w:p w14:paraId="31443549">
      <w:pPr>
        <w:spacing w:line="600" w:lineRule="exact"/>
        <w:ind w:firstLine="640"/>
        <w:rPr>
          <w:rFonts w:ascii="宋体" w:hAnsi="宋体" w:cs="宋体"/>
          <w:color w:val="000000"/>
          <w:sz w:val="32"/>
          <w:szCs w:val="32"/>
        </w:rPr>
      </w:pPr>
      <w:r>
        <w:rPr>
          <w:rFonts w:hint="eastAsia" w:ascii="宋体" w:hAnsi="宋体" w:cs="宋体"/>
          <w:b/>
          <w:color w:val="000000"/>
          <w:sz w:val="32"/>
          <w:szCs w:val="32"/>
        </w:rPr>
        <w:t>公务用车运行维护费支出</w:t>
      </w:r>
      <w:r>
        <w:rPr>
          <w:rFonts w:hint="eastAsia" w:ascii="宋体" w:hAnsi="宋体" w:cs="宋体"/>
          <w:color w:val="000000"/>
          <w:sz w:val="32"/>
          <w:szCs w:val="32"/>
        </w:rPr>
        <w:t>0万元。</w:t>
      </w:r>
    </w:p>
    <w:p w14:paraId="5E194B80">
      <w:pPr>
        <w:spacing w:line="600" w:lineRule="exact"/>
        <w:ind w:firstLine="640"/>
        <w:rPr>
          <w:rFonts w:ascii="宋体" w:hAnsi="宋体" w:cs="宋体"/>
          <w:color w:val="000000"/>
          <w:sz w:val="32"/>
          <w:szCs w:val="32"/>
        </w:rPr>
      </w:pPr>
      <w:r>
        <w:rPr>
          <w:rFonts w:hint="eastAsia" w:ascii="宋体" w:hAnsi="宋体" w:cs="宋体"/>
          <w:b/>
          <w:color w:val="000000"/>
          <w:sz w:val="32"/>
          <w:szCs w:val="32"/>
        </w:rPr>
        <w:t>3.公务接待费支出</w:t>
      </w:r>
      <w:r>
        <w:rPr>
          <w:rFonts w:hint="eastAsia" w:ascii="宋体" w:hAnsi="宋体" w:cs="宋体"/>
          <w:color w:val="000000"/>
          <w:sz w:val="32"/>
          <w:szCs w:val="32"/>
        </w:rPr>
        <w:t>0万元，</w:t>
      </w:r>
      <w:r>
        <w:rPr>
          <w:rStyle w:val="16"/>
          <w:rFonts w:hint="eastAsia" w:ascii="宋体" w:hAnsi="宋体" w:cs="宋体"/>
          <w:b w:val="0"/>
          <w:bCs/>
          <w:color w:val="000000"/>
          <w:sz w:val="32"/>
          <w:szCs w:val="32"/>
        </w:rPr>
        <w:t>完成预算0%。</w:t>
      </w:r>
      <w:r>
        <w:rPr>
          <w:rFonts w:hint="eastAsia" w:ascii="宋体" w:hAnsi="宋体" w:cs="宋体"/>
          <w:color w:val="000000"/>
          <w:sz w:val="32"/>
          <w:szCs w:val="32"/>
        </w:rPr>
        <w:t>公务接待费支出决算与2020年持平（无预算）。</w:t>
      </w:r>
    </w:p>
    <w:p w14:paraId="1A1C14CA">
      <w:pPr>
        <w:spacing w:line="600" w:lineRule="exact"/>
        <w:ind w:firstLine="640"/>
        <w:rPr>
          <w:rFonts w:ascii="宋体" w:hAnsi="宋体" w:cs="宋体"/>
          <w:color w:val="000000"/>
          <w:sz w:val="32"/>
          <w:szCs w:val="32"/>
        </w:rPr>
      </w:pPr>
      <w:r>
        <w:rPr>
          <w:rFonts w:hint="eastAsia" w:ascii="宋体" w:hAnsi="宋体" w:cs="宋体"/>
          <w:b/>
          <w:color w:val="000000"/>
          <w:sz w:val="32"/>
          <w:szCs w:val="32"/>
        </w:rPr>
        <w:t>国内公务接待支出</w:t>
      </w:r>
      <w:r>
        <w:rPr>
          <w:rFonts w:hint="eastAsia" w:ascii="宋体" w:hAnsi="宋体" w:cs="宋体"/>
          <w:color w:val="000000"/>
          <w:sz w:val="32"/>
          <w:szCs w:val="32"/>
        </w:rPr>
        <w:t>0万元。国内公务接待0批次，0人次，共计支出0万元。</w:t>
      </w:r>
    </w:p>
    <w:p w14:paraId="7E13D7E4">
      <w:pPr>
        <w:spacing w:line="600" w:lineRule="exact"/>
        <w:ind w:firstLine="643" w:firstLineChars="200"/>
        <w:rPr>
          <w:rFonts w:ascii="宋体" w:hAnsi="宋体" w:cs="宋体"/>
          <w:color w:val="000000"/>
          <w:sz w:val="32"/>
          <w:szCs w:val="32"/>
        </w:rPr>
      </w:pPr>
      <w:r>
        <w:rPr>
          <w:rFonts w:hint="eastAsia" w:ascii="宋体" w:hAnsi="宋体" w:cs="宋体"/>
          <w:b/>
          <w:color w:val="000000"/>
          <w:sz w:val="32"/>
          <w:szCs w:val="32"/>
        </w:rPr>
        <w:t>外事接待支出</w:t>
      </w:r>
      <w:r>
        <w:rPr>
          <w:rFonts w:hint="eastAsia" w:ascii="宋体" w:hAnsi="宋体" w:cs="宋体"/>
          <w:color w:val="000000"/>
          <w:sz w:val="32"/>
          <w:szCs w:val="32"/>
        </w:rPr>
        <w:t>0万元，外事接待0批次，0人，共计支出0万元。</w:t>
      </w:r>
    </w:p>
    <w:p w14:paraId="26342C31">
      <w:pPr>
        <w:spacing w:line="480" w:lineRule="auto"/>
        <w:ind w:firstLine="640"/>
        <w:rPr>
          <w:rStyle w:val="27"/>
          <w:rFonts w:ascii="宋体" w:hAnsi="宋体" w:eastAsia="宋体" w:cs="宋体"/>
        </w:rPr>
      </w:pPr>
      <w:r>
        <w:rPr>
          <w:rFonts w:hint="eastAsia" w:ascii="宋体" w:hAnsi="宋体" w:cs="宋体"/>
          <w:b/>
          <w:color w:val="000000"/>
          <w:sz w:val="32"/>
          <w:szCs w:val="32"/>
        </w:rPr>
        <w:t>八、</w:t>
      </w:r>
      <w:r>
        <w:rPr>
          <w:rStyle w:val="27"/>
          <w:rFonts w:hint="eastAsia" w:ascii="宋体" w:hAnsi="宋体" w:eastAsia="宋体" w:cs="宋体"/>
        </w:rPr>
        <w:t>政府性基金预算支出决算情况说明</w:t>
      </w:r>
      <w:bookmarkEnd w:id="44"/>
      <w:bookmarkEnd w:id="45"/>
    </w:p>
    <w:p w14:paraId="7DD6DF4B">
      <w:pPr>
        <w:spacing w:line="480" w:lineRule="auto"/>
        <w:ind w:firstLine="640"/>
        <w:rPr>
          <w:rFonts w:ascii="宋体" w:hAnsi="宋体" w:cs="宋体"/>
          <w:color w:val="000000"/>
          <w:sz w:val="32"/>
          <w:szCs w:val="32"/>
        </w:rPr>
      </w:pPr>
      <w:r>
        <w:rPr>
          <w:rFonts w:hint="eastAsia" w:ascii="宋体" w:hAnsi="宋体" w:cs="宋体"/>
          <w:color w:val="000000"/>
          <w:sz w:val="32"/>
          <w:szCs w:val="32"/>
        </w:rPr>
        <w:t>2021年政府性基金预算拨款支出0万元。</w:t>
      </w:r>
    </w:p>
    <w:p w14:paraId="324FD2A1">
      <w:pPr>
        <w:numPr>
          <w:ilvl w:val="0"/>
          <w:numId w:val="2"/>
        </w:numPr>
        <w:spacing w:line="600" w:lineRule="exact"/>
        <w:ind w:firstLine="640"/>
        <w:outlineLvl w:val="1"/>
        <w:rPr>
          <w:rStyle w:val="27"/>
          <w:rFonts w:ascii="宋体" w:hAnsi="宋体" w:eastAsia="宋体" w:cs="宋体"/>
        </w:rPr>
      </w:pPr>
      <w:bookmarkStart w:id="46" w:name="_Toc15377219"/>
      <w:bookmarkStart w:id="47" w:name="_Toc15396611"/>
      <w:r>
        <w:rPr>
          <w:rStyle w:val="27"/>
          <w:rFonts w:hint="eastAsia" w:ascii="宋体" w:hAnsi="宋体" w:eastAsia="宋体" w:cs="宋体"/>
        </w:rPr>
        <w:t>国有资本经营预算支出决算情况说明</w:t>
      </w:r>
      <w:bookmarkEnd w:id="46"/>
      <w:bookmarkEnd w:id="47"/>
    </w:p>
    <w:p w14:paraId="26E95AA0">
      <w:pPr>
        <w:spacing w:line="600" w:lineRule="exact"/>
        <w:ind w:firstLine="640"/>
        <w:rPr>
          <w:rFonts w:ascii="宋体" w:hAnsi="宋体" w:cs="宋体"/>
          <w:color w:val="000000"/>
          <w:sz w:val="32"/>
          <w:szCs w:val="32"/>
        </w:rPr>
      </w:pPr>
      <w:r>
        <w:rPr>
          <w:rFonts w:hint="eastAsia" w:ascii="宋体" w:hAnsi="宋体" w:cs="宋体"/>
          <w:color w:val="000000"/>
          <w:sz w:val="32"/>
          <w:szCs w:val="32"/>
        </w:rPr>
        <w:t>2021年国有资本经营预算拨款支出0万元。</w:t>
      </w:r>
    </w:p>
    <w:p w14:paraId="0BDBEEA2">
      <w:pPr>
        <w:spacing w:line="600" w:lineRule="exact"/>
        <w:ind w:firstLine="803" w:firstLineChars="250"/>
        <w:outlineLvl w:val="1"/>
        <w:rPr>
          <w:rStyle w:val="27"/>
          <w:rFonts w:ascii="宋体" w:hAnsi="宋体" w:eastAsia="宋体" w:cs="宋体"/>
        </w:rPr>
      </w:pPr>
      <w:bookmarkStart w:id="48" w:name="_Toc15396612"/>
      <w:bookmarkStart w:id="49" w:name="_Toc15377221"/>
      <w:r>
        <w:rPr>
          <w:rFonts w:hint="eastAsia" w:ascii="宋体" w:hAnsi="宋体" w:cs="宋体"/>
          <w:b/>
          <w:color w:val="000000"/>
          <w:sz w:val="32"/>
          <w:szCs w:val="32"/>
        </w:rPr>
        <w:t>十</w:t>
      </w:r>
      <w:r>
        <w:rPr>
          <w:rStyle w:val="27"/>
          <w:rFonts w:hint="eastAsia" w:ascii="宋体" w:hAnsi="宋体" w:eastAsia="宋体" w:cs="宋体"/>
          <w:b w:val="0"/>
        </w:rPr>
        <w:t>、</w:t>
      </w:r>
      <w:r>
        <w:rPr>
          <w:rStyle w:val="27"/>
          <w:rFonts w:hint="eastAsia" w:ascii="宋体" w:hAnsi="宋体" w:eastAsia="宋体" w:cs="宋体"/>
        </w:rPr>
        <w:t>其他重要事项的情况说明</w:t>
      </w:r>
      <w:bookmarkEnd w:id="48"/>
      <w:bookmarkEnd w:id="49"/>
    </w:p>
    <w:p w14:paraId="36DFE3A4">
      <w:pPr>
        <w:spacing w:line="600" w:lineRule="exact"/>
        <w:ind w:firstLine="643" w:firstLineChars="200"/>
        <w:outlineLvl w:val="2"/>
        <w:rPr>
          <w:rFonts w:ascii="宋体" w:hAnsi="宋体" w:cs="宋体"/>
          <w:color w:val="000000"/>
          <w:sz w:val="32"/>
          <w:szCs w:val="32"/>
        </w:rPr>
      </w:pPr>
      <w:bookmarkStart w:id="50" w:name="_Toc15377222"/>
      <w:r>
        <w:rPr>
          <w:rFonts w:hint="eastAsia" w:ascii="宋体" w:hAnsi="宋体" w:cs="宋体"/>
          <w:b/>
          <w:color w:val="000000"/>
          <w:sz w:val="32"/>
          <w:szCs w:val="32"/>
        </w:rPr>
        <w:t>（一）机关运行经费支出情况</w:t>
      </w:r>
      <w:bookmarkEnd w:id="50"/>
    </w:p>
    <w:p w14:paraId="2EAC9E2E">
      <w:pPr>
        <w:spacing w:line="600" w:lineRule="exact"/>
        <w:ind w:firstLine="640" w:firstLineChars="200"/>
        <w:rPr>
          <w:rFonts w:ascii="宋体" w:hAnsi="宋体" w:cs="宋体"/>
          <w:color w:val="000000" w:themeColor="text1"/>
          <w:sz w:val="32"/>
          <w:szCs w:val="32"/>
        </w:rPr>
      </w:pPr>
      <w:r>
        <w:rPr>
          <w:rFonts w:hint="eastAsia" w:ascii="宋体" w:hAnsi="宋体" w:cs="宋体"/>
          <w:color w:val="000000"/>
          <w:sz w:val="32"/>
          <w:szCs w:val="32"/>
        </w:rPr>
        <w:t>攀枝花市仁和区总发乡中心学校属于财政补助的事业单位，无机关运行经费</w:t>
      </w:r>
      <w:r>
        <w:rPr>
          <w:rFonts w:hint="eastAsia" w:ascii="宋体" w:hAnsi="宋体" w:cs="宋体"/>
          <w:color w:val="000000" w:themeColor="text1"/>
          <w:sz w:val="32"/>
          <w:szCs w:val="32"/>
        </w:rPr>
        <w:t>。</w:t>
      </w:r>
    </w:p>
    <w:p w14:paraId="48EF8A8F">
      <w:pPr>
        <w:autoSpaceDE w:val="0"/>
        <w:autoSpaceDN w:val="0"/>
        <w:adjustRightInd w:val="0"/>
        <w:spacing w:line="600" w:lineRule="exact"/>
        <w:ind w:firstLine="643" w:firstLineChars="200"/>
        <w:jc w:val="left"/>
        <w:outlineLvl w:val="2"/>
        <w:rPr>
          <w:rFonts w:ascii="宋体" w:hAnsi="宋体" w:cs="宋体"/>
          <w:b/>
          <w:color w:val="000000"/>
          <w:sz w:val="32"/>
          <w:szCs w:val="32"/>
        </w:rPr>
      </w:pPr>
      <w:bookmarkStart w:id="51" w:name="_Toc15377223"/>
      <w:r>
        <w:rPr>
          <w:rFonts w:hint="eastAsia" w:ascii="宋体" w:hAnsi="宋体" w:cs="宋体"/>
          <w:b/>
          <w:color w:val="000000"/>
          <w:sz w:val="32"/>
          <w:szCs w:val="32"/>
        </w:rPr>
        <w:t>（二）政府采购支出情况</w:t>
      </w:r>
      <w:bookmarkEnd w:id="51"/>
    </w:p>
    <w:p w14:paraId="274D35B3">
      <w:pPr>
        <w:spacing w:line="600" w:lineRule="exact"/>
        <w:ind w:firstLine="640" w:firstLineChars="200"/>
        <w:rPr>
          <w:rFonts w:ascii="宋体" w:hAnsi="宋体" w:cs="宋体"/>
          <w:color w:val="000000"/>
          <w:sz w:val="32"/>
          <w:szCs w:val="32"/>
        </w:rPr>
      </w:pPr>
      <w:r>
        <w:rPr>
          <w:rFonts w:hint="eastAsia" w:ascii="宋体" w:hAnsi="宋体" w:cs="宋体"/>
          <w:color w:val="000000"/>
          <w:sz w:val="32"/>
          <w:szCs w:val="32"/>
        </w:rPr>
        <w:t>2021年，攀枝花市仁和区总发乡中心学校政府采购支出总额11.2万元，其中：政府采购货物支出11.2万元。</w:t>
      </w:r>
    </w:p>
    <w:p w14:paraId="254D5343">
      <w:pPr>
        <w:autoSpaceDE w:val="0"/>
        <w:autoSpaceDN w:val="0"/>
        <w:adjustRightInd w:val="0"/>
        <w:spacing w:line="600" w:lineRule="exact"/>
        <w:ind w:firstLine="643" w:firstLineChars="200"/>
        <w:jc w:val="left"/>
        <w:outlineLvl w:val="2"/>
        <w:rPr>
          <w:rFonts w:ascii="宋体" w:hAnsi="宋体" w:cs="宋体"/>
          <w:b/>
          <w:color w:val="000000"/>
          <w:sz w:val="32"/>
          <w:szCs w:val="32"/>
        </w:rPr>
      </w:pPr>
      <w:bookmarkStart w:id="52" w:name="_Toc15377224"/>
      <w:r>
        <w:rPr>
          <w:rFonts w:hint="eastAsia" w:ascii="宋体" w:hAnsi="宋体" w:cs="宋体"/>
          <w:b/>
          <w:color w:val="000000"/>
          <w:sz w:val="32"/>
          <w:szCs w:val="32"/>
        </w:rPr>
        <w:t>（三）国有资产占有使用情况</w:t>
      </w:r>
      <w:bookmarkEnd w:id="52"/>
    </w:p>
    <w:p w14:paraId="2D69B224">
      <w:pPr>
        <w:spacing w:line="480" w:lineRule="auto"/>
        <w:ind w:firstLine="640"/>
        <w:rPr>
          <w:rFonts w:ascii="宋体" w:hAnsi="宋体" w:cs="宋体"/>
          <w:color w:val="000000"/>
          <w:sz w:val="32"/>
          <w:szCs w:val="32"/>
        </w:rPr>
      </w:pPr>
      <w:r>
        <w:rPr>
          <w:rFonts w:hint="eastAsia" w:ascii="宋体" w:hAnsi="宋体" w:cs="宋体"/>
          <w:color w:val="000000"/>
          <w:sz w:val="32"/>
          <w:szCs w:val="32"/>
        </w:rPr>
        <w:t>截至2021年12月31日，攀枝花市仁和区总发乡中心学校共有车辆0辆，其中：副部（省）级及以上领导用车0辆、主要领导干部用车0辆、机要通信用车0辆、应急保障用车0辆、应急保障用车0辆、执法执勤用车0辆、特种专业技术用车0辆、离退休干部用车0辆、其他用车0辆。</w:t>
      </w:r>
    </w:p>
    <w:p w14:paraId="613AEFE6">
      <w:pPr>
        <w:spacing w:line="480" w:lineRule="auto"/>
        <w:ind w:firstLine="640"/>
        <w:rPr>
          <w:rFonts w:ascii="宋体" w:hAnsi="宋体" w:cs="宋体"/>
          <w:color w:val="000000"/>
          <w:sz w:val="32"/>
          <w:szCs w:val="32"/>
        </w:rPr>
      </w:pPr>
      <w:r>
        <w:rPr>
          <w:rFonts w:hint="eastAsia" w:ascii="宋体" w:hAnsi="宋体" w:cs="宋体"/>
          <w:color w:val="000000"/>
          <w:sz w:val="32"/>
          <w:szCs w:val="32"/>
        </w:rPr>
        <w:t>单价50万元以上通用设备0台（套），单价100万元以上专用设备0台（套）。</w:t>
      </w:r>
    </w:p>
    <w:p w14:paraId="554BE1B6">
      <w:pPr>
        <w:spacing w:line="580" w:lineRule="exact"/>
        <w:ind w:firstLine="643" w:firstLineChars="200"/>
        <w:rPr>
          <w:rFonts w:ascii="宋体" w:hAnsi="宋体" w:cs="宋体"/>
          <w:b/>
          <w:color w:val="000000"/>
          <w:sz w:val="32"/>
          <w:szCs w:val="32"/>
        </w:rPr>
      </w:pPr>
      <w:r>
        <w:rPr>
          <w:rFonts w:hint="eastAsia" w:ascii="宋体" w:hAnsi="宋体" w:cs="宋体"/>
          <w:b/>
          <w:color w:val="000000"/>
          <w:sz w:val="32"/>
          <w:szCs w:val="32"/>
        </w:rPr>
        <w:t>（四）预算绩效管理情况。</w:t>
      </w:r>
    </w:p>
    <w:p w14:paraId="1BCBFD4E">
      <w:pPr>
        <w:ind w:firstLine="640" w:firstLineChars="200"/>
        <w:rPr>
          <w:rFonts w:ascii="宋体" w:hAnsi="宋体" w:cs="宋体"/>
          <w:sz w:val="32"/>
          <w:szCs w:val="32"/>
        </w:rPr>
      </w:pPr>
      <w:r>
        <w:rPr>
          <w:rFonts w:hint="eastAsia" w:ascii="宋体" w:hAnsi="宋体" w:cs="宋体"/>
          <w:sz w:val="32"/>
          <w:szCs w:val="32"/>
        </w:rPr>
        <w:t>根据预算绩效管理要求，本单位在2021年度预算编制阶段，组织对学前教育生均公用经费、乡村少年宫运转经费、教学管理经费、义务教育生均公用经费等4个项目开展了预算事前绩效评估，对学前教育生均公用经费项目编制了绩效目标，预算执行过程中，选取学前教育生均公用经费1个项目开展绩效监控，年终执行完毕后，对学前教育生均公用经费1个项目开展了绩效自评，2021年特定目标类部门预算项目绩效目标自评表见附件（第四部分）。</w:t>
      </w:r>
    </w:p>
    <w:p w14:paraId="2547A75F">
      <w:pPr>
        <w:widowControl/>
        <w:jc w:val="left"/>
        <w:rPr>
          <w:rFonts w:ascii="宋体" w:hAnsi="宋体" w:cs="宋体"/>
          <w:color w:val="000000"/>
          <w:sz w:val="32"/>
          <w:szCs w:val="32"/>
        </w:rPr>
      </w:pPr>
      <w:r>
        <w:rPr>
          <w:rFonts w:hint="eastAsia" w:ascii="宋体" w:hAnsi="宋体" w:cs="宋体"/>
          <w:b/>
          <w:color w:val="000000"/>
          <w:sz w:val="32"/>
          <w:szCs w:val="32"/>
        </w:rPr>
        <w:br w:type="page"/>
      </w:r>
      <w:bookmarkStart w:id="53" w:name="_Toc15396613"/>
      <w:bookmarkStart w:id="54" w:name="_Toc15377225"/>
      <w:r>
        <w:rPr>
          <w:rFonts w:hint="eastAsia" w:ascii="宋体" w:hAnsi="宋体" w:cs="宋体"/>
          <w:color w:val="000000"/>
          <w:sz w:val="32"/>
          <w:szCs w:val="32"/>
        </w:rPr>
        <w:t>第</w:t>
      </w:r>
      <w:r>
        <w:rPr>
          <w:rStyle w:val="26"/>
          <w:rFonts w:hint="eastAsia" w:ascii="宋体" w:hAnsi="宋体" w:cs="宋体"/>
          <w:sz w:val="32"/>
          <w:szCs w:val="32"/>
        </w:rPr>
        <w:t>三部分</w:t>
      </w:r>
    </w:p>
    <w:p w14:paraId="0A4FBB50">
      <w:pPr>
        <w:widowControl/>
        <w:rPr>
          <w:rStyle w:val="26"/>
          <w:rFonts w:ascii="宋体" w:hAnsi="宋体" w:cs="宋体"/>
          <w:b w:val="0"/>
          <w:sz w:val="32"/>
          <w:szCs w:val="32"/>
        </w:rPr>
      </w:pPr>
      <w:r>
        <w:rPr>
          <w:rFonts w:hint="eastAsia" w:ascii="宋体" w:hAnsi="宋体" w:cs="宋体"/>
          <w:color w:val="000000"/>
          <w:sz w:val="32"/>
          <w:szCs w:val="32"/>
        </w:rPr>
        <w:t>名</w:t>
      </w:r>
      <w:r>
        <w:rPr>
          <w:rStyle w:val="26"/>
          <w:rFonts w:hint="eastAsia" w:ascii="宋体" w:hAnsi="宋体" w:cs="宋体"/>
          <w:b w:val="0"/>
          <w:sz w:val="32"/>
          <w:szCs w:val="32"/>
        </w:rPr>
        <w:t>词解释</w:t>
      </w:r>
      <w:bookmarkEnd w:id="53"/>
      <w:bookmarkEnd w:id="54"/>
    </w:p>
    <w:p w14:paraId="2093C09D">
      <w:pPr>
        <w:spacing w:line="360" w:lineRule="auto"/>
        <w:ind w:firstLine="640"/>
        <w:rPr>
          <w:rFonts w:ascii="仿宋_GB2312" w:hAnsi="Cambria" w:eastAsia="仿宋_GB2312" w:cs="仿宋_GB2312"/>
          <w:color w:val="000000"/>
          <w:sz w:val="32"/>
          <w:szCs w:val="32"/>
        </w:rPr>
      </w:pPr>
      <w:bookmarkStart w:id="55" w:name="_Toc15396614"/>
      <w:bookmarkStart w:id="56" w:name="_Toc15377226"/>
      <w:r>
        <w:rPr>
          <w:rFonts w:ascii="仿宋_GB2312" w:hAnsi="Cambria" w:eastAsia="仿宋_GB2312" w:cs="仿宋_GB2312"/>
          <w:color w:val="000000"/>
          <w:sz w:val="32"/>
          <w:szCs w:val="32"/>
        </w:rPr>
        <w:t>1.</w:t>
      </w:r>
      <w:r>
        <w:rPr>
          <w:rFonts w:hint="eastAsia" w:ascii="仿宋_GB2312" w:hAnsi="Cambria" w:eastAsia="仿宋_GB2312" w:cs="仿宋_GB2312"/>
          <w:color w:val="000000"/>
          <w:sz w:val="32"/>
          <w:szCs w:val="32"/>
        </w:rPr>
        <w:t>财政拨款收入：指单位从同级财政部门取得的财政预算资金。</w:t>
      </w:r>
    </w:p>
    <w:p w14:paraId="4222A9B1">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2.</w:t>
      </w:r>
      <w:r>
        <w:rPr>
          <w:rFonts w:hint="eastAsia" w:ascii="仿宋_GB2312" w:hAnsi="Cambria" w:eastAsia="仿宋_GB2312" w:cs="仿宋_GB2312"/>
          <w:color w:val="000000"/>
          <w:sz w:val="32"/>
          <w:szCs w:val="32"/>
        </w:rPr>
        <w:t>事业收入：指事业单位开展专业业务活动及辅助活动取得的收入。</w:t>
      </w:r>
    </w:p>
    <w:p w14:paraId="0F9D8219">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3.</w:t>
      </w:r>
      <w:r>
        <w:rPr>
          <w:rFonts w:hint="eastAsia" w:ascii="仿宋_GB2312" w:hAnsi="Cambria" w:eastAsia="仿宋_GB2312" w:cs="仿宋_GB2312"/>
          <w:color w:val="000000"/>
          <w:sz w:val="32"/>
          <w:szCs w:val="32"/>
        </w:rPr>
        <w:t>经营收入：指事业单位在专业业务活动及其辅助活动之外开展非独立核算经营活动取得的收入。</w:t>
      </w:r>
    </w:p>
    <w:p w14:paraId="793B2A9B">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4.</w:t>
      </w:r>
      <w:r>
        <w:rPr>
          <w:rFonts w:hint="eastAsia" w:ascii="仿宋_GB2312" w:hAnsi="Cambria" w:eastAsia="仿宋_GB2312" w:cs="仿宋_GB2312"/>
          <w:color w:val="000000"/>
          <w:sz w:val="32"/>
          <w:szCs w:val="32"/>
        </w:rPr>
        <w:t>其他收入：指单位取得的除上述收入以外的各项收入。</w:t>
      </w:r>
    </w:p>
    <w:p w14:paraId="2343790C">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5.</w:t>
      </w:r>
      <w:r>
        <w:rPr>
          <w:rFonts w:hint="eastAsia" w:ascii="仿宋_GB2312" w:hAnsi="Cambria" w:eastAsia="仿宋_GB2312" w:cs="仿宋_GB2312"/>
          <w:color w:val="000000"/>
          <w:sz w:val="32"/>
          <w:szCs w:val="32"/>
        </w:rPr>
        <w:t>使用非财政拨款结余：指事业单位使用以前年度积累的非财政拨款结余弥补当年收支差额的金额。</w:t>
      </w:r>
      <w:r>
        <w:rPr>
          <w:rFonts w:ascii="仿宋_GB2312" w:hAnsi="Cambria" w:eastAsia="仿宋_GB2312" w:cs="仿宋_GB2312"/>
          <w:color w:val="000000"/>
          <w:sz w:val="32"/>
          <w:szCs w:val="32"/>
        </w:rPr>
        <w:t xml:space="preserve"> </w:t>
      </w:r>
    </w:p>
    <w:p w14:paraId="6B53675D">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6.</w:t>
      </w:r>
      <w:r>
        <w:rPr>
          <w:rFonts w:hint="eastAsia" w:ascii="仿宋_GB2312" w:hAnsi="Cambria" w:eastAsia="仿宋_GB2312" w:cs="仿宋_GB2312"/>
          <w:color w:val="000000"/>
          <w:sz w:val="32"/>
          <w:szCs w:val="32"/>
        </w:rPr>
        <w:t>年初结转和结余：指以前年度尚未完成、结转到本年按有关规定继续使用的资金。</w:t>
      </w:r>
      <w:r>
        <w:rPr>
          <w:rFonts w:ascii="仿宋_GB2312" w:hAnsi="Cambria" w:eastAsia="仿宋_GB2312" w:cs="仿宋_GB2312"/>
          <w:color w:val="000000"/>
          <w:sz w:val="32"/>
          <w:szCs w:val="32"/>
        </w:rPr>
        <w:t xml:space="preserve"> </w:t>
      </w:r>
    </w:p>
    <w:p w14:paraId="57BFA7BF">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7.</w:t>
      </w:r>
      <w:r>
        <w:rPr>
          <w:rFonts w:hint="eastAsia" w:ascii="仿宋_GB2312" w:hAnsi="Cambria" w:eastAsia="仿宋_GB2312" w:cs="仿宋_GB2312"/>
          <w:color w:val="000000"/>
          <w:sz w:val="32"/>
          <w:szCs w:val="32"/>
        </w:rPr>
        <w:t>结余分配：指事业单位按照会计制度规定缴纳的所得税、提取的专用结余以及转入非财政拨款结余的金额等。</w:t>
      </w:r>
    </w:p>
    <w:p w14:paraId="2F252DB5">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8.</w:t>
      </w:r>
      <w:r>
        <w:rPr>
          <w:rFonts w:hint="eastAsia" w:ascii="仿宋_GB2312" w:hAnsi="Cambria" w:eastAsia="仿宋_GB2312" w:cs="仿宋_GB2312"/>
          <w:color w:val="000000"/>
          <w:sz w:val="32"/>
          <w:szCs w:val="32"/>
        </w:rPr>
        <w:t>年末结转和结余：指单位按有关规定结转到下年或以后年度继续使用的资金。</w:t>
      </w:r>
    </w:p>
    <w:p w14:paraId="27AF1B13">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9.</w:t>
      </w:r>
      <w:r>
        <w:rPr>
          <w:rFonts w:hint="eastAsia" w:ascii="仿宋_GB2312" w:hAnsi="Cambria" w:eastAsia="仿宋_GB2312" w:cs="仿宋_GB2312"/>
          <w:color w:val="000000"/>
          <w:sz w:val="32"/>
          <w:szCs w:val="32"/>
        </w:rPr>
        <w:t>教育支出（类）</w:t>
      </w:r>
      <w:r>
        <w:rPr>
          <w:rFonts w:ascii="仿宋_GB2312" w:hAnsi="Cambria" w:eastAsia="仿宋_GB2312" w:cs="仿宋_GB2312"/>
          <w:color w:val="000000"/>
          <w:sz w:val="32"/>
          <w:szCs w:val="32"/>
        </w:rPr>
        <w:t>205</w:t>
      </w:r>
      <w:r>
        <w:rPr>
          <w:rFonts w:hint="eastAsia" w:ascii="仿宋_GB2312" w:hAnsi="Cambria" w:eastAsia="仿宋_GB2312" w:cs="仿宋_GB2312"/>
          <w:color w:val="000000"/>
          <w:sz w:val="32"/>
          <w:szCs w:val="32"/>
        </w:rPr>
        <w:t>（款）</w:t>
      </w:r>
      <w:r>
        <w:rPr>
          <w:rFonts w:ascii="仿宋_GB2312" w:hAnsi="Cambria" w:eastAsia="仿宋_GB2312" w:cs="仿宋_GB2312"/>
          <w:color w:val="000000"/>
          <w:sz w:val="32"/>
          <w:szCs w:val="32"/>
        </w:rPr>
        <w:t>02</w:t>
      </w:r>
      <w:r>
        <w:rPr>
          <w:rFonts w:hint="eastAsia" w:ascii="仿宋_GB2312" w:hAnsi="Cambria" w:eastAsia="仿宋_GB2312" w:cs="仿宋_GB2312"/>
          <w:color w:val="000000"/>
          <w:sz w:val="32"/>
          <w:szCs w:val="32"/>
        </w:rPr>
        <w:t>（项）：指普通教育支出。</w:t>
      </w:r>
    </w:p>
    <w:p w14:paraId="08210DBE">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10.</w:t>
      </w:r>
      <w:r>
        <w:rPr>
          <w:rFonts w:hint="eastAsia" w:ascii="仿宋_GB2312" w:hAnsi="Cambria" w:eastAsia="仿宋_GB2312" w:cs="仿宋_GB2312"/>
          <w:color w:val="000000"/>
          <w:sz w:val="32"/>
          <w:szCs w:val="32"/>
        </w:rPr>
        <w:t>社会保障和就业支出（类）</w:t>
      </w:r>
      <w:r>
        <w:rPr>
          <w:rFonts w:ascii="仿宋_GB2312" w:hAnsi="Cambria" w:eastAsia="仿宋_GB2312" w:cs="仿宋_GB2312"/>
          <w:color w:val="000000"/>
          <w:sz w:val="32"/>
          <w:szCs w:val="32"/>
        </w:rPr>
        <w:t>208</w:t>
      </w:r>
      <w:r>
        <w:rPr>
          <w:rFonts w:hint="eastAsia" w:ascii="仿宋_GB2312" w:hAnsi="Cambria" w:eastAsia="仿宋_GB2312" w:cs="仿宋_GB2312"/>
          <w:color w:val="000000"/>
          <w:sz w:val="32"/>
          <w:szCs w:val="32"/>
        </w:rPr>
        <w:t>（款）</w:t>
      </w:r>
      <w:r>
        <w:rPr>
          <w:rFonts w:ascii="仿宋_GB2312" w:hAnsi="Cambria" w:eastAsia="仿宋_GB2312" w:cs="仿宋_GB2312"/>
          <w:color w:val="000000"/>
          <w:sz w:val="32"/>
          <w:szCs w:val="32"/>
        </w:rPr>
        <w:t>05</w:t>
      </w:r>
      <w:r>
        <w:rPr>
          <w:rFonts w:hint="eastAsia" w:ascii="仿宋_GB2312" w:hAnsi="Cambria" w:eastAsia="仿宋_GB2312" w:cs="仿宋_GB2312"/>
          <w:color w:val="000000"/>
          <w:sz w:val="32"/>
          <w:szCs w:val="32"/>
        </w:rPr>
        <w:t>（项）：指行政事业单位养老支出。</w:t>
      </w:r>
    </w:p>
    <w:p w14:paraId="2C883D92">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11.</w:t>
      </w:r>
      <w:r>
        <w:rPr>
          <w:rFonts w:hint="eastAsia" w:ascii="仿宋_GB2312" w:hAnsi="Cambria" w:eastAsia="仿宋_GB2312" w:cs="仿宋_GB2312"/>
          <w:color w:val="000000"/>
          <w:sz w:val="32"/>
          <w:szCs w:val="32"/>
        </w:rPr>
        <w:t>卫生健康支出（类）</w:t>
      </w:r>
      <w:r>
        <w:rPr>
          <w:rFonts w:ascii="仿宋_GB2312" w:hAnsi="Cambria" w:eastAsia="仿宋_GB2312" w:cs="仿宋_GB2312"/>
          <w:color w:val="000000"/>
          <w:sz w:val="32"/>
          <w:szCs w:val="32"/>
        </w:rPr>
        <w:t>210</w:t>
      </w:r>
      <w:r>
        <w:rPr>
          <w:rFonts w:hint="eastAsia" w:ascii="仿宋_GB2312" w:hAnsi="Cambria" w:eastAsia="仿宋_GB2312" w:cs="仿宋_GB2312"/>
          <w:color w:val="000000"/>
          <w:sz w:val="32"/>
          <w:szCs w:val="32"/>
        </w:rPr>
        <w:t>（款）</w:t>
      </w:r>
      <w:r>
        <w:rPr>
          <w:rFonts w:ascii="仿宋_GB2312" w:hAnsi="Cambria" w:eastAsia="仿宋_GB2312" w:cs="仿宋_GB2312"/>
          <w:color w:val="000000"/>
          <w:sz w:val="32"/>
          <w:szCs w:val="32"/>
        </w:rPr>
        <w:t>11</w:t>
      </w:r>
      <w:r>
        <w:rPr>
          <w:rFonts w:hint="eastAsia" w:ascii="仿宋_GB2312" w:hAnsi="Cambria" w:eastAsia="仿宋_GB2312" w:cs="仿宋_GB2312"/>
          <w:color w:val="000000"/>
          <w:sz w:val="32"/>
          <w:szCs w:val="32"/>
        </w:rPr>
        <w:t>（项）：指行政事业单位医疗支出。</w:t>
      </w:r>
    </w:p>
    <w:p w14:paraId="18FBFF45">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12.</w:t>
      </w:r>
      <w:r>
        <w:rPr>
          <w:rFonts w:hint="eastAsia" w:ascii="仿宋_GB2312" w:hAnsi="Cambria" w:eastAsia="仿宋_GB2312" w:cs="仿宋_GB2312"/>
          <w:color w:val="000000"/>
          <w:sz w:val="32"/>
          <w:szCs w:val="32"/>
        </w:rPr>
        <w:t>住房保障支出（类）</w:t>
      </w:r>
      <w:r>
        <w:rPr>
          <w:rFonts w:ascii="仿宋_GB2312" w:hAnsi="Cambria" w:eastAsia="仿宋_GB2312" w:cs="仿宋_GB2312"/>
          <w:color w:val="000000"/>
          <w:sz w:val="32"/>
          <w:szCs w:val="32"/>
        </w:rPr>
        <w:t>221</w:t>
      </w:r>
      <w:r>
        <w:rPr>
          <w:rFonts w:hint="eastAsia" w:ascii="仿宋_GB2312" w:hAnsi="Cambria" w:eastAsia="仿宋_GB2312" w:cs="仿宋_GB2312"/>
          <w:color w:val="000000"/>
          <w:sz w:val="32"/>
          <w:szCs w:val="32"/>
        </w:rPr>
        <w:t>（款）</w:t>
      </w:r>
      <w:r>
        <w:rPr>
          <w:rFonts w:ascii="仿宋_GB2312" w:hAnsi="Cambria" w:eastAsia="仿宋_GB2312" w:cs="仿宋_GB2312"/>
          <w:color w:val="000000"/>
          <w:sz w:val="32"/>
          <w:szCs w:val="32"/>
        </w:rPr>
        <w:t>02</w:t>
      </w:r>
      <w:r>
        <w:rPr>
          <w:rFonts w:hint="eastAsia" w:ascii="仿宋_GB2312" w:hAnsi="Cambria" w:eastAsia="仿宋_GB2312" w:cs="仿宋_GB2312"/>
          <w:color w:val="000000"/>
          <w:sz w:val="32"/>
          <w:szCs w:val="32"/>
        </w:rPr>
        <w:t>（项）：指住房改革支出。</w:t>
      </w:r>
    </w:p>
    <w:p w14:paraId="7C6E32AF">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13.</w:t>
      </w:r>
      <w:r>
        <w:rPr>
          <w:rFonts w:hint="eastAsia" w:ascii="仿宋_GB2312" w:hAnsi="Cambria" w:eastAsia="仿宋_GB2312" w:cs="仿宋_GB2312"/>
          <w:color w:val="000000"/>
          <w:sz w:val="32"/>
          <w:szCs w:val="32"/>
        </w:rPr>
        <w:t>基本支出：指为保障机构正常运转、完成日常工作任务而发生的人员支出和公用支出。</w:t>
      </w:r>
    </w:p>
    <w:p w14:paraId="37BC904F">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14.</w:t>
      </w:r>
      <w:r>
        <w:rPr>
          <w:rFonts w:hint="eastAsia" w:ascii="仿宋_GB2312" w:hAnsi="Cambria" w:eastAsia="仿宋_GB2312" w:cs="仿宋_GB2312"/>
          <w:color w:val="000000"/>
          <w:sz w:val="32"/>
          <w:szCs w:val="32"/>
        </w:rPr>
        <w:t>项目支出：指在基本支出之外为完成特定行政任务和事业发展目标所发生的支出。</w:t>
      </w:r>
      <w:r>
        <w:rPr>
          <w:rFonts w:ascii="仿宋_GB2312" w:hAnsi="Cambria" w:eastAsia="仿宋_GB2312" w:cs="仿宋_GB2312"/>
          <w:color w:val="000000"/>
          <w:sz w:val="32"/>
          <w:szCs w:val="32"/>
        </w:rPr>
        <w:t xml:space="preserve"> </w:t>
      </w:r>
    </w:p>
    <w:p w14:paraId="27C7226A">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15.</w:t>
      </w:r>
      <w:r>
        <w:rPr>
          <w:rFonts w:hint="eastAsia" w:ascii="仿宋_GB2312" w:hAnsi="Cambria" w:eastAsia="仿宋_GB2312" w:cs="仿宋_GB2312"/>
          <w:color w:val="000000"/>
          <w:sz w:val="32"/>
          <w:szCs w:val="32"/>
        </w:rPr>
        <w:t>经营支出：指事业单位在专业业务活动及其辅助活动之外开展非独立核算经营活动发生的支出。</w:t>
      </w:r>
    </w:p>
    <w:p w14:paraId="541D416D">
      <w:pPr>
        <w:spacing w:line="360"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16.“</w:t>
      </w:r>
      <w:r>
        <w:rPr>
          <w:rFonts w:hint="eastAsia" w:ascii="仿宋_GB2312" w:hAnsi="Cambria" w:eastAsia="仿宋_GB2312" w:cs="仿宋_GB2312"/>
          <w:color w:val="000000"/>
          <w:sz w:val="32"/>
          <w:szCs w:val="32"/>
        </w:rPr>
        <w:t>三公</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2E70F5">
      <w:pPr>
        <w:spacing w:line="360" w:lineRule="auto"/>
        <w:ind w:firstLine="640"/>
        <w:rPr>
          <w:rFonts w:ascii="仿宋_GB2312" w:hAnsi="Cambria" w:eastAsia="仿宋_GB2312" w:cs="仿宋_GB2312"/>
          <w:sz w:val="32"/>
          <w:szCs w:val="32"/>
        </w:rPr>
      </w:pPr>
      <w:r>
        <w:rPr>
          <w:rFonts w:ascii="仿宋_GB2312" w:hAnsi="Cambria" w:eastAsia="仿宋_GB2312" w:cs="仿宋_GB2312"/>
          <w:color w:val="000000"/>
          <w:sz w:val="32"/>
          <w:szCs w:val="32"/>
        </w:rPr>
        <w:t>17.</w:t>
      </w:r>
      <w:r>
        <w:rPr>
          <w:rFonts w:hint="eastAsia" w:ascii="仿宋_GB2312" w:hAnsi="Cambria" w:eastAsia="仿宋_GB2312" w:cs="仿宋_GB2312"/>
          <w:color w:val="000000"/>
          <w:sz w:val="32"/>
          <w:szCs w:val="32"/>
        </w:rPr>
        <w:t>机关运行经费：</w:t>
      </w:r>
      <w:r>
        <w:rPr>
          <w:rFonts w:hint="eastAsia" w:ascii="仿宋_GB2312" w:hAnsi="Cambria"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DA6A7B">
      <w:pPr>
        <w:spacing w:line="600" w:lineRule="exact"/>
        <w:jc w:val="center"/>
        <w:outlineLvl w:val="0"/>
        <w:rPr>
          <w:rStyle w:val="26"/>
          <w:rFonts w:ascii="宋体" w:hAnsi="宋体" w:cs="宋体"/>
          <w:sz w:val="32"/>
          <w:szCs w:val="32"/>
        </w:rPr>
      </w:pPr>
      <w:r>
        <w:rPr>
          <w:rFonts w:hint="eastAsia" w:ascii="宋体" w:hAnsi="宋体" w:cs="宋体"/>
          <w:color w:val="000000"/>
          <w:sz w:val="32"/>
          <w:szCs w:val="32"/>
        </w:rPr>
        <w:t>第</w:t>
      </w:r>
      <w:r>
        <w:rPr>
          <w:rStyle w:val="26"/>
          <w:rFonts w:hint="eastAsia" w:ascii="宋体" w:hAnsi="宋体" w:cs="宋体"/>
          <w:sz w:val="32"/>
          <w:szCs w:val="32"/>
        </w:rPr>
        <w:t>四部分 附件</w:t>
      </w:r>
      <w:bookmarkEnd w:id="55"/>
    </w:p>
    <w:p w14:paraId="1FC3F26E">
      <w:pPr>
        <w:spacing w:line="600" w:lineRule="exact"/>
        <w:jc w:val="left"/>
        <w:outlineLvl w:val="0"/>
        <w:rPr>
          <w:rFonts w:ascii="宋体" w:hAnsi="宋体" w:cs="宋体"/>
          <w:sz w:val="32"/>
          <w:szCs w:val="32"/>
        </w:rPr>
      </w:pPr>
      <w:r>
        <w:rPr>
          <w:rFonts w:hint="eastAsia" w:ascii="宋体" w:hAnsi="宋体" w:cs="宋体"/>
          <w:sz w:val="32"/>
          <w:szCs w:val="32"/>
        </w:rPr>
        <w:t>附件</w:t>
      </w:r>
    </w:p>
    <w:p w14:paraId="020B625E">
      <w:pPr>
        <w:spacing w:line="600" w:lineRule="exact"/>
        <w:jc w:val="center"/>
        <w:rPr>
          <w:rFonts w:ascii="宋体" w:hAnsi="宋体" w:cs="宋体"/>
          <w:b/>
          <w:color w:val="000000"/>
          <w:kern w:val="0"/>
          <w:sz w:val="32"/>
          <w:szCs w:val="32"/>
        </w:rPr>
      </w:pPr>
      <w:r>
        <w:rPr>
          <w:rFonts w:hint="eastAsia" w:ascii="宋体" w:hAnsi="宋体" w:cs="宋体"/>
          <w:b/>
          <w:color w:val="000000"/>
          <w:kern w:val="0"/>
          <w:sz w:val="32"/>
          <w:szCs w:val="32"/>
        </w:rPr>
        <w:t>2021年攀枝花市仁和区总发乡中心学校部门</w:t>
      </w:r>
    </w:p>
    <w:p w14:paraId="1E13475C">
      <w:pPr>
        <w:spacing w:line="600" w:lineRule="exact"/>
        <w:jc w:val="center"/>
        <w:rPr>
          <w:rFonts w:ascii="宋体" w:hAnsi="宋体" w:cs="宋体"/>
          <w:b/>
          <w:color w:val="000000"/>
          <w:kern w:val="0"/>
          <w:sz w:val="32"/>
          <w:szCs w:val="32"/>
          <w:lang w:val="zh-CN"/>
        </w:rPr>
      </w:pPr>
      <w:r>
        <w:rPr>
          <w:rFonts w:hint="eastAsia" w:ascii="宋体" w:hAnsi="宋体" w:cs="宋体"/>
          <w:b/>
          <w:color w:val="000000"/>
          <w:kern w:val="0"/>
          <w:sz w:val="32"/>
          <w:szCs w:val="32"/>
          <w:lang w:val="zh-CN"/>
        </w:rPr>
        <w:t>整体绩效评价报告</w:t>
      </w:r>
    </w:p>
    <w:p w14:paraId="6B875D5F">
      <w:pPr>
        <w:widowControl/>
        <w:adjustRightInd w:val="0"/>
        <w:snapToGrid w:val="0"/>
        <w:spacing w:line="580" w:lineRule="exact"/>
        <w:ind w:firstLine="643" w:firstLineChars="200"/>
        <w:contextualSpacing/>
        <w:jc w:val="left"/>
        <w:rPr>
          <w:rFonts w:ascii="宋体" w:hAnsi="宋体" w:cs="宋体"/>
          <w:b/>
          <w:color w:val="000000"/>
          <w:kern w:val="0"/>
          <w:sz w:val="32"/>
          <w:szCs w:val="32"/>
          <w:shd w:val="clear" w:color="auto" w:fill="FFFFFF"/>
          <w:lang w:val="zh-CN"/>
        </w:rPr>
      </w:pPr>
      <w:r>
        <w:rPr>
          <w:rFonts w:hint="eastAsia" w:ascii="宋体" w:hAnsi="宋体" w:cs="宋体"/>
          <w:b/>
          <w:color w:val="000000"/>
          <w:kern w:val="0"/>
          <w:sz w:val="32"/>
          <w:szCs w:val="32"/>
          <w:shd w:val="clear" w:color="auto" w:fill="FFFFFF"/>
        </w:rPr>
        <w:t>一、</w:t>
      </w:r>
      <w:r>
        <w:rPr>
          <w:rFonts w:hint="eastAsia" w:ascii="宋体" w:hAnsi="宋体" w:cs="宋体"/>
          <w:b/>
          <w:color w:val="000000"/>
          <w:kern w:val="0"/>
          <w:sz w:val="32"/>
          <w:szCs w:val="32"/>
          <w:shd w:val="clear" w:color="auto" w:fill="FFFFFF"/>
          <w:lang w:val="zh-CN"/>
        </w:rPr>
        <w:t>部门（单位）概况</w:t>
      </w:r>
    </w:p>
    <w:p w14:paraId="7E396A1F">
      <w:pPr>
        <w:snapToGrid w:val="0"/>
        <w:spacing w:line="520" w:lineRule="exact"/>
        <w:ind w:firstLine="640" w:firstLineChars="200"/>
        <w:rPr>
          <w:rFonts w:ascii="宋体" w:hAnsi="宋体" w:cs="宋体"/>
          <w:sz w:val="32"/>
          <w:szCs w:val="32"/>
        </w:rPr>
      </w:pPr>
      <w:r>
        <w:rPr>
          <w:rFonts w:hint="eastAsia" w:ascii="宋体" w:hAnsi="宋体" w:cs="宋体"/>
          <w:sz w:val="32"/>
          <w:szCs w:val="32"/>
        </w:rPr>
        <w:t>（一）机构组成</w:t>
      </w:r>
    </w:p>
    <w:p w14:paraId="66E53334">
      <w:pPr>
        <w:pStyle w:val="7"/>
        <w:adjustRightInd w:val="0"/>
        <w:snapToGrid w:val="0"/>
        <w:spacing w:before="93" w:line="580" w:lineRule="exact"/>
        <w:ind w:firstLine="672" w:firstLineChars="210"/>
        <w:rPr>
          <w:rFonts w:ascii="宋体" w:hAnsi="宋体" w:eastAsia="宋体" w:cs="宋体"/>
          <w:bCs/>
          <w:sz w:val="32"/>
          <w:szCs w:val="32"/>
        </w:rPr>
      </w:pPr>
      <w:r>
        <w:rPr>
          <w:rFonts w:hint="eastAsia" w:ascii="宋体" w:hAnsi="宋体" w:eastAsia="宋体" w:cs="宋体"/>
          <w:sz w:val="32"/>
          <w:szCs w:val="32"/>
        </w:rPr>
        <w:t>攀枝花市仁和区总发乡中心学校属于独立核算的一类事业单位，由财政全额拨款的事业单位。现所辖一所中心校、及一所幼儿园(总发乡中心幼儿园)，下设教务处、德育处、总务处3个部门。</w:t>
      </w:r>
    </w:p>
    <w:p w14:paraId="295DF8C2">
      <w:pPr>
        <w:pStyle w:val="7"/>
        <w:adjustRightInd w:val="0"/>
        <w:snapToGrid w:val="0"/>
        <w:spacing w:before="93" w:line="580" w:lineRule="exact"/>
        <w:ind w:firstLine="675" w:firstLineChars="210"/>
        <w:rPr>
          <w:rFonts w:ascii="宋体" w:hAnsi="宋体" w:eastAsia="宋体" w:cs="宋体"/>
          <w:sz w:val="32"/>
          <w:szCs w:val="32"/>
        </w:rPr>
      </w:pPr>
      <w:r>
        <w:rPr>
          <w:rFonts w:hint="eastAsia" w:ascii="宋体" w:hAnsi="宋体" w:eastAsia="宋体" w:cs="宋体"/>
          <w:b/>
          <w:sz w:val="32"/>
          <w:szCs w:val="32"/>
        </w:rPr>
        <w:t>（二）</w:t>
      </w:r>
      <w:r>
        <w:rPr>
          <w:rFonts w:hint="eastAsia" w:ascii="宋体" w:hAnsi="宋体" w:eastAsia="宋体" w:cs="宋体"/>
          <w:sz w:val="32"/>
          <w:szCs w:val="32"/>
        </w:rPr>
        <w:t>机构职能</w:t>
      </w:r>
    </w:p>
    <w:p w14:paraId="360A13B6">
      <w:pPr>
        <w:pStyle w:val="7"/>
        <w:adjustRightInd w:val="0"/>
        <w:snapToGrid w:val="0"/>
        <w:spacing w:before="93" w:line="580" w:lineRule="exact"/>
        <w:ind w:firstLine="672" w:firstLineChars="210"/>
        <w:rPr>
          <w:rFonts w:ascii="宋体" w:hAnsi="宋体" w:eastAsia="宋体" w:cs="宋体"/>
          <w:bCs/>
          <w:sz w:val="32"/>
          <w:szCs w:val="32"/>
        </w:rPr>
      </w:pPr>
      <w:r>
        <w:rPr>
          <w:rFonts w:hint="eastAsia" w:ascii="宋体" w:hAnsi="宋体" w:eastAsia="宋体" w:cs="宋体"/>
          <w:bCs/>
          <w:sz w:val="32"/>
          <w:szCs w:val="32"/>
        </w:rPr>
        <w:t>攀枝花市仁和区总发乡中心学校是攀枝花市仁和区教育和体育局直属管辖的小学阶段义务教育学校；2021年学校重点工作任务是完成本辖区内适龄儿童的义务教育小学阶段学历教育及相关社会服务，</w:t>
      </w:r>
      <w:r>
        <w:rPr>
          <w:rFonts w:hint="eastAsia" w:ascii="宋体" w:hAnsi="宋体" w:eastAsia="宋体" w:cs="宋体"/>
          <w:sz w:val="32"/>
          <w:szCs w:val="32"/>
        </w:rPr>
        <w:t>是一所城乡结合的寄宿制小学</w:t>
      </w:r>
      <w:r>
        <w:rPr>
          <w:rFonts w:hint="eastAsia" w:ascii="宋体" w:hAnsi="宋体" w:eastAsia="宋体" w:cs="宋体"/>
          <w:bCs/>
          <w:sz w:val="32"/>
          <w:szCs w:val="32"/>
        </w:rPr>
        <w:t>。</w:t>
      </w:r>
    </w:p>
    <w:p w14:paraId="78E19E12">
      <w:pPr>
        <w:snapToGrid w:val="0"/>
        <w:spacing w:line="520" w:lineRule="exact"/>
        <w:ind w:firstLine="643" w:firstLineChars="200"/>
        <w:rPr>
          <w:rFonts w:ascii="宋体" w:hAnsi="宋体" w:cs="宋体"/>
          <w:sz w:val="32"/>
          <w:szCs w:val="32"/>
        </w:rPr>
      </w:pPr>
      <w:r>
        <w:rPr>
          <w:rFonts w:hint="eastAsia" w:ascii="宋体" w:hAnsi="宋体" w:cs="宋体"/>
          <w:b/>
          <w:sz w:val="32"/>
          <w:szCs w:val="32"/>
        </w:rPr>
        <w:t>（三）</w:t>
      </w:r>
      <w:r>
        <w:rPr>
          <w:rFonts w:hint="eastAsia" w:ascii="宋体" w:hAnsi="宋体" w:cs="宋体"/>
          <w:sz w:val="32"/>
          <w:szCs w:val="32"/>
        </w:rPr>
        <w:t>人员概况</w:t>
      </w:r>
    </w:p>
    <w:p w14:paraId="4A1525BC">
      <w:pPr>
        <w:snapToGrid w:val="0"/>
        <w:spacing w:line="520" w:lineRule="exact"/>
        <w:ind w:firstLine="640" w:firstLineChars="200"/>
        <w:rPr>
          <w:rStyle w:val="27"/>
          <w:rFonts w:ascii="宋体" w:hAnsi="宋体" w:eastAsia="宋体" w:cs="宋体"/>
          <w:b w:val="0"/>
          <w:bCs w:val="0"/>
        </w:rPr>
      </w:pPr>
      <w:r>
        <w:rPr>
          <w:rFonts w:hint="eastAsia" w:ascii="宋体" w:hAnsi="宋体" w:cs="宋体"/>
          <w:sz w:val="32"/>
          <w:szCs w:val="32"/>
        </w:rPr>
        <w:t>我校现有财政补助开支人数34人，其中：在职教职工34人。与上年相比持平。主要原因是：2021年退休2人，公招2人。</w:t>
      </w:r>
    </w:p>
    <w:p w14:paraId="596515B1">
      <w:pPr>
        <w:widowControl/>
        <w:adjustRightInd w:val="0"/>
        <w:snapToGrid w:val="0"/>
        <w:spacing w:line="580" w:lineRule="exact"/>
        <w:ind w:firstLine="640" w:firstLineChars="200"/>
        <w:contextualSpacing/>
        <w:jc w:val="left"/>
        <w:rPr>
          <w:rFonts w:ascii="宋体" w:hAnsi="宋体" w:cs="宋体"/>
          <w:b/>
          <w:color w:val="000000"/>
          <w:kern w:val="0"/>
          <w:sz w:val="32"/>
          <w:szCs w:val="32"/>
          <w:shd w:val="clear" w:color="auto" w:fill="FFFFFF"/>
        </w:rPr>
      </w:pPr>
      <w:r>
        <w:rPr>
          <w:rFonts w:hint="eastAsia" w:ascii="宋体" w:hAnsi="宋体" w:cs="宋体"/>
          <w:color w:val="000000"/>
          <w:kern w:val="0"/>
          <w:sz w:val="32"/>
          <w:szCs w:val="32"/>
          <w:shd w:val="clear" w:color="auto" w:fill="FFFFFF"/>
        </w:rPr>
        <w:t>二、</w:t>
      </w:r>
      <w:r>
        <w:rPr>
          <w:rFonts w:hint="eastAsia" w:ascii="宋体" w:hAnsi="宋体" w:cs="宋体"/>
          <w:b/>
          <w:color w:val="000000"/>
          <w:kern w:val="0"/>
          <w:sz w:val="32"/>
          <w:szCs w:val="32"/>
          <w:shd w:val="clear" w:color="auto" w:fill="FFFFFF"/>
        </w:rPr>
        <w:t>部门财政资金收支情况</w:t>
      </w:r>
    </w:p>
    <w:p w14:paraId="4AB1A377">
      <w:pPr>
        <w:pStyle w:val="25"/>
        <w:widowControl/>
        <w:numPr>
          <w:ilvl w:val="0"/>
          <w:numId w:val="3"/>
        </w:numPr>
        <w:adjustRightInd w:val="0"/>
        <w:snapToGrid w:val="0"/>
        <w:spacing w:line="580" w:lineRule="exact"/>
        <w:ind w:firstLineChars="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部门财政资金收入情况。</w:t>
      </w:r>
    </w:p>
    <w:p w14:paraId="62946B6E">
      <w:pPr>
        <w:widowControl/>
        <w:adjustRightInd w:val="0"/>
        <w:snapToGrid w:val="0"/>
        <w:spacing w:line="580" w:lineRule="exact"/>
        <w:ind w:firstLine="640" w:firstLineChars="20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sz w:val="32"/>
          <w:szCs w:val="32"/>
        </w:rPr>
        <w:t>2021年本年收入合计716.92万元，其中：一般公共预算财政拨款收入716.92万元，占100%；政府性基金预算财政拨款收入0万元，占0%；国有资本经营预算财政拨款收入0万元，占0%；</w:t>
      </w:r>
      <w:r>
        <w:rPr>
          <w:rFonts w:hint="eastAsia" w:ascii="宋体" w:hAnsi="宋体" w:cs="宋体"/>
          <w:color w:val="000000" w:themeColor="text1"/>
          <w:sz w:val="32"/>
          <w:szCs w:val="32"/>
        </w:rPr>
        <w:t>上级补助收入0</w:t>
      </w:r>
      <w:r>
        <w:rPr>
          <w:rFonts w:hint="eastAsia" w:ascii="宋体" w:hAnsi="宋体" w:cs="宋体"/>
          <w:color w:val="000000"/>
          <w:sz w:val="32"/>
          <w:szCs w:val="32"/>
        </w:rPr>
        <w:t>万元，占0%；事业收入0万元，占0%；经营收入0万元，占0%；附属单位上缴收入0万元，占0%；其他收入0万元，占0%。</w:t>
      </w:r>
    </w:p>
    <w:p w14:paraId="134CB9EF">
      <w:pPr>
        <w:pStyle w:val="25"/>
        <w:widowControl/>
        <w:numPr>
          <w:ilvl w:val="0"/>
          <w:numId w:val="4"/>
        </w:numPr>
        <w:adjustRightInd w:val="0"/>
        <w:snapToGrid w:val="0"/>
        <w:spacing w:line="580" w:lineRule="exact"/>
        <w:ind w:firstLineChars="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部门财政资金支出情况。</w:t>
      </w:r>
    </w:p>
    <w:p w14:paraId="47C4D567">
      <w:pPr>
        <w:widowControl/>
        <w:adjustRightInd w:val="0"/>
        <w:snapToGrid w:val="0"/>
        <w:spacing w:line="580" w:lineRule="exact"/>
        <w:ind w:firstLine="640" w:firstLineChars="20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sz w:val="32"/>
          <w:szCs w:val="32"/>
        </w:rPr>
        <w:t>2021年财政拨款收、支总计716.92万元。与2020年相比，财政拨款收、支总计各减少15.8万元，增加2.25%。主要变动原因是</w:t>
      </w:r>
      <w:r>
        <w:rPr>
          <w:rFonts w:hint="eastAsia" w:ascii="宋体" w:hAnsi="宋体" w:cs="宋体"/>
          <w:sz w:val="32"/>
          <w:szCs w:val="32"/>
        </w:rPr>
        <w:t>人员经费增加。</w:t>
      </w:r>
    </w:p>
    <w:p w14:paraId="4F9B6303">
      <w:pPr>
        <w:widowControl/>
        <w:adjustRightInd w:val="0"/>
        <w:snapToGrid w:val="0"/>
        <w:spacing w:line="580" w:lineRule="exact"/>
        <w:contextualSpacing/>
        <w:jc w:val="left"/>
        <w:rPr>
          <w:rFonts w:ascii="宋体" w:hAnsi="宋体" w:cs="宋体"/>
          <w:b/>
          <w:color w:val="000000"/>
          <w:kern w:val="0"/>
          <w:sz w:val="32"/>
          <w:szCs w:val="32"/>
          <w:shd w:val="clear" w:color="auto" w:fill="FFFFFF"/>
        </w:rPr>
      </w:pPr>
      <w:r>
        <w:rPr>
          <w:rFonts w:hint="eastAsia" w:ascii="宋体" w:hAnsi="宋体" w:cs="宋体"/>
          <w:b/>
          <w:color w:val="000000"/>
          <w:kern w:val="0"/>
          <w:sz w:val="32"/>
          <w:szCs w:val="32"/>
          <w:shd w:val="clear" w:color="auto" w:fill="FFFFFF"/>
        </w:rPr>
        <w:t>三、部门整体预算绩效管理情况</w:t>
      </w:r>
    </w:p>
    <w:p w14:paraId="78EF7E3E">
      <w:pPr>
        <w:widowControl/>
        <w:adjustRightInd w:val="0"/>
        <w:snapToGrid w:val="0"/>
        <w:spacing w:line="580" w:lineRule="exact"/>
        <w:ind w:firstLine="640" w:firstLineChars="20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（一）部门预算项目绩效管理。</w:t>
      </w:r>
    </w:p>
    <w:p w14:paraId="38459D57">
      <w:pPr>
        <w:widowControl/>
        <w:adjustRightInd w:val="0"/>
        <w:snapToGrid w:val="0"/>
        <w:spacing w:line="540" w:lineRule="exact"/>
        <w:ind w:firstLine="720"/>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14:paraId="29B23E5A">
      <w:pPr>
        <w:widowControl/>
        <w:adjustRightInd w:val="0"/>
        <w:snapToGrid w:val="0"/>
        <w:spacing w:line="540" w:lineRule="exact"/>
        <w:ind w:firstLine="720"/>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我校严格执行《四川省省级财政专项资金绩效分配管理暂行办法》，实施绩效分配合理支出，厉行节约，提高资金的使用效率，确保学校教育教学工作的正常运行。</w:t>
      </w:r>
    </w:p>
    <w:p w14:paraId="7EF76AA4">
      <w:pPr>
        <w:widowControl/>
        <w:adjustRightInd w:val="0"/>
        <w:snapToGrid w:val="0"/>
        <w:spacing w:line="580" w:lineRule="exact"/>
        <w:ind w:firstLine="640" w:firstLineChars="20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（二）结果应用情况。</w:t>
      </w:r>
    </w:p>
    <w:p w14:paraId="22A6E8AB">
      <w:pPr>
        <w:widowControl/>
        <w:adjustRightInd w:val="0"/>
        <w:snapToGrid w:val="0"/>
        <w:spacing w:line="580" w:lineRule="exact"/>
        <w:ind w:firstLine="640" w:firstLineChars="200"/>
        <w:contextualSpacing/>
        <w:jc w:val="left"/>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我校建立了财务管理规章制度，会计核算和账务管理良好，严格执行政府采购制度。</w:t>
      </w:r>
    </w:p>
    <w:p w14:paraId="63176F83">
      <w:pPr>
        <w:pStyle w:val="25"/>
        <w:numPr>
          <w:ilvl w:val="0"/>
          <w:numId w:val="4"/>
        </w:numPr>
        <w:spacing w:line="580" w:lineRule="exact"/>
        <w:ind w:firstLineChars="0"/>
        <w:rPr>
          <w:rFonts w:ascii="宋体" w:hAnsi="宋体" w:cs="宋体"/>
          <w:color w:val="000000"/>
          <w:kern w:val="0"/>
          <w:sz w:val="32"/>
          <w:szCs w:val="32"/>
          <w:shd w:val="clear" w:color="auto" w:fill="FFFFFF"/>
          <w:lang w:val="zh-CN"/>
        </w:rPr>
      </w:pPr>
      <w:r>
        <w:rPr>
          <w:rFonts w:hint="eastAsia" w:ascii="宋体" w:hAnsi="宋体" w:cs="宋体"/>
          <w:color w:val="000000"/>
          <w:kern w:val="0"/>
          <w:sz w:val="32"/>
          <w:szCs w:val="32"/>
          <w:shd w:val="clear" w:color="auto" w:fill="FFFFFF"/>
          <w:lang w:val="zh-CN"/>
        </w:rPr>
        <w:t>自评质量</w:t>
      </w:r>
    </w:p>
    <w:p w14:paraId="5AFB51A1">
      <w:pPr>
        <w:spacing w:line="580" w:lineRule="exact"/>
        <w:ind w:firstLine="640" w:firstLineChars="200"/>
        <w:rPr>
          <w:rFonts w:ascii="宋体" w:hAnsi="宋体" w:cs="宋体"/>
          <w:sz w:val="32"/>
          <w:szCs w:val="32"/>
        </w:rPr>
      </w:pPr>
      <w:r>
        <w:rPr>
          <w:rFonts w:hint="eastAsia" w:ascii="宋体" w:hAnsi="宋体" w:cs="宋体"/>
          <w:sz w:val="32"/>
          <w:szCs w:val="32"/>
        </w:rPr>
        <w:t>本单位按要求对2021年部门整体支出开展绩效自评，从评价情况来看学前教育生均公用经费项目整体绩效执行情况良好。本部门还自行组织了学前教育生均公用经费1个项目绩效评价，从评价情况来看学前教育管理经费项目绩效评价社会反响较好。</w:t>
      </w:r>
    </w:p>
    <w:p w14:paraId="6FB97152">
      <w:pPr>
        <w:spacing w:line="580" w:lineRule="exact"/>
        <w:ind w:firstLine="640" w:firstLineChars="200"/>
        <w:rPr>
          <w:rFonts w:hint="eastAsia" w:ascii="宋体" w:hAnsi="宋体" w:eastAsia="宋体" w:cs="宋体"/>
          <w:sz w:val="32"/>
          <w:szCs w:val="32"/>
          <w:lang w:eastAsia="zh-CN"/>
        </w:rPr>
      </w:pPr>
      <w:r>
        <w:rPr>
          <w:rFonts w:hint="eastAsia" w:ascii="宋体" w:hAnsi="宋体" w:cs="宋体"/>
          <w:sz w:val="32"/>
          <w:szCs w:val="32"/>
        </w:rPr>
        <w:t>项目绩效目标完成情况。</w:t>
      </w:r>
    </w:p>
    <w:p w14:paraId="42ABABF5">
      <w:pPr>
        <w:spacing w:line="580" w:lineRule="exact"/>
        <w:ind w:firstLine="640" w:firstLineChars="200"/>
        <w:rPr>
          <w:rFonts w:ascii="宋体" w:hAnsi="宋体" w:cs="宋体"/>
          <w:sz w:val="32"/>
          <w:szCs w:val="32"/>
        </w:rPr>
      </w:pPr>
      <w:r>
        <w:rPr>
          <w:rFonts w:hint="eastAsia" w:ascii="宋体" w:hAnsi="宋体" w:cs="宋体"/>
          <w:sz w:val="32"/>
          <w:szCs w:val="32"/>
        </w:rPr>
        <w:t xml:space="preserve">    本单位在2021年度部门决算中反映学前教育生均公用经费、乡村少年宫运转经费等2个项目绩效目标实际完成情况。</w:t>
      </w:r>
    </w:p>
    <w:p w14:paraId="3A3D0D66">
      <w:pPr>
        <w:spacing w:line="580" w:lineRule="exact"/>
        <w:ind w:firstLine="630" w:firstLineChars="197"/>
        <w:rPr>
          <w:rFonts w:ascii="宋体" w:hAnsi="宋体" w:cs="宋体"/>
          <w:sz w:val="32"/>
          <w:szCs w:val="32"/>
        </w:rPr>
      </w:pPr>
      <w:r>
        <w:rPr>
          <w:rFonts w:hint="eastAsia" w:ascii="宋体" w:hAnsi="宋体" w:cs="宋体"/>
          <w:sz w:val="32"/>
          <w:szCs w:val="32"/>
        </w:rPr>
        <w:t>（1）学前教育生均公用经费项目绩效目标完成情况综述。项目全年预算数6.6万元，执行数为6.6万元，完成预算的100%。通过项目实施，学前教育管理经费为学前儿童定点采购了一批办公用品及相应的教学设备确保146名幼儿在幼儿园的正常教学及办公设备购置发展，弥补办公经费不足。确保幼儿园教育教学正常运行。学生、家长、教师、社会满意度达到96%。，发现的主要问题：项目实施过程整个项目到每年底都能按时完成，便在具体实施节点有差异。下一步改进措施：2022年，我们尽量按年初项目计划实施。</w:t>
      </w:r>
    </w:p>
    <w:p w14:paraId="12198804">
      <w:pPr>
        <w:spacing w:line="580" w:lineRule="exact"/>
        <w:ind w:firstLine="630" w:firstLineChars="197"/>
        <w:rPr>
          <w:rFonts w:ascii="宋体" w:hAnsi="宋体" w:cs="宋体"/>
          <w:sz w:val="32"/>
          <w:szCs w:val="32"/>
        </w:rPr>
      </w:pPr>
      <w:r>
        <w:rPr>
          <w:rFonts w:hint="eastAsia" w:ascii="宋体" w:hAnsi="宋体" w:cs="宋体"/>
          <w:sz w:val="32"/>
          <w:szCs w:val="32"/>
        </w:rPr>
        <w:t>（2）乡村少年宫运转经费项目绩效目标完成情况综述。项目全年预算数2万元，执行数为2万元，完成预算的100%。通过项目实施，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发现的主要问题：项目实施过程整个项目到每年底都能按时完成，便在具体实施节点有差异。下一步改进措施：2022年，我们尽量按年初项目计划实施。</w:t>
      </w:r>
    </w:p>
    <w:p w14:paraId="5FBCB2EC">
      <w:pPr>
        <w:widowControl/>
        <w:adjustRightInd w:val="0"/>
        <w:snapToGrid w:val="0"/>
        <w:spacing w:line="580" w:lineRule="exact"/>
        <w:ind w:firstLine="643" w:firstLineChars="200"/>
        <w:contextualSpacing/>
        <w:jc w:val="left"/>
        <w:rPr>
          <w:rFonts w:ascii="宋体" w:hAnsi="宋体" w:cs="宋体"/>
          <w:b/>
          <w:color w:val="000000"/>
          <w:kern w:val="0"/>
          <w:sz w:val="32"/>
          <w:szCs w:val="32"/>
          <w:shd w:val="clear" w:color="auto" w:fill="FFFFFF"/>
        </w:rPr>
      </w:pPr>
      <w:r>
        <w:rPr>
          <w:rFonts w:hint="eastAsia" w:ascii="宋体" w:hAnsi="宋体" w:cs="宋体"/>
          <w:b/>
          <w:color w:val="000000"/>
          <w:kern w:val="0"/>
          <w:sz w:val="32"/>
          <w:szCs w:val="32"/>
          <w:shd w:val="clear" w:color="auto" w:fill="FFFFFF"/>
        </w:rPr>
        <w:t>四、评价结论及建议</w:t>
      </w:r>
    </w:p>
    <w:p w14:paraId="052526D1">
      <w:pPr>
        <w:spacing w:line="580" w:lineRule="exact"/>
        <w:ind w:firstLine="640" w:firstLineChars="200"/>
        <w:rPr>
          <w:rFonts w:ascii="宋体" w:hAnsi="宋体" w:cs="宋体"/>
          <w:sz w:val="32"/>
          <w:szCs w:val="32"/>
        </w:rPr>
      </w:pPr>
      <w:r>
        <w:rPr>
          <w:rFonts w:hint="eastAsia" w:ascii="宋体" w:hAnsi="宋体" w:cs="宋体"/>
          <w:sz w:val="32"/>
          <w:szCs w:val="32"/>
        </w:rPr>
        <w:t>（一）评价结论:良好</w:t>
      </w:r>
    </w:p>
    <w:p w14:paraId="3522782F">
      <w:pPr>
        <w:snapToGrid w:val="0"/>
        <w:spacing w:line="520" w:lineRule="exact"/>
        <w:ind w:firstLine="640" w:firstLineChars="200"/>
        <w:rPr>
          <w:rFonts w:ascii="宋体" w:hAnsi="宋体" w:cs="宋体"/>
          <w:sz w:val="32"/>
          <w:szCs w:val="32"/>
        </w:rPr>
      </w:pPr>
      <w:r>
        <w:rPr>
          <w:rFonts w:hint="eastAsia" w:ascii="宋体" w:hAnsi="宋体" w:cs="宋体"/>
          <w:sz w:val="32"/>
          <w:szCs w:val="32"/>
        </w:rPr>
        <w:t>（二）存在问题。</w:t>
      </w:r>
    </w:p>
    <w:p w14:paraId="476F1D41">
      <w:pPr>
        <w:snapToGrid w:val="0"/>
        <w:spacing w:line="520" w:lineRule="exact"/>
        <w:ind w:firstLine="640" w:firstLineChars="200"/>
        <w:rPr>
          <w:rFonts w:ascii="宋体" w:hAnsi="宋体" w:cs="宋体"/>
          <w:sz w:val="32"/>
          <w:szCs w:val="32"/>
        </w:rPr>
      </w:pPr>
      <w:r>
        <w:rPr>
          <w:rFonts w:hint="eastAsia" w:ascii="宋体" w:hAnsi="宋体" w:cs="宋体"/>
          <w:sz w:val="32"/>
          <w:szCs w:val="32"/>
        </w:rPr>
        <w:t>项目实施过程整个项目到每年底都能按时完成，便在具体实施节点有差异。</w:t>
      </w:r>
    </w:p>
    <w:p w14:paraId="374087AC">
      <w:pPr>
        <w:spacing w:line="580" w:lineRule="exact"/>
        <w:ind w:firstLine="640" w:firstLineChars="200"/>
        <w:rPr>
          <w:rFonts w:ascii="宋体" w:hAnsi="宋体" w:cs="宋体"/>
          <w:sz w:val="32"/>
          <w:szCs w:val="32"/>
        </w:rPr>
      </w:pPr>
      <w:r>
        <w:rPr>
          <w:rFonts w:hint="eastAsia" w:ascii="宋体" w:hAnsi="宋体" w:cs="宋体"/>
          <w:sz w:val="32"/>
          <w:szCs w:val="32"/>
        </w:rPr>
        <w:t>（三）改进建议。</w:t>
      </w:r>
    </w:p>
    <w:p w14:paraId="7D85A034">
      <w:pPr>
        <w:snapToGrid w:val="0"/>
        <w:spacing w:line="520" w:lineRule="exact"/>
        <w:rPr>
          <w:rFonts w:ascii="宋体" w:hAnsi="宋体" w:cs="宋体"/>
          <w:sz w:val="32"/>
          <w:szCs w:val="32"/>
        </w:rPr>
      </w:pPr>
      <w:r>
        <w:rPr>
          <w:rFonts w:hint="eastAsia" w:ascii="宋体" w:hAnsi="宋体" w:cs="宋体"/>
          <w:sz w:val="32"/>
          <w:szCs w:val="32"/>
        </w:rPr>
        <w:t xml:space="preserve">          2022年，我们尽量按年初项目计划实施。</w:t>
      </w:r>
    </w:p>
    <w:p w14:paraId="0823FD6D">
      <w:pPr>
        <w:widowControl/>
        <w:jc w:val="left"/>
        <w:rPr>
          <w:rStyle w:val="26"/>
          <w:rFonts w:ascii="宋体" w:hAnsi="宋体" w:cs="宋体"/>
          <w:sz w:val="32"/>
          <w:szCs w:val="32"/>
        </w:rPr>
      </w:pPr>
      <w:r>
        <w:rPr>
          <w:rFonts w:hint="eastAsia" w:ascii="宋体" w:hAnsi="宋体" w:cs="宋体"/>
          <w:sz w:val="32"/>
          <w:szCs w:val="32"/>
        </w:rPr>
        <w:br w:type="page"/>
      </w:r>
      <w:bookmarkStart w:id="57" w:name="_Toc15396617"/>
      <w:r>
        <w:rPr>
          <w:rStyle w:val="26"/>
          <w:rFonts w:hint="eastAsia" w:ascii="宋体" w:hAnsi="宋体" w:cs="宋体"/>
          <w:sz w:val="32"/>
          <w:szCs w:val="32"/>
        </w:rPr>
        <w:t>附件</w:t>
      </w:r>
      <w:bookmarkEnd w:id="57"/>
      <w:r>
        <w:rPr>
          <w:rStyle w:val="26"/>
          <w:rFonts w:hint="eastAsia" w:ascii="宋体" w:hAnsi="宋体" w:cs="宋体"/>
          <w:sz w:val="32"/>
          <w:szCs w:val="32"/>
        </w:rPr>
        <w:t>1</w:t>
      </w:r>
    </w:p>
    <w:p w14:paraId="69796187">
      <w:pPr>
        <w:spacing w:line="580" w:lineRule="exact"/>
        <w:jc w:val="center"/>
        <w:rPr>
          <w:rFonts w:ascii="宋体" w:hAnsi="宋体" w:cs="宋体"/>
          <w:b/>
          <w:sz w:val="32"/>
          <w:szCs w:val="32"/>
        </w:rPr>
      </w:pPr>
      <w:r>
        <w:rPr>
          <w:rFonts w:hint="eastAsia" w:ascii="宋体" w:hAnsi="宋体" w:cs="宋体"/>
          <w:b/>
          <w:sz w:val="32"/>
          <w:szCs w:val="32"/>
        </w:rPr>
        <w:t>2021年学前教育生均公用经费支出绩效自评报告</w:t>
      </w:r>
    </w:p>
    <w:p w14:paraId="0FA76652">
      <w:pPr>
        <w:spacing w:line="580" w:lineRule="exact"/>
        <w:rPr>
          <w:rFonts w:ascii="宋体" w:hAnsi="宋体" w:cs="宋体"/>
          <w:b/>
          <w:sz w:val="32"/>
          <w:szCs w:val="32"/>
        </w:rPr>
      </w:pPr>
      <w:r>
        <w:rPr>
          <w:rFonts w:hint="eastAsia" w:ascii="宋体" w:hAnsi="宋体" w:cs="宋体"/>
          <w:b/>
          <w:sz w:val="32"/>
          <w:szCs w:val="32"/>
        </w:rPr>
        <w:t>一、项目概况</w:t>
      </w:r>
    </w:p>
    <w:p w14:paraId="1086D267">
      <w:pPr>
        <w:spacing w:line="580" w:lineRule="exact"/>
        <w:rPr>
          <w:rFonts w:ascii="宋体" w:hAnsi="宋体" w:cs="宋体"/>
          <w:b/>
          <w:sz w:val="32"/>
          <w:szCs w:val="32"/>
        </w:rPr>
      </w:pPr>
      <w:r>
        <w:rPr>
          <w:rFonts w:hint="eastAsia" w:ascii="宋体" w:hAnsi="宋体" w:cs="宋体"/>
          <w:b/>
          <w:sz w:val="32"/>
          <w:szCs w:val="32"/>
        </w:rPr>
        <w:t>（一）项目基本情况</w:t>
      </w:r>
    </w:p>
    <w:p w14:paraId="71302DF6">
      <w:pPr>
        <w:spacing w:line="580" w:lineRule="exact"/>
        <w:ind w:firstLine="640" w:firstLineChars="200"/>
        <w:rPr>
          <w:rFonts w:ascii="宋体" w:hAnsi="宋体" w:cs="宋体"/>
          <w:sz w:val="32"/>
          <w:szCs w:val="32"/>
        </w:rPr>
      </w:pPr>
      <w:r>
        <w:rPr>
          <w:rFonts w:hint="eastAsia" w:ascii="宋体" w:hAnsi="宋体" w:cs="宋体"/>
          <w:sz w:val="32"/>
          <w:szCs w:val="32"/>
        </w:rPr>
        <w:t>1.确保146名幼儿在幼儿园的正常教学及办公设备购置发展，弥补办公经费不足。</w:t>
      </w:r>
    </w:p>
    <w:p w14:paraId="6900658D">
      <w:pPr>
        <w:ind w:firstLine="640" w:firstLineChars="200"/>
        <w:rPr>
          <w:rFonts w:ascii="宋体" w:hAnsi="宋体" w:cs="宋体"/>
          <w:sz w:val="32"/>
          <w:szCs w:val="32"/>
        </w:rPr>
      </w:pPr>
      <w:r>
        <w:rPr>
          <w:rFonts w:hint="eastAsia" w:ascii="宋体" w:hAnsi="宋体" w:cs="宋体"/>
          <w:sz w:val="32"/>
          <w:szCs w:val="32"/>
        </w:rPr>
        <w:t>2.做好项目前期准备工作，全面改善学校办学条件，提升办学水平，推进学前教育持续健康发展。</w:t>
      </w:r>
    </w:p>
    <w:p w14:paraId="688AB3A8">
      <w:pPr>
        <w:ind w:firstLine="640" w:firstLineChars="200"/>
        <w:rPr>
          <w:rFonts w:ascii="宋体" w:hAnsi="宋体" w:cs="宋体"/>
          <w:sz w:val="32"/>
          <w:szCs w:val="32"/>
        </w:rPr>
      </w:pPr>
      <w:r>
        <w:rPr>
          <w:rFonts w:hint="eastAsia" w:ascii="宋体" w:hAnsi="宋体" w:cs="宋体"/>
          <w:sz w:val="32"/>
          <w:szCs w:val="32"/>
        </w:rPr>
        <w:t>3.采购了一批办公用品及相应的教学设备，满足教育教学条件的需要。</w:t>
      </w:r>
    </w:p>
    <w:p w14:paraId="17B7A586">
      <w:pPr>
        <w:ind w:firstLine="640" w:firstLineChars="200"/>
        <w:rPr>
          <w:rFonts w:ascii="宋体" w:hAnsi="宋体" w:cs="宋体"/>
          <w:sz w:val="32"/>
          <w:szCs w:val="32"/>
        </w:rPr>
      </w:pPr>
      <w:r>
        <w:rPr>
          <w:rFonts w:hint="eastAsia" w:ascii="宋体" w:hAnsi="宋体" w:cs="宋体"/>
          <w:sz w:val="32"/>
          <w:szCs w:val="32"/>
        </w:rPr>
        <w:t>4、按照学校实际情况，根据教育教学的需要进行资金分配。</w:t>
      </w:r>
    </w:p>
    <w:p w14:paraId="21F0C4DD">
      <w:pPr>
        <w:rPr>
          <w:rFonts w:ascii="宋体" w:hAnsi="宋体" w:cs="宋体"/>
          <w:b/>
          <w:sz w:val="32"/>
          <w:szCs w:val="32"/>
          <w:lang w:val="zh-CN"/>
        </w:rPr>
      </w:pPr>
      <w:r>
        <w:rPr>
          <w:rFonts w:hint="eastAsia" w:ascii="宋体" w:hAnsi="宋体" w:cs="宋体"/>
          <w:b/>
          <w:sz w:val="32"/>
          <w:szCs w:val="32"/>
          <w:lang w:val="zh-CN"/>
        </w:rPr>
        <w:t>（二）项目绩效目标</w:t>
      </w:r>
    </w:p>
    <w:p w14:paraId="1861A84D">
      <w:pPr>
        <w:spacing w:line="580" w:lineRule="exact"/>
        <w:ind w:firstLine="643" w:firstLineChars="200"/>
        <w:rPr>
          <w:rFonts w:ascii="宋体" w:hAnsi="宋体" w:cs="宋体"/>
          <w:sz w:val="32"/>
          <w:szCs w:val="32"/>
        </w:rPr>
      </w:pPr>
      <w:r>
        <w:rPr>
          <w:rFonts w:hint="eastAsia" w:ascii="宋体" w:hAnsi="宋体" w:cs="宋体"/>
          <w:b/>
          <w:sz w:val="32"/>
          <w:szCs w:val="32"/>
          <w:lang w:val="zh-CN"/>
        </w:rPr>
        <w:t>1.</w:t>
      </w:r>
      <w:r>
        <w:rPr>
          <w:rFonts w:hint="eastAsia" w:ascii="宋体" w:hAnsi="宋体" w:cs="宋体"/>
          <w:sz w:val="32"/>
          <w:szCs w:val="32"/>
        </w:rPr>
        <w:t>确保146名幼儿在幼儿园的正常教学及办公设备购置发展，弥补办公经费不足。</w:t>
      </w:r>
    </w:p>
    <w:p w14:paraId="4E2FCB94">
      <w:pPr>
        <w:spacing w:line="580" w:lineRule="exact"/>
        <w:ind w:firstLine="640" w:firstLineChars="200"/>
        <w:rPr>
          <w:rFonts w:ascii="宋体" w:hAnsi="宋体" w:cs="宋体"/>
          <w:sz w:val="32"/>
          <w:szCs w:val="32"/>
        </w:rPr>
      </w:pPr>
      <w:r>
        <w:rPr>
          <w:rFonts w:hint="eastAsia" w:ascii="宋体" w:hAnsi="宋体" w:cs="宋体"/>
          <w:sz w:val="32"/>
          <w:szCs w:val="32"/>
        </w:rPr>
        <w:t>2.项目实施对经济和社会的影响通过项目的实施，确保学生安全舒适学习条件，保证充足的学习精力，专心地听课。学生学习成绩大踏步前进，创造良好的经济效益，深受广大居民欢迎，创造了良好的社会效益。</w:t>
      </w:r>
    </w:p>
    <w:p w14:paraId="3978922F">
      <w:pPr>
        <w:spacing w:line="580" w:lineRule="exact"/>
        <w:ind w:firstLine="640" w:firstLineChars="200"/>
        <w:rPr>
          <w:rFonts w:ascii="宋体" w:hAnsi="宋体" w:cs="宋体"/>
          <w:sz w:val="32"/>
          <w:szCs w:val="32"/>
        </w:rPr>
      </w:pPr>
      <w:r>
        <w:rPr>
          <w:rFonts w:hint="eastAsia" w:ascii="宋体" w:hAnsi="宋体" w:cs="宋体"/>
          <w:sz w:val="32"/>
          <w:szCs w:val="32"/>
        </w:rPr>
        <w:t>3.</w:t>
      </w:r>
      <w:r>
        <w:rPr>
          <w:rFonts w:hint="eastAsia" w:ascii="宋体" w:hAnsi="宋体" w:cs="宋体"/>
          <w:sz w:val="32"/>
          <w:szCs w:val="32"/>
          <w:lang w:val="zh-CN"/>
        </w:rPr>
        <w:t>项目申报内容与实际相符，申报目标合理可行，</w:t>
      </w:r>
      <w:r>
        <w:rPr>
          <w:rFonts w:hint="eastAsia" w:ascii="宋体" w:hAnsi="宋体" w:cs="宋体"/>
          <w:sz w:val="32"/>
          <w:szCs w:val="32"/>
        </w:rPr>
        <w:t>满足教育教学的需要。</w:t>
      </w:r>
    </w:p>
    <w:p w14:paraId="1D3E24E0">
      <w:pPr>
        <w:rPr>
          <w:rFonts w:ascii="宋体" w:hAnsi="宋体" w:cs="宋体"/>
          <w:b/>
          <w:sz w:val="32"/>
          <w:szCs w:val="32"/>
          <w:lang w:val="zh-CN"/>
        </w:rPr>
      </w:pPr>
      <w:r>
        <w:rPr>
          <w:rFonts w:hint="eastAsia" w:ascii="宋体" w:hAnsi="宋体" w:cs="宋体"/>
          <w:sz w:val="32"/>
          <w:szCs w:val="32"/>
        </w:rPr>
        <w:t>（三）</w:t>
      </w:r>
      <w:r>
        <w:rPr>
          <w:rFonts w:hint="eastAsia" w:ascii="宋体" w:hAnsi="宋体" w:cs="宋体"/>
          <w:b/>
          <w:sz w:val="32"/>
          <w:szCs w:val="32"/>
          <w:lang w:val="zh-CN"/>
        </w:rPr>
        <w:t>项目自评步骤及方法</w:t>
      </w:r>
    </w:p>
    <w:p w14:paraId="647715B3">
      <w:pPr>
        <w:ind w:firstLine="470" w:firstLineChars="147"/>
        <w:rPr>
          <w:rFonts w:ascii="宋体" w:hAnsi="宋体" w:cs="宋体"/>
          <w:sz w:val="32"/>
          <w:szCs w:val="32"/>
        </w:rPr>
      </w:pPr>
      <w:r>
        <w:rPr>
          <w:rFonts w:hint="eastAsia" w:ascii="宋体" w:hAnsi="宋体" w:cs="宋体"/>
          <w:sz w:val="32"/>
          <w:szCs w:val="32"/>
        </w:rPr>
        <w:t>项目实施对经济和社会的影响通过项目的实施，确保学生安全舒适学习条件，保证充足的学习精力，专心地听课。学生学习成绩大踏步前进，创造良好的经济效益，深受广大居民欢迎，创造了良好的社会效益。</w:t>
      </w:r>
    </w:p>
    <w:p w14:paraId="1733AF9E">
      <w:pPr>
        <w:adjustRightInd w:val="0"/>
        <w:snapToGrid w:val="0"/>
        <w:spacing w:line="600" w:lineRule="exact"/>
        <w:rPr>
          <w:rFonts w:ascii="宋体" w:hAnsi="宋体" w:cs="宋体"/>
          <w:sz w:val="32"/>
          <w:szCs w:val="32"/>
        </w:rPr>
      </w:pPr>
      <w:r>
        <w:rPr>
          <w:rFonts w:hint="eastAsia" w:ascii="宋体" w:hAnsi="宋体" w:cs="宋体"/>
          <w:sz w:val="32"/>
          <w:szCs w:val="32"/>
        </w:rPr>
        <w:t>二、项目资金申报及使用情况</w:t>
      </w:r>
    </w:p>
    <w:p w14:paraId="1552286F">
      <w:pPr>
        <w:adjustRightInd w:val="0"/>
        <w:snapToGrid w:val="0"/>
        <w:spacing w:line="600" w:lineRule="exact"/>
        <w:rPr>
          <w:rFonts w:ascii="宋体" w:hAnsi="宋体" w:cs="宋体"/>
          <w:b/>
          <w:sz w:val="32"/>
          <w:szCs w:val="32"/>
          <w:lang w:val="zh-CN"/>
        </w:rPr>
      </w:pPr>
      <w:r>
        <w:rPr>
          <w:rFonts w:hint="eastAsia" w:ascii="宋体" w:hAnsi="宋体" w:cs="宋体"/>
          <w:b/>
          <w:sz w:val="32"/>
          <w:szCs w:val="32"/>
          <w:lang w:val="zh-CN"/>
        </w:rPr>
        <w:t>（一）项目资金申报及批复情况</w:t>
      </w:r>
    </w:p>
    <w:p w14:paraId="1FD042E2">
      <w:pPr>
        <w:spacing w:line="580" w:lineRule="exact"/>
        <w:ind w:firstLine="640" w:firstLineChars="200"/>
        <w:rPr>
          <w:rFonts w:ascii="宋体" w:hAnsi="宋体" w:cs="宋体"/>
          <w:sz w:val="32"/>
          <w:szCs w:val="32"/>
        </w:rPr>
      </w:pPr>
      <w:r>
        <w:rPr>
          <w:rFonts w:hint="eastAsia" w:ascii="宋体" w:hAnsi="宋体" w:cs="宋体"/>
          <w:sz w:val="32"/>
          <w:szCs w:val="32"/>
        </w:rPr>
        <w:t>项目成本（预算）使用合理，无超支。项目的实施进度按规定时间完成工作量。</w:t>
      </w:r>
    </w:p>
    <w:p w14:paraId="4A77AE3D">
      <w:pPr>
        <w:spacing w:line="580" w:lineRule="exact"/>
        <w:rPr>
          <w:rFonts w:ascii="宋体" w:hAnsi="宋体" w:cs="宋体"/>
          <w:b/>
          <w:sz w:val="32"/>
          <w:szCs w:val="32"/>
          <w:lang w:val="zh-CN"/>
        </w:rPr>
      </w:pPr>
      <w:r>
        <w:rPr>
          <w:rFonts w:hint="eastAsia" w:ascii="宋体" w:hAnsi="宋体" w:cs="宋体"/>
          <w:b/>
          <w:sz w:val="32"/>
          <w:szCs w:val="32"/>
          <w:lang w:val="zh-CN"/>
        </w:rPr>
        <w:t>（二）资金计划、到位及使用情况</w:t>
      </w:r>
    </w:p>
    <w:p w14:paraId="35A01E30">
      <w:pPr>
        <w:adjustRightInd w:val="0"/>
        <w:snapToGrid w:val="0"/>
        <w:spacing w:line="600" w:lineRule="exact"/>
        <w:ind w:firstLine="720"/>
        <w:rPr>
          <w:rFonts w:ascii="宋体" w:hAnsi="宋体" w:cs="宋体"/>
          <w:sz w:val="32"/>
          <w:szCs w:val="32"/>
        </w:rPr>
      </w:pPr>
      <w:r>
        <w:rPr>
          <w:rFonts w:hint="eastAsia" w:ascii="宋体" w:hAnsi="宋体" w:cs="宋体"/>
          <w:sz w:val="32"/>
          <w:szCs w:val="32"/>
        </w:rPr>
        <w:t>项目资金按财政要求，学校及时上缴学前教育管理经费，财政及时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14:paraId="617F66A5">
      <w:pPr>
        <w:adjustRightInd w:val="0"/>
        <w:snapToGrid w:val="0"/>
        <w:spacing w:line="600" w:lineRule="exact"/>
        <w:rPr>
          <w:rFonts w:ascii="宋体" w:hAnsi="宋体" w:cs="宋体"/>
          <w:b/>
          <w:sz w:val="32"/>
          <w:szCs w:val="32"/>
          <w:lang w:val="zh-CN"/>
        </w:rPr>
      </w:pPr>
      <w:r>
        <w:rPr>
          <w:rFonts w:hint="eastAsia" w:ascii="宋体" w:hAnsi="宋体" w:cs="宋体"/>
          <w:b/>
          <w:sz w:val="32"/>
          <w:szCs w:val="32"/>
          <w:lang w:val="zh-CN"/>
        </w:rPr>
        <w:t>（三）项目财务管理情况</w:t>
      </w:r>
    </w:p>
    <w:p w14:paraId="534AEA9B">
      <w:pPr>
        <w:adjustRightInd w:val="0"/>
        <w:snapToGrid w:val="0"/>
        <w:spacing w:line="600" w:lineRule="exact"/>
        <w:ind w:firstLine="720"/>
        <w:rPr>
          <w:rFonts w:ascii="宋体" w:hAnsi="宋体" w:cs="宋体"/>
          <w:sz w:val="32"/>
          <w:szCs w:val="32"/>
        </w:rPr>
      </w:pPr>
      <w:r>
        <w:rPr>
          <w:rFonts w:hint="eastAsia" w:ascii="宋体" w:hAnsi="宋体" w:cs="宋体"/>
          <w:sz w:val="32"/>
          <w:szCs w:val="32"/>
        </w:rPr>
        <w:t>2021年学前教育管理教育经费项目资金，到位及时，达到预期绩效目标要求。这是件有利于民生的大好事，是一项关心老百姓、深得民心的好项目，该项工作应当继续深化开展。</w:t>
      </w:r>
    </w:p>
    <w:p w14:paraId="227B09B6">
      <w:pPr>
        <w:adjustRightInd w:val="0"/>
        <w:snapToGrid w:val="0"/>
        <w:spacing w:line="600" w:lineRule="exact"/>
        <w:ind w:firstLine="720"/>
        <w:rPr>
          <w:rFonts w:ascii="宋体" w:hAnsi="宋体" w:cs="宋体"/>
          <w:sz w:val="32"/>
          <w:szCs w:val="32"/>
          <w:lang w:val="zh-CN"/>
        </w:rPr>
      </w:pPr>
      <w:r>
        <w:rPr>
          <w:rFonts w:hint="eastAsia" w:ascii="宋体" w:hAnsi="宋体" w:cs="宋体"/>
          <w:sz w:val="32"/>
          <w:szCs w:val="32"/>
        </w:rPr>
        <w:t>四、项目绩效情况</w:t>
      </w:r>
      <w:r>
        <w:rPr>
          <w:rFonts w:hint="eastAsia" w:ascii="宋体" w:hAnsi="宋体" w:cs="宋体"/>
          <w:sz w:val="32"/>
          <w:szCs w:val="32"/>
          <w:lang w:val="zh-CN"/>
        </w:rPr>
        <w:tab/>
      </w:r>
    </w:p>
    <w:p w14:paraId="68E12ED8">
      <w:pPr>
        <w:adjustRightInd w:val="0"/>
        <w:snapToGrid w:val="0"/>
        <w:spacing w:line="600" w:lineRule="exact"/>
        <w:ind w:firstLine="720"/>
        <w:rPr>
          <w:rFonts w:ascii="宋体" w:hAnsi="宋体" w:cs="宋体"/>
          <w:b/>
          <w:sz w:val="32"/>
          <w:szCs w:val="32"/>
          <w:lang w:val="zh-CN"/>
        </w:rPr>
      </w:pPr>
      <w:r>
        <w:rPr>
          <w:rFonts w:hint="eastAsia" w:ascii="宋体" w:hAnsi="宋体" w:cs="宋体"/>
          <w:b/>
          <w:sz w:val="32"/>
          <w:szCs w:val="32"/>
          <w:lang w:val="zh-CN"/>
        </w:rPr>
        <w:t>（一）项目完成情况</w:t>
      </w:r>
    </w:p>
    <w:p w14:paraId="29A334A6">
      <w:pPr>
        <w:adjustRightInd w:val="0"/>
        <w:snapToGrid w:val="0"/>
        <w:spacing w:line="600" w:lineRule="exact"/>
        <w:ind w:firstLine="720"/>
        <w:rPr>
          <w:rFonts w:ascii="宋体" w:hAnsi="宋体" w:cs="宋体"/>
          <w:b/>
          <w:sz w:val="32"/>
          <w:szCs w:val="32"/>
          <w:lang w:val="zh-CN"/>
        </w:rPr>
      </w:pPr>
      <w:r>
        <w:rPr>
          <w:rFonts w:hint="eastAsia" w:ascii="宋体" w:hAnsi="宋体" w:cs="宋体"/>
          <w:sz w:val="32"/>
          <w:szCs w:val="32"/>
        </w:rPr>
        <w:t>项目实施确保了146名幼儿在幼儿园的正常教学及办公设备购置发展，弥补办公经费的不足。</w:t>
      </w:r>
    </w:p>
    <w:p w14:paraId="11F700A2">
      <w:pPr>
        <w:adjustRightInd w:val="0"/>
        <w:snapToGrid w:val="0"/>
        <w:spacing w:line="600" w:lineRule="exact"/>
        <w:ind w:firstLine="720"/>
        <w:rPr>
          <w:rFonts w:ascii="宋体" w:hAnsi="宋体" w:cs="宋体"/>
          <w:b/>
          <w:sz w:val="32"/>
          <w:szCs w:val="32"/>
          <w:lang w:val="zh-CN"/>
        </w:rPr>
      </w:pPr>
      <w:r>
        <w:rPr>
          <w:rFonts w:hint="eastAsia" w:ascii="宋体" w:hAnsi="宋体" w:cs="宋体"/>
          <w:b/>
          <w:sz w:val="32"/>
          <w:szCs w:val="32"/>
          <w:lang w:val="zh-CN"/>
        </w:rPr>
        <w:t>（二）项目效益情况</w:t>
      </w:r>
    </w:p>
    <w:p w14:paraId="75D67DCC">
      <w:pPr>
        <w:adjustRightInd w:val="0"/>
        <w:snapToGrid w:val="0"/>
        <w:spacing w:line="600" w:lineRule="exact"/>
        <w:ind w:firstLine="640" w:firstLineChars="200"/>
        <w:rPr>
          <w:rFonts w:ascii="宋体" w:hAnsi="宋体" w:cs="宋体"/>
          <w:sz w:val="32"/>
          <w:szCs w:val="32"/>
        </w:rPr>
      </w:pPr>
      <w:r>
        <w:rPr>
          <w:rFonts w:hint="eastAsia" w:ascii="宋体" w:hAnsi="宋体" w:cs="宋体"/>
          <w:sz w:val="32"/>
          <w:szCs w:val="32"/>
        </w:rPr>
        <w:t>项目实施对经济和社会的影响,通过项目的实施，确保了学生有一个安全舒适的学习条件，保证充足的学习精力，专心地听课。学生学习成绩大踏步前进，创造良好的经济效益，深受广大居民欢迎，创造了良好的社会效益。</w:t>
      </w:r>
    </w:p>
    <w:p w14:paraId="5EF464B1">
      <w:pPr>
        <w:adjustRightInd w:val="0"/>
        <w:snapToGrid w:val="0"/>
        <w:spacing w:line="600" w:lineRule="exact"/>
        <w:rPr>
          <w:rFonts w:ascii="宋体" w:hAnsi="宋体" w:cs="宋体"/>
          <w:b/>
          <w:sz w:val="32"/>
          <w:szCs w:val="32"/>
        </w:rPr>
      </w:pPr>
      <w:r>
        <w:rPr>
          <w:rFonts w:hint="eastAsia" w:ascii="宋体" w:hAnsi="宋体" w:cs="宋体"/>
          <w:b/>
          <w:sz w:val="32"/>
          <w:szCs w:val="32"/>
        </w:rPr>
        <w:t>五、评价结论及建议</w:t>
      </w:r>
    </w:p>
    <w:p w14:paraId="254C9AA8">
      <w:pPr>
        <w:adjustRightInd w:val="0"/>
        <w:snapToGrid w:val="0"/>
        <w:spacing w:line="600" w:lineRule="exact"/>
        <w:rPr>
          <w:rFonts w:ascii="宋体" w:hAnsi="宋体" w:cs="宋体"/>
          <w:b/>
          <w:sz w:val="32"/>
          <w:szCs w:val="32"/>
          <w:lang w:val="zh-CN"/>
        </w:rPr>
      </w:pPr>
      <w:r>
        <w:rPr>
          <w:rFonts w:hint="eastAsia" w:ascii="宋体" w:hAnsi="宋体" w:cs="宋体"/>
          <w:b/>
          <w:sz w:val="32"/>
          <w:szCs w:val="32"/>
          <w:lang w:val="zh-CN"/>
        </w:rPr>
        <w:t>（一）评价结论</w:t>
      </w:r>
    </w:p>
    <w:p w14:paraId="0752F85E">
      <w:pPr>
        <w:adjustRightInd w:val="0"/>
        <w:snapToGrid w:val="0"/>
        <w:spacing w:line="600" w:lineRule="exact"/>
        <w:ind w:firstLine="627" w:firstLineChars="196"/>
        <w:rPr>
          <w:rFonts w:ascii="宋体" w:hAnsi="宋体" w:cs="宋体"/>
          <w:b/>
          <w:sz w:val="32"/>
          <w:szCs w:val="32"/>
          <w:lang w:val="zh-CN"/>
        </w:rPr>
      </w:pPr>
      <w:r>
        <w:rPr>
          <w:rFonts w:hint="eastAsia" w:ascii="宋体" w:hAnsi="宋体" w:cs="宋体"/>
          <w:sz w:val="32"/>
          <w:szCs w:val="32"/>
        </w:rPr>
        <w:t>2021年度学前教育管理教育经费项目的实施，为我校幼儿教育的发展提供了有力的保障。因而这项工作得到广泛支持。</w:t>
      </w:r>
    </w:p>
    <w:p w14:paraId="66FDCAE5">
      <w:pPr>
        <w:adjustRightInd w:val="0"/>
        <w:snapToGrid w:val="0"/>
        <w:spacing w:line="600" w:lineRule="exact"/>
        <w:rPr>
          <w:rFonts w:ascii="宋体" w:hAnsi="宋体" w:cs="宋体"/>
          <w:b/>
          <w:sz w:val="32"/>
          <w:szCs w:val="32"/>
          <w:lang w:val="zh-CN"/>
        </w:rPr>
      </w:pPr>
      <w:r>
        <w:rPr>
          <w:rFonts w:hint="eastAsia" w:ascii="宋体" w:hAnsi="宋体" w:cs="宋体"/>
          <w:b/>
          <w:sz w:val="32"/>
          <w:szCs w:val="32"/>
          <w:lang w:val="zh-CN"/>
        </w:rPr>
        <w:t>（二）存在的问题</w:t>
      </w:r>
    </w:p>
    <w:p w14:paraId="1A5F0FE5">
      <w:pPr>
        <w:adjustRightInd w:val="0"/>
        <w:snapToGrid w:val="0"/>
        <w:spacing w:line="600" w:lineRule="exact"/>
        <w:ind w:firstLine="720"/>
        <w:rPr>
          <w:rFonts w:ascii="宋体" w:hAnsi="宋体" w:cs="宋体"/>
          <w:b/>
          <w:sz w:val="32"/>
          <w:szCs w:val="32"/>
          <w:lang w:val="zh-CN"/>
        </w:rPr>
      </w:pPr>
      <w:r>
        <w:rPr>
          <w:rFonts w:hint="eastAsia" w:ascii="宋体" w:hAnsi="宋体" w:cs="宋体"/>
          <w:sz w:val="32"/>
          <w:szCs w:val="32"/>
        </w:rPr>
        <w:t>资金太少，望上级有关部门加大资金扶持力度。工程手续办理慢，影响了工程进度。</w:t>
      </w:r>
    </w:p>
    <w:p w14:paraId="1336ABAC">
      <w:pPr>
        <w:pStyle w:val="25"/>
        <w:numPr>
          <w:ilvl w:val="0"/>
          <w:numId w:val="4"/>
        </w:numPr>
        <w:adjustRightInd w:val="0"/>
        <w:snapToGrid w:val="0"/>
        <w:spacing w:line="600" w:lineRule="exact"/>
        <w:ind w:firstLineChars="0"/>
        <w:rPr>
          <w:rFonts w:ascii="宋体" w:hAnsi="宋体" w:cs="宋体"/>
          <w:b/>
          <w:sz w:val="32"/>
          <w:szCs w:val="32"/>
          <w:lang w:val="zh-CN"/>
        </w:rPr>
      </w:pPr>
      <w:r>
        <w:rPr>
          <w:rFonts w:hint="eastAsia" w:ascii="宋体" w:hAnsi="宋体" w:cs="宋体"/>
          <w:b/>
          <w:sz w:val="32"/>
          <w:szCs w:val="32"/>
          <w:lang w:val="zh-CN"/>
        </w:rPr>
        <w:t>相关建议</w:t>
      </w:r>
    </w:p>
    <w:p w14:paraId="191CA93F">
      <w:pPr>
        <w:adjustRightInd w:val="0"/>
        <w:snapToGrid w:val="0"/>
        <w:spacing w:line="600" w:lineRule="exact"/>
        <w:ind w:firstLine="800" w:firstLineChars="250"/>
        <w:rPr>
          <w:rFonts w:ascii="宋体" w:hAnsi="宋体" w:cs="宋体"/>
          <w:b/>
          <w:sz w:val="32"/>
          <w:szCs w:val="32"/>
          <w:lang w:val="zh-CN"/>
        </w:rPr>
      </w:pPr>
      <w:r>
        <w:rPr>
          <w:rFonts w:hint="eastAsia" w:ascii="宋体" w:hAnsi="宋体" w:cs="宋体"/>
          <w:sz w:val="32"/>
          <w:szCs w:val="32"/>
        </w:rPr>
        <w:t>资金太少，望上级有关部门加大资金扶持力度。简化工程手续，加大资金投入，全面改善学前教育办学条件。</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4F20F187">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14:paraId="6A9A050F">
            <w:pPr>
              <w:widowControl/>
              <w:jc w:val="center"/>
              <w:textAlignment w:val="center"/>
              <w:rPr>
                <w:rFonts w:ascii="宋体" w:hAnsi="宋体" w:cs="宋体"/>
                <w:b/>
                <w:sz w:val="32"/>
                <w:szCs w:val="32"/>
              </w:rPr>
            </w:pPr>
          </w:p>
          <w:p w14:paraId="28E1A627">
            <w:pPr>
              <w:widowControl/>
              <w:jc w:val="center"/>
              <w:textAlignment w:val="center"/>
              <w:rPr>
                <w:rFonts w:ascii="宋体" w:hAnsi="宋体" w:cs="宋体"/>
                <w:b/>
                <w:sz w:val="32"/>
                <w:szCs w:val="32"/>
              </w:rPr>
            </w:pPr>
          </w:p>
          <w:p w14:paraId="7DD176BC">
            <w:pPr>
              <w:widowControl/>
              <w:jc w:val="center"/>
              <w:textAlignment w:val="center"/>
              <w:rPr>
                <w:rFonts w:ascii="宋体" w:hAnsi="宋体" w:cs="宋体"/>
                <w:b/>
                <w:sz w:val="32"/>
                <w:szCs w:val="32"/>
              </w:rPr>
            </w:pPr>
          </w:p>
          <w:p w14:paraId="74506DE1">
            <w:pPr>
              <w:widowControl/>
              <w:jc w:val="center"/>
              <w:textAlignment w:val="center"/>
              <w:rPr>
                <w:rFonts w:ascii="宋体" w:hAnsi="宋体" w:cs="宋体"/>
                <w:b/>
                <w:sz w:val="32"/>
                <w:szCs w:val="32"/>
              </w:rPr>
            </w:pPr>
          </w:p>
          <w:p w14:paraId="0EEF3FA1">
            <w:pPr>
              <w:widowControl/>
              <w:jc w:val="center"/>
              <w:textAlignment w:val="center"/>
              <w:rPr>
                <w:rFonts w:ascii="宋体" w:hAnsi="宋体" w:cs="宋体"/>
                <w:b/>
                <w:sz w:val="32"/>
                <w:szCs w:val="32"/>
              </w:rPr>
            </w:pPr>
          </w:p>
          <w:p w14:paraId="2A2A4F2F">
            <w:pPr>
              <w:widowControl/>
              <w:jc w:val="center"/>
              <w:textAlignment w:val="center"/>
              <w:rPr>
                <w:rFonts w:ascii="宋体" w:hAnsi="宋体" w:cs="宋体"/>
                <w:b/>
                <w:sz w:val="32"/>
                <w:szCs w:val="32"/>
              </w:rPr>
            </w:pPr>
          </w:p>
          <w:p w14:paraId="1CF8D11B">
            <w:pPr>
              <w:widowControl/>
              <w:ind w:firstLine="472" w:firstLineChars="147"/>
              <w:textAlignment w:val="center"/>
              <w:rPr>
                <w:rStyle w:val="26"/>
                <w:rFonts w:ascii="宋体" w:hAnsi="宋体" w:cs="宋体"/>
                <w:sz w:val="32"/>
                <w:szCs w:val="32"/>
              </w:rPr>
            </w:pPr>
            <w:r>
              <w:rPr>
                <w:rStyle w:val="26"/>
                <w:rFonts w:hint="eastAsia" w:ascii="宋体" w:hAnsi="宋体" w:cs="宋体"/>
                <w:sz w:val="32"/>
                <w:szCs w:val="32"/>
              </w:rPr>
              <w:t>附件2</w:t>
            </w:r>
          </w:p>
          <w:p w14:paraId="027CF6F2">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p w14:paraId="3AD90876">
            <w:pPr>
              <w:widowControl/>
              <w:jc w:val="center"/>
              <w:textAlignment w:val="center"/>
              <w:rPr>
                <w:rFonts w:ascii="宋体" w:hAnsi="宋体" w:cs="宋体"/>
                <w:b/>
                <w:sz w:val="32"/>
                <w:szCs w:val="32"/>
              </w:rPr>
            </w:pPr>
            <w:r>
              <w:rPr>
                <w:rFonts w:hint="eastAsia" w:ascii="宋体" w:hAnsi="宋体" w:cs="宋体"/>
                <w:b/>
                <w:sz w:val="32"/>
                <w:szCs w:val="32"/>
              </w:rPr>
              <w:t>学前教育生均公用经费项目绩效目标自评</w:t>
            </w:r>
          </w:p>
        </w:tc>
        <w:tc>
          <w:tcPr>
            <w:tcW w:w="234" w:type="dxa"/>
            <w:tcBorders>
              <w:top w:val="nil"/>
              <w:left w:val="nil"/>
              <w:bottom w:val="nil"/>
              <w:right w:val="nil"/>
            </w:tcBorders>
            <w:vAlign w:val="center"/>
          </w:tcPr>
          <w:p w14:paraId="1193AE32">
            <w:pPr>
              <w:widowControl/>
              <w:jc w:val="center"/>
              <w:textAlignment w:val="center"/>
              <w:rPr>
                <w:rFonts w:ascii="宋体" w:hAnsi="宋体" w:cs="宋体"/>
                <w:b/>
                <w:kern w:val="0"/>
                <w:sz w:val="32"/>
                <w:szCs w:val="32"/>
              </w:rPr>
            </w:pPr>
          </w:p>
        </w:tc>
      </w:tr>
      <w:tr w14:paraId="2EFBEE9E">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14:paraId="2580059A">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14:paraId="680D706E">
            <w:pPr>
              <w:widowControl/>
              <w:spacing w:line="320" w:lineRule="exact"/>
              <w:textAlignment w:val="center"/>
              <w:rPr>
                <w:rFonts w:ascii="宋体" w:hAnsi="宋体" w:cs="宋体"/>
                <w:sz w:val="24"/>
              </w:rPr>
            </w:pPr>
            <w:r>
              <w:rPr>
                <w:rFonts w:hint="eastAsia" w:ascii="宋体" w:hAnsi="宋体" w:cs="宋体"/>
                <w:sz w:val="24"/>
              </w:rPr>
              <w:t>攀枝花市仁和区教育和体育局</w:t>
            </w:r>
          </w:p>
        </w:tc>
        <w:tc>
          <w:tcPr>
            <w:tcW w:w="1224" w:type="dxa"/>
            <w:tcBorders>
              <w:top w:val="single" w:color="000000" w:sz="4" w:space="0"/>
              <w:left w:val="single" w:color="000000" w:sz="4" w:space="0"/>
              <w:bottom w:val="single" w:color="000000" w:sz="4" w:space="0"/>
              <w:right w:val="single" w:color="000000" w:sz="4" w:space="0"/>
            </w:tcBorders>
            <w:vAlign w:val="center"/>
          </w:tcPr>
          <w:p w14:paraId="36A03A53">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vAlign w:val="center"/>
          </w:tcPr>
          <w:p w14:paraId="7550FD8A">
            <w:pPr>
              <w:widowControl/>
              <w:spacing w:line="320" w:lineRule="exact"/>
              <w:jc w:val="center"/>
              <w:textAlignment w:val="center"/>
              <w:rPr>
                <w:rFonts w:ascii="宋体" w:hAnsi="宋体" w:cs="宋体"/>
                <w:sz w:val="24"/>
              </w:rPr>
            </w:pPr>
            <w:r>
              <w:rPr>
                <w:rFonts w:hint="eastAsia" w:ascii="宋体" w:hAnsi="宋体" w:cs="宋体"/>
                <w:sz w:val="24"/>
              </w:rPr>
              <w:t>攀枝花市仁和区总发乡中心学校</w:t>
            </w:r>
          </w:p>
        </w:tc>
      </w:tr>
      <w:tr w14:paraId="7A3A3502">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EF42A09">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14:paraId="44E07B20">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14:paraId="56F36289">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14:paraId="608EE322">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vAlign w:val="center"/>
          </w:tcPr>
          <w:p w14:paraId="2DD9D988">
            <w:pPr>
              <w:widowControl/>
              <w:spacing w:line="320" w:lineRule="exact"/>
              <w:jc w:val="left"/>
              <w:textAlignment w:val="center"/>
              <w:rPr>
                <w:rFonts w:ascii="宋体" w:hAnsi="宋体" w:cs="宋体"/>
                <w:sz w:val="24"/>
              </w:rPr>
            </w:pPr>
            <w:r>
              <w:rPr>
                <w:rFonts w:hint="eastAsia" w:ascii="宋体" w:hAnsi="宋体" w:cs="宋体"/>
                <w:sz w:val="24"/>
              </w:rPr>
              <w:t>6.6</w:t>
            </w:r>
          </w:p>
        </w:tc>
        <w:tc>
          <w:tcPr>
            <w:tcW w:w="1224" w:type="dxa"/>
            <w:tcBorders>
              <w:top w:val="single" w:color="000000" w:sz="4" w:space="0"/>
              <w:left w:val="single" w:color="000000" w:sz="4" w:space="0"/>
              <w:bottom w:val="single" w:color="000000" w:sz="4" w:space="0"/>
              <w:right w:val="single" w:color="000000" w:sz="4" w:space="0"/>
            </w:tcBorders>
            <w:vAlign w:val="center"/>
          </w:tcPr>
          <w:p w14:paraId="3FE7597F">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vAlign w:val="center"/>
          </w:tcPr>
          <w:p w14:paraId="7B4D8845">
            <w:pPr>
              <w:widowControl/>
              <w:spacing w:line="320" w:lineRule="exact"/>
              <w:ind w:right="480"/>
              <w:textAlignment w:val="center"/>
              <w:rPr>
                <w:rFonts w:ascii="宋体" w:hAnsi="宋体" w:cs="宋体"/>
                <w:sz w:val="24"/>
              </w:rPr>
            </w:pPr>
            <w:r>
              <w:rPr>
                <w:rFonts w:hint="eastAsia" w:ascii="宋体" w:hAnsi="宋体" w:cs="宋体"/>
                <w:sz w:val="24"/>
              </w:rPr>
              <w:t>6.6</w:t>
            </w:r>
          </w:p>
        </w:tc>
      </w:tr>
      <w:tr w14:paraId="7A82B1D8">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8D3D56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3B361C7D">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8013BA6">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14:paraId="0099851B">
            <w:pPr>
              <w:widowControl/>
              <w:spacing w:line="320" w:lineRule="exact"/>
              <w:jc w:val="left"/>
              <w:textAlignment w:val="center"/>
              <w:rPr>
                <w:rFonts w:ascii="宋体" w:hAnsi="宋体" w:cs="宋体"/>
                <w:sz w:val="24"/>
              </w:rPr>
            </w:pPr>
            <w:r>
              <w:rPr>
                <w:rFonts w:hint="eastAsia" w:ascii="宋体" w:hAnsi="宋体" w:cs="宋体"/>
                <w:sz w:val="24"/>
              </w:rPr>
              <w:t>6.6</w:t>
            </w:r>
          </w:p>
        </w:tc>
        <w:tc>
          <w:tcPr>
            <w:tcW w:w="1224" w:type="dxa"/>
            <w:tcBorders>
              <w:top w:val="single" w:color="000000" w:sz="4" w:space="0"/>
              <w:left w:val="single" w:color="000000" w:sz="4" w:space="0"/>
              <w:bottom w:val="single" w:color="000000" w:sz="4" w:space="0"/>
              <w:right w:val="single" w:color="000000" w:sz="4" w:space="0"/>
            </w:tcBorders>
            <w:vAlign w:val="center"/>
          </w:tcPr>
          <w:p w14:paraId="6CA8EB9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2A7FC37">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vAlign w:val="center"/>
          </w:tcPr>
          <w:p w14:paraId="17AFE2EB">
            <w:pPr>
              <w:widowControl/>
              <w:spacing w:line="320" w:lineRule="exact"/>
              <w:textAlignment w:val="center"/>
              <w:rPr>
                <w:rFonts w:ascii="宋体" w:hAnsi="宋体" w:cs="宋体"/>
                <w:sz w:val="24"/>
              </w:rPr>
            </w:pPr>
            <w:r>
              <w:rPr>
                <w:rFonts w:hint="eastAsia" w:ascii="宋体" w:hAnsi="宋体" w:cs="宋体"/>
                <w:sz w:val="24"/>
              </w:rPr>
              <w:t>6.6</w:t>
            </w:r>
          </w:p>
        </w:tc>
      </w:tr>
      <w:tr w14:paraId="121752CC">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38256E">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C84B51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14:paraId="4213F1EC">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vAlign w:val="center"/>
          </w:tcPr>
          <w:p w14:paraId="50CA22A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vAlign w:val="center"/>
          </w:tcPr>
          <w:p w14:paraId="3B088524">
            <w:pPr>
              <w:widowControl/>
              <w:spacing w:line="320" w:lineRule="exact"/>
              <w:textAlignment w:val="center"/>
              <w:rPr>
                <w:rFonts w:ascii="宋体" w:hAnsi="宋体" w:cs="宋体"/>
                <w:sz w:val="24"/>
              </w:rPr>
            </w:pPr>
            <w:r>
              <w:rPr>
                <w:rFonts w:hint="eastAsia" w:ascii="宋体" w:hAnsi="宋体" w:cs="宋体"/>
                <w:sz w:val="24"/>
              </w:rPr>
              <w:t>0</w:t>
            </w:r>
          </w:p>
        </w:tc>
      </w:tr>
      <w:tr w14:paraId="04A1A54F">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14:paraId="1056E083">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046313B1">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14:paraId="744C145B">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vAlign w:val="center"/>
          </w:tcPr>
          <w:p w14:paraId="38E7F85E">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143DC9AA">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14:paraId="36636E15">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14:paraId="41412DC5">
            <w:pPr>
              <w:widowControl/>
              <w:spacing w:line="320" w:lineRule="exact"/>
              <w:jc w:val="left"/>
              <w:textAlignment w:val="top"/>
              <w:rPr>
                <w:rFonts w:ascii="宋体" w:hAnsi="宋体" w:cs="宋体"/>
                <w:szCs w:val="21"/>
              </w:rPr>
            </w:pPr>
            <w:r>
              <w:rPr>
                <w:rFonts w:hint="eastAsia" w:ascii="宋体" w:hAnsi="宋体" w:cs="宋体"/>
                <w:szCs w:val="21"/>
              </w:rPr>
              <w:t>保证2021年总发乡中心幼儿园学前教育教学工作正常运转，认真办好学前三年教育，让每个孩子能快乐的成长，全面的发展，把幼儿园建设成高质量、严要求的儿童乐园。</w:t>
            </w:r>
          </w:p>
        </w:tc>
        <w:tc>
          <w:tcPr>
            <w:tcW w:w="3634" w:type="dxa"/>
            <w:gridSpan w:val="2"/>
            <w:tcBorders>
              <w:top w:val="single" w:color="000000" w:sz="4" w:space="0"/>
              <w:left w:val="single" w:color="000000" w:sz="4" w:space="0"/>
              <w:bottom w:val="single" w:color="000000" w:sz="4" w:space="0"/>
              <w:right w:val="single" w:color="000000" w:sz="4" w:space="0"/>
            </w:tcBorders>
          </w:tcPr>
          <w:p w14:paraId="5C98038F">
            <w:pPr>
              <w:widowControl/>
              <w:spacing w:line="320" w:lineRule="exact"/>
              <w:jc w:val="left"/>
              <w:textAlignment w:val="top"/>
              <w:rPr>
                <w:rFonts w:ascii="宋体" w:hAnsi="宋体" w:cs="宋体"/>
                <w:szCs w:val="21"/>
              </w:rPr>
            </w:pPr>
            <w:r>
              <w:rPr>
                <w:rFonts w:hint="eastAsia" w:ascii="宋体" w:hAnsi="宋体" w:cs="宋体"/>
                <w:szCs w:val="21"/>
              </w:rPr>
              <w:t>确保146名幼儿在幼儿园的正常教学及办公设备购置发展，弥补办公经费不足。学生、家长、教师、社会满意度达到96%</w:t>
            </w:r>
          </w:p>
        </w:tc>
      </w:tr>
      <w:tr w14:paraId="32EA4537">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14:paraId="6330E9BB">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14:paraId="342D317D">
            <w:pPr>
              <w:widowControl/>
              <w:spacing w:line="320" w:lineRule="exact"/>
              <w:jc w:val="center"/>
              <w:textAlignment w:val="center"/>
              <w:rPr>
                <w:rFonts w:ascii="宋体" w:hAnsi="宋体" w:cs="宋体"/>
                <w:kern w:val="0"/>
                <w:sz w:val="28"/>
                <w:szCs w:val="28"/>
              </w:rPr>
            </w:pPr>
            <w:r>
              <w:rPr>
                <w:rFonts w:hint="eastAsia" w:ascii="宋体" w:hAnsi="宋体" w:cs="宋体"/>
                <w:kern w:val="0"/>
                <w:sz w:val="28"/>
                <w:szCs w:val="28"/>
              </w:rPr>
              <w:t>一级</w:t>
            </w:r>
          </w:p>
          <w:p w14:paraId="7E42C555">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7A3CD3A7">
            <w:pPr>
              <w:widowControl/>
              <w:spacing w:line="320" w:lineRule="exact"/>
              <w:jc w:val="center"/>
              <w:textAlignment w:val="center"/>
              <w:rPr>
                <w:rFonts w:ascii="宋体" w:hAnsi="宋体" w:cs="宋体"/>
                <w:kern w:val="0"/>
                <w:sz w:val="28"/>
                <w:szCs w:val="28"/>
              </w:rPr>
            </w:pPr>
            <w:r>
              <w:rPr>
                <w:rFonts w:hint="eastAsia" w:ascii="宋体" w:hAnsi="宋体" w:cs="宋体"/>
                <w:kern w:val="0"/>
                <w:sz w:val="28"/>
                <w:szCs w:val="28"/>
              </w:rPr>
              <w:t>二级</w:t>
            </w:r>
          </w:p>
          <w:p w14:paraId="783EE422">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268640A">
            <w:pPr>
              <w:widowControl/>
              <w:spacing w:line="320" w:lineRule="exact"/>
              <w:jc w:val="center"/>
              <w:textAlignment w:val="center"/>
              <w:rPr>
                <w:rFonts w:ascii="宋体" w:hAnsi="宋体" w:cs="宋体"/>
                <w:kern w:val="0"/>
                <w:sz w:val="28"/>
                <w:szCs w:val="28"/>
              </w:rPr>
            </w:pPr>
            <w:r>
              <w:rPr>
                <w:rFonts w:hint="eastAsia" w:ascii="宋体" w:hAnsi="宋体" w:cs="宋体"/>
                <w:kern w:val="0"/>
                <w:sz w:val="28"/>
                <w:szCs w:val="28"/>
              </w:rPr>
              <w:t>三级</w:t>
            </w:r>
          </w:p>
          <w:p w14:paraId="727680FE">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14:paraId="1062B439">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vAlign w:val="center"/>
          </w:tcPr>
          <w:p w14:paraId="592D6855">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rPr>
              <w:t>实际完成指标值</w:t>
            </w:r>
          </w:p>
        </w:tc>
      </w:tr>
      <w:tr w14:paraId="57229AF0">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14:paraId="35C2321E">
            <w:pPr>
              <w:spacing w:line="320" w:lineRule="exact"/>
              <w:jc w:val="center"/>
              <w:rPr>
                <w:rFonts w:ascii="宋体" w:hAnsi="宋体" w:cs="宋体"/>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41DA0455">
            <w:pPr>
              <w:widowControl/>
              <w:spacing w:line="320" w:lineRule="exact"/>
              <w:jc w:val="center"/>
              <w:textAlignment w:val="bottom"/>
              <w:rPr>
                <w:rFonts w:ascii="宋体" w:hAnsi="宋体" w:cs="宋体"/>
                <w:kern w:val="0"/>
                <w:sz w:val="28"/>
                <w:szCs w:val="28"/>
              </w:rPr>
            </w:pPr>
            <w:r>
              <w:rPr>
                <w:rFonts w:hint="eastAsia" w:ascii="宋体" w:hAnsi="宋体" w:cs="宋体"/>
                <w:kern w:val="0"/>
                <w:sz w:val="28"/>
                <w:szCs w:val="28"/>
              </w:rPr>
              <w:t>完成</w:t>
            </w:r>
          </w:p>
          <w:p w14:paraId="779CDB34">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3E10C678">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34C52F32">
            <w:pPr>
              <w:widowControl/>
              <w:spacing w:line="320" w:lineRule="exact"/>
              <w:jc w:val="center"/>
              <w:textAlignment w:val="bottom"/>
              <w:rPr>
                <w:rFonts w:ascii="宋体" w:hAnsi="宋体" w:cs="宋体"/>
                <w:szCs w:val="21"/>
              </w:rPr>
            </w:pPr>
            <w:r>
              <w:rPr>
                <w:rFonts w:hint="eastAsia" w:ascii="宋体" w:hAnsi="宋体" w:cs="宋体"/>
                <w:kern w:val="0"/>
                <w:szCs w:val="21"/>
              </w:rPr>
              <w:t>数量指标</w:t>
            </w:r>
          </w:p>
        </w:tc>
        <w:tc>
          <w:tcPr>
            <w:tcW w:w="1224" w:type="dxa"/>
            <w:tcBorders>
              <w:top w:val="single" w:color="000000" w:sz="4" w:space="0"/>
              <w:left w:val="single" w:color="000000" w:sz="4" w:space="0"/>
              <w:bottom w:val="single" w:color="000000" w:sz="4" w:space="0"/>
              <w:right w:val="single" w:color="000000" w:sz="4" w:space="0"/>
            </w:tcBorders>
            <w:vAlign w:val="bottom"/>
          </w:tcPr>
          <w:p w14:paraId="5822F28C">
            <w:pPr>
              <w:jc w:val="center"/>
              <w:rPr>
                <w:rFonts w:ascii="宋体" w:hAnsi="宋体" w:cs="宋体"/>
                <w:szCs w:val="21"/>
              </w:rPr>
            </w:pPr>
            <w:r>
              <w:rPr>
                <w:rFonts w:hint="eastAsia" w:ascii="宋体" w:hAnsi="宋体" w:cs="宋体"/>
                <w:szCs w:val="21"/>
              </w:rPr>
              <w:t>确保约146名幼儿在幼儿园的正常教学及设备购置发展，弥补办公经费不足</w:t>
            </w:r>
          </w:p>
          <w:p w14:paraId="753A6B4B">
            <w:pPr>
              <w:widowControl/>
              <w:spacing w:line="320" w:lineRule="exact"/>
              <w:jc w:val="center"/>
              <w:textAlignment w:val="bottom"/>
              <w:rPr>
                <w:rFonts w:ascii="宋体" w:hAnsi="宋体" w:cs="宋体"/>
                <w:szCs w:val="21"/>
              </w:rPr>
            </w:pPr>
          </w:p>
        </w:tc>
        <w:tc>
          <w:tcPr>
            <w:tcW w:w="2410" w:type="dxa"/>
            <w:tcBorders>
              <w:top w:val="single" w:color="000000" w:sz="4" w:space="0"/>
              <w:left w:val="single" w:color="000000" w:sz="4" w:space="0"/>
              <w:bottom w:val="single" w:color="000000" w:sz="4" w:space="0"/>
              <w:right w:val="single" w:color="000000" w:sz="4" w:space="0"/>
            </w:tcBorders>
          </w:tcPr>
          <w:p w14:paraId="4D7E3FF4">
            <w:pPr>
              <w:rPr>
                <w:rFonts w:ascii="宋体" w:hAnsi="宋体" w:cs="宋体"/>
                <w:szCs w:val="21"/>
              </w:rPr>
            </w:pPr>
            <w:r>
              <w:rPr>
                <w:rFonts w:hint="eastAsia" w:ascii="宋体" w:hAnsi="宋体" w:cs="宋体"/>
                <w:szCs w:val="21"/>
              </w:rPr>
              <w:t>确保约146名幼儿在幼儿园的正常教学及设备购置发展，弥补办公经费不足</w:t>
            </w:r>
          </w:p>
          <w:p w14:paraId="25B4EEBD">
            <w:pPr>
              <w:widowControl/>
              <w:spacing w:line="320" w:lineRule="exact"/>
              <w:textAlignment w:val="bottom"/>
              <w:rPr>
                <w:rFonts w:ascii="宋体" w:hAnsi="宋体" w:cs="宋体"/>
                <w:szCs w:val="21"/>
              </w:rPr>
            </w:pPr>
          </w:p>
        </w:tc>
      </w:tr>
      <w:tr w14:paraId="21DAD166">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14:paraId="4E7C2C36">
            <w:pPr>
              <w:spacing w:line="320" w:lineRule="exact"/>
              <w:jc w:val="center"/>
              <w:rPr>
                <w:rFonts w:ascii="宋体" w:hAnsi="宋体" w:cs="宋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53D29B25">
            <w:pPr>
              <w:spacing w:line="320" w:lineRule="exact"/>
              <w:jc w:val="center"/>
              <w:rPr>
                <w:rFonts w:ascii="宋体" w:hAnsi="宋体" w:cs="宋体"/>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A49C27E">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728F5452">
            <w:pPr>
              <w:widowControl/>
              <w:spacing w:line="320" w:lineRule="exact"/>
              <w:jc w:val="center"/>
              <w:textAlignment w:val="bottom"/>
              <w:rPr>
                <w:rFonts w:ascii="宋体" w:hAnsi="宋体" w:cs="宋体"/>
                <w:szCs w:val="21"/>
              </w:rPr>
            </w:pPr>
            <w:r>
              <w:rPr>
                <w:rFonts w:hint="eastAsia" w:ascii="宋体" w:hAnsi="宋体" w:cs="宋体"/>
                <w:kern w:val="0"/>
                <w:szCs w:val="21"/>
              </w:rPr>
              <w:t>质量指标</w:t>
            </w:r>
          </w:p>
        </w:tc>
        <w:tc>
          <w:tcPr>
            <w:tcW w:w="1224" w:type="dxa"/>
            <w:tcBorders>
              <w:top w:val="single" w:color="000000" w:sz="4" w:space="0"/>
              <w:left w:val="single" w:color="000000" w:sz="4" w:space="0"/>
              <w:bottom w:val="single" w:color="000000" w:sz="4" w:space="0"/>
              <w:right w:val="single" w:color="000000" w:sz="4" w:space="0"/>
            </w:tcBorders>
            <w:vAlign w:val="bottom"/>
          </w:tcPr>
          <w:p w14:paraId="619AC263">
            <w:pPr>
              <w:widowControl/>
              <w:spacing w:line="320" w:lineRule="exact"/>
              <w:jc w:val="center"/>
              <w:textAlignment w:val="bottom"/>
              <w:rPr>
                <w:rFonts w:ascii="宋体" w:hAnsi="宋体" w:cs="宋体"/>
                <w:szCs w:val="21"/>
              </w:rPr>
            </w:pPr>
            <w:r>
              <w:rPr>
                <w:rFonts w:hint="eastAsia" w:ascii="宋体" w:hAnsi="宋体" w:cs="宋体"/>
                <w:szCs w:val="21"/>
              </w:rPr>
              <w:t>改善幼儿园办学环境和教学设施</w:t>
            </w:r>
          </w:p>
        </w:tc>
        <w:tc>
          <w:tcPr>
            <w:tcW w:w="2410" w:type="dxa"/>
            <w:tcBorders>
              <w:top w:val="single" w:color="000000" w:sz="4" w:space="0"/>
              <w:left w:val="single" w:color="000000" w:sz="4" w:space="0"/>
              <w:bottom w:val="single" w:color="000000" w:sz="4" w:space="0"/>
              <w:right w:val="single" w:color="000000" w:sz="4" w:space="0"/>
            </w:tcBorders>
          </w:tcPr>
          <w:p w14:paraId="3414EB8E">
            <w:pPr>
              <w:rPr>
                <w:rFonts w:ascii="宋体" w:hAnsi="宋体" w:cs="宋体"/>
                <w:szCs w:val="21"/>
              </w:rPr>
            </w:pPr>
            <w:r>
              <w:rPr>
                <w:rFonts w:hint="eastAsia" w:ascii="宋体" w:hAnsi="宋体" w:cs="宋体"/>
                <w:szCs w:val="21"/>
              </w:rPr>
              <w:t>保障了正常的教育教学秩序</w:t>
            </w:r>
          </w:p>
          <w:p w14:paraId="4A516E23">
            <w:pPr>
              <w:widowControl/>
              <w:spacing w:line="320" w:lineRule="exact"/>
              <w:textAlignment w:val="bottom"/>
              <w:rPr>
                <w:rFonts w:ascii="宋体" w:hAnsi="宋体" w:cs="宋体"/>
                <w:szCs w:val="21"/>
              </w:rPr>
            </w:pPr>
          </w:p>
        </w:tc>
      </w:tr>
      <w:tr w14:paraId="20E40807">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14:paraId="43E1E3D2">
            <w:pPr>
              <w:spacing w:line="320" w:lineRule="exact"/>
              <w:jc w:val="center"/>
              <w:rPr>
                <w:rFonts w:ascii="宋体" w:hAnsi="宋体" w:cs="宋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749DFF96">
            <w:pPr>
              <w:spacing w:line="320" w:lineRule="exact"/>
              <w:jc w:val="center"/>
              <w:rPr>
                <w:rFonts w:ascii="宋体" w:hAnsi="宋体" w:cs="宋体"/>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33976554">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0C4BB15C">
            <w:pPr>
              <w:widowControl/>
              <w:spacing w:line="320" w:lineRule="exact"/>
              <w:jc w:val="center"/>
              <w:textAlignment w:val="bottom"/>
              <w:rPr>
                <w:rFonts w:ascii="宋体" w:hAnsi="宋体" w:cs="宋体"/>
                <w:szCs w:val="21"/>
              </w:rPr>
            </w:pPr>
            <w:r>
              <w:rPr>
                <w:rFonts w:hint="eastAsia" w:ascii="宋体" w:hAnsi="宋体" w:cs="宋体"/>
                <w:kern w:val="0"/>
                <w:szCs w:val="21"/>
              </w:rPr>
              <w:t>时效指标</w:t>
            </w:r>
          </w:p>
        </w:tc>
        <w:tc>
          <w:tcPr>
            <w:tcW w:w="1224" w:type="dxa"/>
            <w:tcBorders>
              <w:top w:val="single" w:color="000000" w:sz="4" w:space="0"/>
              <w:left w:val="single" w:color="000000" w:sz="4" w:space="0"/>
              <w:bottom w:val="single" w:color="000000" w:sz="4" w:space="0"/>
              <w:right w:val="single" w:color="000000" w:sz="4" w:space="0"/>
            </w:tcBorders>
            <w:vAlign w:val="bottom"/>
          </w:tcPr>
          <w:p w14:paraId="6833CA02">
            <w:pPr>
              <w:widowControl/>
              <w:spacing w:line="320" w:lineRule="exact"/>
              <w:jc w:val="center"/>
              <w:textAlignment w:val="bottom"/>
              <w:rPr>
                <w:rFonts w:ascii="宋体" w:hAnsi="宋体" w:cs="宋体"/>
                <w:szCs w:val="21"/>
              </w:rPr>
            </w:pPr>
            <w:r>
              <w:rPr>
                <w:rFonts w:hint="eastAsia" w:ascii="宋体" w:hAnsi="宋体" w:cs="宋体"/>
                <w:szCs w:val="21"/>
              </w:rPr>
              <w:t>2021年1月至2021年12月</w:t>
            </w:r>
          </w:p>
        </w:tc>
        <w:tc>
          <w:tcPr>
            <w:tcW w:w="2410" w:type="dxa"/>
            <w:tcBorders>
              <w:top w:val="single" w:color="000000" w:sz="4" w:space="0"/>
              <w:left w:val="single" w:color="000000" w:sz="4" w:space="0"/>
              <w:bottom w:val="single" w:color="000000" w:sz="4" w:space="0"/>
              <w:right w:val="single" w:color="000000" w:sz="4" w:space="0"/>
            </w:tcBorders>
            <w:vAlign w:val="bottom"/>
          </w:tcPr>
          <w:p w14:paraId="6D901DC4">
            <w:pPr>
              <w:jc w:val="center"/>
              <w:rPr>
                <w:rFonts w:ascii="宋体" w:hAnsi="宋体" w:cs="宋体"/>
                <w:szCs w:val="21"/>
              </w:rPr>
            </w:pPr>
            <w:r>
              <w:rPr>
                <w:rFonts w:hint="eastAsia" w:ascii="宋体" w:hAnsi="宋体" w:cs="宋体"/>
                <w:szCs w:val="21"/>
              </w:rPr>
              <w:t>已完成</w:t>
            </w:r>
          </w:p>
          <w:p w14:paraId="4B256612">
            <w:pPr>
              <w:widowControl/>
              <w:spacing w:line="320" w:lineRule="exact"/>
              <w:jc w:val="center"/>
              <w:textAlignment w:val="bottom"/>
              <w:rPr>
                <w:rFonts w:ascii="宋体" w:hAnsi="宋体" w:cs="宋体"/>
                <w:szCs w:val="21"/>
              </w:rPr>
            </w:pPr>
          </w:p>
        </w:tc>
      </w:tr>
      <w:tr w14:paraId="1FA50122">
        <w:tblPrEx>
          <w:tblCellMar>
            <w:top w:w="0" w:type="dxa"/>
            <w:left w:w="108" w:type="dxa"/>
            <w:bottom w:w="0" w:type="dxa"/>
            <w:right w:w="108" w:type="dxa"/>
          </w:tblCellMar>
        </w:tblPrEx>
        <w:trPr>
          <w:gridAfter w:val="1"/>
          <w:wAfter w:w="234" w:type="dxa"/>
          <w:trHeight w:val="911" w:hRule="atLeast"/>
        </w:trPr>
        <w:tc>
          <w:tcPr>
            <w:tcW w:w="1977" w:type="dxa"/>
            <w:vMerge w:val="continue"/>
            <w:tcBorders>
              <w:left w:val="single" w:color="000000" w:sz="4" w:space="0"/>
              <w:right w:val="single" w:color="000000" w:sz="4" w:space="0"/>
            </w:tcBorders>
            <w:vAlign w:val="center"/>
          </w:tcPr>
          <w:p w14:paraId="77813A2E">
            <w:pPr>
              <w:spacing w:line="320" w:lineRule="exact"/>
              <w:jc w:val="center"/>
              <w:rPr>
                <w:rFonts w:ascii="宋体" w:hAnsi="宋体" w:cs="宋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2D063B19">
            <w:pPr>
              <w:spacing w:line="320" w:lineRule="exact"/>
              <w:jc w:val="center"/>
              <w:rPr>
                <w:rFonts w:ascii="宋体" w:hAnsi="宋体" w:cs="宋体"/>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AEC566D">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48263325">
            <w:pPr>
              <w:widowControl/>
              <w:spacing w:line="320" w:lineRule="exact"/>
              <w:jc w:val="center"/>
              <w:textAlignment w:val="bottom"/>
              <w:rPr>
                <w:rFonts w:ascii="宋体" w:hAnsi="宋体" w:cs="宋体"/>
                <w:szCs w:val="21"/>
              </w:rPr>
            </w:pPr>
            <w:r>
              <w:rPr>
                <w:rFonts w:hint="eastAsia" w:ascii="宋体" w:hAnsi="宋体" w:cs="宋体"/>
                <w:kern w:val="0"/>
                <w:szCs w:val="21"/>
              </w:rPr>
              <w:t>成本指标</w:t>
            </w:r>
          </w:p>
        </w:tc>
        <w:tc>
          <w:tcPr>
            <w:tcW w:w="1224" w:type="dxa"/>
            <w:tcBorders>
              <w:top w:val="single" w:color="000000" w:sz="4" w:space="0"/>
              <w:left w:val="single" w:color="000000" w:sz="4" w:space="0"/>
              <w:bottom w:val="single" w:color="000000" w:sz="4" w:space="0"/>
              <w:right w:val="single" w:color="000000" w:sz="4" w:space="0"/>
            </w:tcBorders>
          </w:tcPr>
          <w:p w14:paraId="12969E23">
            <w:pPr>
              <w:rPr>
                <w:rFonts w:ascii="宋体" w:hAnsi="宋体" w:cs="宋体"/>
                <w:szCs w:val="21"/>
              </w:rPr>
            </w:pPr>
            <w:r>
              <w:rPr>
                <w:rFonts w:hint="eastAsia" w:ascii="宋体" w:hAnsi="宋体" w:cs="宋体"/>
                <w:szCs w:val="21"/>
              </w:rPr>
              <w:t>达到国家办学水平要求</w:t>
            </w:r>
          </w:p>
          <w:p w14:paraId="47334F78">
            <w:pPr>
              <w:widowControl/>
              <w:spacing w:line="320" w:lineRule="exact"/>
              <w:textAlignment w:val="bottom"/>
              <w:rPr>
                <w:rFonts w:ascii="宋体" w:hAnsi="宋体" w:cs="宋体"/>
                <w:szCs w:val="21"/>
              </w:rPr>
            </w:pPr>
          </w:p>
        </w:tc>
        <w:tc>
          <w:tcPr>
            <w:tcW w:w="2410" w:type="dxa"/>
            <w:tcBorders>
              <w:top w:val="single" w:color="000000" w:sz="4" w:space="0"/>
              <w:left w:val="single" w:color="000000" w:sz="4" w:space="0"/>
              <w:bottom w:val="single" w:color="000000" w:sz="4" w:space="0"/>
              <w:right w:val="single" w:color="000000" w:sz="4" w:space="0"/>
            </w:tcBorders>
          </w:tcPr>
          <w:p w14:paraId="6B3AD78A">
            <w:pPr>
              <w:widowControl/>
              <w:spacing w:line="320" w:lineRule="exact"/>
              <w:textAlignment w:val="bottom"/>
              <w:rPr>
                <w:rFonts w:ascii="宋体" w:hAnsi="宋体" w:cs="宋体"/>
                <w:szCs w:val="21"/>
              </w:rPr>
            </w:pPr>
            <w:r>
              <w:rPr>
                <w:rFonts w:hint="eastAsia" w:ascii="宋体" w:hAnsi="宋体" w:cs="宋体"/>
                <w:szCs w:val="21"/>
              </w:rPr>
              <w:t>达到国家办学水平要求</w:t>
            </w:r>
          </w:p>
        </w:tc>
      </w:tr>
      <w:tr w14:paraId="0BD2AB84">
        <w:tblPrEx>
          <w:tblCellMar>
            <w:top w:w="0" w:type="dxa"/>
            <w:left w:w="108" w:type="dxa"/>
            <w:bottom w:w="0" w:type="dxa"/>
            <w:right w:w="108" w:type="dxa"/>
          </w:tblCellMar>
        </w:tblPrEx>
        <w:trPr>
          <w:gridAfter w:val="1"/>
          <w:wAfter w:w="234" w:type="dxa"/>
          <w:trHeight w:val="363" w:hRule="atLeast"/>
        </w:trPr>
        <w:tc>
          <w:tcPr>
            <w:tcW w:w="1977" w:type="dxa"/>
            <w:vMerge w:val="continue"/>
            <w:tcBorders>
              <w:left w:val="single" w:color="000000" w:sz="4" w:space="0"/>
              <w:right w:val="single" w:color="000000" w:sz="4" w:space="0"/>
            </w:tcBorders>
            <w:vAlign w:val="center"/>
          </w:tcPr>
          <w:p w14:paraId="6167E20B">
            <w:pPr>
              <w:spacing w:line="320" w:lineRule="exact"/>
              <w:jc w:val="center"/>
              <w:rPr>
                <w:rFonts w:ascii="宋体" w:hAnsi="宋体" w:cs="宋体"/>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40AE9E71">
            <w:pPr>
              <w:widowControl/>
              <w:spacing w:line="320" w:lineRule="exact"/>
              <w:jc w:val="center"/>
              <w:textAlignment w:val="bottom"/>
              <w:rPr>
                <w:rFonts w:hint="eastAsia" w:ascii="宋体" w:hAnsi="宋体" w:eastAsia="宋体" w:cs="宋体"/>
                <w:kern w:val="0"/>
                <w:sz w:val="28"/>
                <w:szCs w:val="28"/>
                <w:lang w:eastAsia="zh-CN"/>
              </w:rPr>
            </w:pPr>
            <w:r>
              <w:rPr>
                <w:rFonts w:hint="eastAsia" w:ascii="宋体" w:hAnsi="宋体" w:cs="宋体"/>
                <w:kern w:val="0"/>
                <w:sz w:val="28"/>
                <w:szCs w:val="28"/>
              </w:rPr>
              <w:t>效益</w:t>
            </w:r>
          </w:p>
          <w:p w14:paraId="5B02286F">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00AD4974">
            <w:pPr>
              <w:widowControl/>
              <w:spacing w:line="320" w:lineRule="exact"/>
              <w:jc w:val="center"/>
              <w:textAlignment w:val="bottom"/>
              <w:rPr>
                <w:rFonts w:ascii="宋体" w:hAnsi="宋体" w:cs="宋体"/>
                <w:szCs w:val="21"/>
              </w:rPr>
            </w:pPr>
            <w:r>
              <w:rPr>
                <w:rFonts w:hint="eastAsia" w:ascii="宋体" w:hAnsi="宋体" w:cs="宋体"/>
                <w:kern w:val="0"/>
                <w:szCs w:val="21"/>
              </w:rPr>
              <w:t>经济效益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23F5A243">
            <w:pPr>
              <w:widowControl/>
              <w:spacing w:line="320" w:lineRule="exact"/>
              <w:jc w:val="center"/>
              <w:textAlignment w:val="bottom"/>
              <w:rPr>
                <w:rFonts w:ascii="宋体" w:hAnsi="宋体" w:cs="宋体"/>
                <w:szCs w:val="21"/>
              </w:rPr>
            </w:pPr>
          </w:p>
        </w:tc>
        <w:tc>
          <w:tcPr>
            <w:tcW w:w="1224" w:type="dxa"/>
            <w:tcBorders>
              <w:top w:val="single" w:color="000000" w:sz="4" w:space="0"/>
              <w:left w:val="single" w:color="000000" w:sz="4" w:space="0"/>
              <w:bottom w:val="single" w:color="000000" w:sz="4" w:space="0"/>
              <w:right w:val="single" w:color="000000" w:sz="4" w:space="0"/>
            </w:tcBorders>
            <w:vAlign w:val="bottom"/>
          </w:tcPr>
          <w:p w14:paraId="669862D6">
            <w:pPr>
              <w:jc w:val="center"/>
              <w:rPr>
                <w:rFonts w:ascii="宋体" w:hAnsi="宋体" w:cs="宋体"/>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14:paraId="768ED64D">
            <w:pPr>
              <w:widowControl/>
              <w:spacing w:line="320" w:lineRule="exact"/>
              <w:jc w:val="center"/>
              <w:textAlignment w:val="bottom"/>
              <w:rPr>
                <w:rFonts w:ascii="宋体" w:hAnsi="宋体" w:cs="宋体"/>
                <w:sz w:val="28"/>
                <w:szCs w:val="28"/>
              </w:rPr>
            </w:pPr>
          </w:p>
        </w:tc>
      </w:tr>
      <w:tr w14:paraId="1F7C2CE8">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14:paraId="6E101465">
            <w:pPr>
              <w:spacing w:line="320" w:lineRule="exact"/>
              <w:jc w:val="center"/>
              <w:rPr>
                <w:rFonts w:ascii="宋体" w:hAnsi="宋体" w:cs="宋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6D771479">
            <w:pPr>
              <w:spacing w:line="320" w:lineRule="exact"/>
              <w:jc w:val="center"/>
              <w:rPr>
                <w:rFonts w:ascii="宋体" w:hAnsi="宋体" w:cs="宋体"/>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3D22557">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71BE2C91">
            <w:pPr>
              <w:widowControl/>
              <w:spacing w:line="320" w:lineRule="exact"/>
              <w:jc w:val="center"/>
              <w:textAlignment w:val="bottom"/>
              <w:rPr>
                <w:rFonts w:ascii="宋体" w:hAnsi="宋体" w:cs="宋体"/>
                <w:szCs w:val="21"/>
              </w:rPr>
            </w:pPr>
            <w:r>
              <w:rPr>
                <w:rFonts w:hint="eastAsia" w:ascii="宋体" w:hAnsi="宋体" w:cs="宋体"/>
                <w:kern w:val="0"/>
                <w:szCs w:val="21"/>
              </w:rPr>
              <w:t>社会效益  指标</w:t>
            </w:r>
          </w:p>
        </w:tc>
        <w:tc>
          <w:tcPr>
            <w:tcW w:w="1224" w:type="dxa"/>
            <w:tcBorders>
              <w:top w:val="single" w:color="000000" w:sz="4" w:space="0"/>
              <w:left w:val="single" w:color="000000" w:sz="4" w:space="0"/>
              <w:bottom w:val="single" w:color="000000" w:sz="4" w:space="0"/>
              <w:right w:val="single" w:color="000000" w:sz="4" w:space="0"/>
            </w:tcBorders>
          </w:tcPr>
          <w:p w14:paraId="10B53E94">
            <w:pPr>
              <w:widowControl/>
              <w:spacing w:line="320" w:lineRule="exact"/>
              <w:textAlignment w:val="bottom"/>
              <w:rPr>
                <w:rFonts w:ascii="宋体" w:hAnsi="宋体" w:cs="宋体"/>
                <w:szCs w:val="21"/>
              </w:rPr>
            </w:pPr>
            <w:r>
              <w:rPr>
                <w:rFonts w:hint="eastAsia" w:ascii="宋体" w:hAnsi="宋体" w:cs="宋体"/>
                <w:color w:val="000000"/>
                <w:szCs w:val="21"/>
              </w:rPr>
              <w:t>提高幼儿园在当地的知名度</w:t>
            </w:r>
          </w:p>
        </w:tc>
        <w:tc>
          <w:tcPr>
            <w:tcW w:w="2410" w:type="dxa"/>
            <w:tcBorders>
              <w:top w:val="single" w:color="000000" w:sz="4" w:space="0"/>
              <w:left w:val="single" w:color="000000" w:sz="4" w:space="0"/>
              <w:bottom w:val="single" w:color="000000" w:sz="4" w:space="0"/>
              <w:right w:val="single" w:color="000000" w:sz="4" w:space="0"/>
            </w:tcBorders>
          </w:tcPr>
          <w:p w14:paraId="025116C4">
            <w:pPr>
              <w:widowControl/>
              <w:spacing w:line="320" w:lineRule="exact"/>
              <w:textAlignment w:val="bottom"/>
              <w:rPr>
                <w:rFonts w:ascii="宋体" w:hAnsi="宋体" w:cs="宋体"/>
                <w:szCs w:val="21"/>
              </w:rPr>
            </w:pPr>
            <w:r>
              <w:rPr>
                <w:rFonts w:hint="eastAsia" w:ascii="宋体" w:hAnsi="宋体" w:cs="宋体"/>
                <w:szCs w:val="21"/>
              </w:rPr>
              <w:t>确保幼儿园教育教学正常运行、提高育人环境，让家长乐于把自己孩子送到总发乡中心幼儿园，为九年义务教育输送合格的学生</w:t>
            </w:r>
          </w:p>
        </w:tc>
      </w:tr>
      <w:tr w14:paraId="3D412472">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14:paraId="23BBEC7D">
            <w:pPr>
              <w:spacing w:line="320" w:lineRule="exact"/>
              <w:jc w:val="center"/>
              <w:rPr>
                <w:rFonts w:ascii="宋体" w:hAnsi="宋体" w:cs="宋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14:paraId="0BE80547">
            <w:pPr>
              <w:spacing w:line="320" w:lineRule="exact"/>
              <w:jc w:val="center"/>
              <w:rPr>
                <w:rFonts w:ascii="宋体" w:hAnsi="宋体" w:cs="宋体"/>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DA66D5D">
            <w:pPr>
              <w:widowControl/>
              <w:spacing w:line="320" w:lineRule="exact"/>
              <w:ind w:left="463" w:leftChars="87" w:hanging="280" w:hangingChars="100"/>
              <w:jc w:val="left"/>
              <w:textAlignment w:val="bottom"/>
              <w:rPr>
                <w:rFonts w:ascii="宋体" w:hAnsi="宋体" w:cs="宋体"/>
                <w:sz w:val="28"/>
                <w:szCs w:val="28"/>
              </w:rPr>
            </w:pPr>
            <w:r>
              <w:rPr>
                <w:rFonts w:hint="eastAsia" w:ascii="宋体" w:hAnsi="宋体" w:cs="宋体"/>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33601B47">
            <w:pPr>
              <w:widowControl/>
              <w:spacing w:line="320" w:lineRule="exact"/>
              <w:jc w:val="center"/>
              <w:textAlignment w:val="bottom"/>
              <w:rPr>
                <w:rFonts w:ascii="宋体" w:hAnsi="宋体" w:cs="宋体"/>
                <w:szCs w:val="21"/>
              </w:rPr>
            </w:pPr>
          </w:p>
        </w:tc>
        <w:tc>
          <w:tcPr>
            <w:tcW w:w="1224" w:type="dxa"/>
            <w:tcBorders>
              <w:top w:val="single" w:color="000000" w:sz="4" w:space="0"/>
              <w:left w:val="single" w:color="000000" w:sz="4" w:space="0"/>
              <w:bottom w:val="single" w:color="000000" w:sz="4" w:space="0"/>
              <w:right w:val="single" w:color="000000" w:sz="4" w:space="0"/>
            </w:tcBorders>
            <w:vAlign w:val="bottom"/>
          </w:tcPr>
          <w:p w14:paraId="65953BCB">
            <w:pPr>
              <w:jc w:val="center"/>
              <w:rPr>
                <w:rFonts w:ascii="宋体" w:hAnsi="宋体" w:cs="宋体"/>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bottom"/>
          </w:tcPr>
          <w:p w14:paraId="5D61DFA6">
            <w:pPr>
              <w:widowControl/>
              <w:spacing w:line="320" w:lineRule="exact"/>
              <w:jc w:val="center"/>
              <w:textAlignment w:val="bottom"/>
              <w:rPr>
                <w:rFonts w:ascii="宋体" w:hAnsi="宋体" w:cs="宋体"/>
                <w:sz w:val="28"/>
                <w:szCs w:val="28"/>
              </w:rPr>
            </w:pPr>
          </w:p>
        </w:tc>
      </w:tr>
      <w:tr w14:paraId="58D415F7">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14:paraId="17EDFDF5">
            <w:pPr>
              <w:spacing w:line="320" w:lineRule="exact"/>
              <w:jc w:val="center"/>
              <w:rPr>
                <w:rFonts w:ascii="宋体" w:hAnsi="宋体" w:cs="宋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14:paraId="0534B619">
            <w:pPr>
              <w:spacing w:line="320" w:lineRule="exact"/>
              <w:jc w:val="center"/>
              <w:rPr>
                <w:rFonts w:ascii="宋体" w:hAnsi="宋体" w:cs="宋体"/>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FFEC463">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6A04C864">
            <w:pPr>
              <w:widowControl/>
              <w:spacing w:line="320" w:lineRule="exact"/>
              <w:jc w:val="center"/>
              <w:textAlignment w:val="bottom"/>
              <w:rPr>
                <w:rFonts w:ascii="宋体" w:hAnsi="宋体" w:cs="宋体"/>
                <w:szCs w:val="21"/>
              </w:rPr>
            </w:pPr>
            <w:r>
              <w:rPr>
                <w:rFonts w:hint="eastAsia" w:ascii="宋体" w:hAnsi="宋体" w:cs="宋体"/>
                <w:kern w:val="0"/>
                <w:szCs w:val="21"/>
              </w:rPr>
              <w:t>可持续影响 指标</w:t>
            </w:r>
          </w:p>
        </w:tc>
        <w:tc>
          <w:tcPr>
            <w:tcW w:w="1224" w:type="dxa"/>
            <w:tcBorders>
              <w:top w:val="single" w:color="000000" w:sz="4" w:space="0"/>
              <w:left w:val="single" w:color="000000" w:sz="4" w:space="0"/>
              <w:bottom w:val="single" w:color="000000" w:sz="4" w:space="0"/>
              <w:right w:val="single" w:color="000000" w:sz="4" w:space="0"/>
            </w:tcBorders>
          </w:tcPr>
          <w:p w14:paraId="283CD0FD">
            <w:pPr>
              <w:widowControl/>
              <w:spacing w:line="320" w:lineRule="exact"/>
              <w:textAlignment w:val="bottom"/>
              <w:rPr>
                <w:rFonts w:ascii="宋体" w:hAnsi="宋体" w:cs="宋体"/>
                <w:szCs w:val="21"/>
              </w:rPr>
            </w:pPr>
            <w:r>
              <w:rPr>
                <w:rFonts w:hint="eastAsia" w:ascii="宋体" w:hAnsi="宋体" w:cs="宋体"/>
                <w:szCs w:val="21"/>
              </w:rPr>
              <w:t>全面推进幼儿园工作，为幼儿今后一生的发展奠定基础</w:t>
            </w:r>
          </w:p>
        </w:tc>
        <w:tc>
          <w:tcPr>
            <w:tcW w:w="2410" w:type="dxa"/>
            <w:tcBorders>
              <w:top w:val="single" w:color="000000" w:sz="4" w:space="0"/>
              <w:left w:val="single" w:color="000000" w:sz="4" w:space="0"/>
              <w:bottom w:val="single" w:color="000000" w:sz="4" w:space="0"/>
              <w:right w:val="single" w:color="000000" w:sz="4" w:space="0"/>
            </w:tcBorders>
          </w:tcPr>
          <w:p w14:paraId="3942A7A7">
            <w:pPr>
              <w:rPr>
                <w:rFonts w:ascii="宋体" w:hAnsi="宋体" w:cs="宋体"/>
                <w:szCs w:val="21"/>
              </w:rPr>
            </w:pPr>
            <w:r>
              <w:rPr>
                <w:rFonts w:hint="eastAsia" w:ascii="宋体" w:hAnsi="宋体" w:cs="宋体"/>
                <w:szCs w:val="21"/>
              </w:rPr>
              <w:t>保证幼儿园中的幼儿快乐成长</w:t>
            </w:r>
          </w:p>
          <w:p w14:paraId="3C1A30D0">
            <w:pPr>
              <w:widowControl/>
              <w:spacing w:line="320" w:lineRule="exact"/>
              <w:textAlignment w:val="bottom"/>
              <w:rPr>
                <w:rFonts w:ascii="宋体" w:hAnsi="宋体" w:cs="宋体"/>
                <w:szCs w:val="21"/>
              </w:rPr>
            </w:pPr>
          </w:p>
        </w:tc>
      </w:tr>
      <w:tr w14:paraId="59B5F5A7">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14:paraId="4D850900">
            <w:pPr>
              <w:spacing w:line="320" w:lineRule="exact"/>
              <w:jc w:val="center"/>
              <w:rPr>
                <w:rFonts w:ascii="宋体" w:hAnsi="宋体" w:cs="宋体"/>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0E41FFBE">
            <w:pPr>
              <w:widowControl/>
              <w:spacing w:line="320" w:lineRule="exact"/>
              <w:jc w:val="center"/>
              <w:textAlignment w:val="bottom"/>
              <w:rPr>
                <w:rFonts w:hint="eastAsia" w:ascii="宋体" w:hAnsi="宋体" w:eastAsia="宋体" w:cs="宋体"/>
                <w:kern w:val="0"/>
                <w:sz w:val="28"/>
                <w:szCs w:val="28"/>
                <w:lang w:eastAsia="zh-CN"/>
              </w:rPr>
            </w:pPr>
            <w:r>
              <w:rPr>
                <w:rFonts w:hint="eastAsia" w:ascii="宋体" w:hAnsi="宋体" w:cs="宋体"/>
                <w:kern w:val="0"/>
                <w:sz w:val="28"/>
                <w:szCs w:val="28"/>
              </w:rPr>
              <w:t>满意</w:t>
            </w:r>
          </w:p>
          <w:p w14:paraId="02FD992E">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14:paraId="45CE1F6E">
            <w:pPr>
              <w:widowControl/>
              <w:spacing w:line="320" w:lineRule="exact"/>
              <w:jc w:val="center"/>
              <w:textAlignment w:val="bottom"/>
              <w:rPr>
                <w:rFonts w:ascii="宋体" w:hAnsi="宋体" w:cs="宋体"/>
                <w:kern w:val="0"/>
                <w:sz w:val="28"/>
                <w:szCs w:val="28"/>
              </w:rPr>
            </w:pPr>
            <w:r>
              <w:rPr>
                <w:rFonts w:hint="eastAsia" w:ascii="宋体" w:hAnsi="宋体" w:cs="宋体"/>
                <w:kern w:val="0"/>
                <w:sz w:val="28"/>
                <w:szCs w:val="28"/>
              </w:rPr>
              <w:t>满意度</w:t>
            </w:r>
          </w:p>
          <w:p w14:paraId="797C2107">
            <w:pPr>
              <w:widowControl/>
              <w:spacing w:line="320" w:lineRule="exact"/>
              <w:jc w:val="center"/>
              <w:textAlignment w:val="bottom"/>
              <w:rPr>
                <w:rFonts w:ascii="宋体" w:hAnsi="宋体" w:cs="宋体"/>
                <w:sz w:val="28"/>
                <w:szCs w:val="28"/>
              </w:rPr>
            </w:pPr>
            <w:r>
              <w:rPr>
                <w:rFonts w:hint="eastAsia" w:ascii="宋体" w:hAnsi="宋体" w:cs="宋体"/>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14:paraId="74A43FA4">
            <w:pPr>
              <w:widowControl/>
              <w:spacing w:line="320" w:lineRule="exact"/>
              <w:jc w:val="center"/>
              <w:textAlignment w:val="bottom"/>
              <w:rPr>
                <w:rFonts w:ascii="宋体" w:hAnsi="宋体" w:cs="宋体"/>
                <w:kern w:val="0"/>
                <w:szCs w:val="21"/>
              </w:rPr>
            </w:pPr>
            <w:r>
              <w:rPr>
                <w:rFonts w:hint="eastAsia" w:ascii="宋体" w:hAnsi="宋体" w:cs="宋体"/>
                <w:kern w:val="0"/>
                <w:szCs w:val="21"/>
              </w:rPr>
              <w:t>满意度</w:t>
            </w:r>
          </w:p>
          <w:p w14:paraId="274E81C8">
            <w:pPr>
              <w:widowControl/>
              <w:spacing w:line="320" w:lineRule="exact"/>
              <w:jc w:val="center"/>
              <w:textAlignment w:val="bottom"/>
              <w:rPr>
                <w:rFonts w:ascii="宋体" w:hAnsi="宋体" w:cs="宋体"/>
                <w:szCs w:val="21"/>
              </w:rPr>
            </w:pPr>
            <w:r>
              <w:rPr>
                <w:rFonts w:hint="eastAsia" w:ascii="宋体" w:hAnsi="宋体" w:cs="宋体"/>
                <w:kern w:val="0"/>
                <w:szCs w:val="21"/>
              </w:rPr>
              <w:t>指标</w:t>
            </w:r>
          </w:p>
        </w:tc>
        <w:tc>
          <w:tcPr>
            <w:tcW w:w="1224" w:type="dxa"/>
            <w:tcBorders>
              <w:top w:val="single" w:color="000000" w:sz="4" w:space="0"/>
              <w:left w:val="single" w:color="000000" w:sz="4" w:space="0"/>
              <w:bottom w:val="single" w:color="000000" w:sz="4" w:space="0"/>
              <w:right w:val="single" w:color="000000" w:sz="4" w:space="0"/>
            </w:tcBorders>
            <w:vAlign w:val="bottom"/>
          </w:tcPr>
          <w:p w14:paraId="6380CB9F">
            <w:pPr>
              <w:jc w:val="center"/>
              <w:rPr>
                <w:rFonts w:ascii="宋体" w:hAnsi="宋体" w:cs="宋体"/>
                <w:szCs w:val="21"/>
              </w:rPr>
            </w:pPr>
            <w:r>
              <w:rPr>
                <w:rFonts w:hint="eastAsia" w:ascii="宋体" w:hAnsi="宋体" w:cs="宋体"/>
                <w:szCs w:val="21"/>
              </w:rPr>
              <w:t>学生、家长、社会满意度≥96%；项目主管部门满意度≥90%</w:t>
            </w:r>
          </w:p>
          <w:p w14:paraId="708A54A1">
            <w:pPr>
              <w:widowControl/>
              <w:spacing w:line="320" w:lineRule="exact"/>
              <w:jc w:val="center"/>
              <w:textAlignment w:val="bottom"/>
              <w:rPr>
                <w:rFonts w:ascii="宋体" w:hAnsi="宋体" w:cs="宋体"/>
                <w:sz w:val="28"/>
                <w:szCs w:val="28"/>
              </w:rPr>
            </w:pPr>
          </w:p>
        </w:tc>
        <w:tc>
          <w:tcPr>
            <w:tcW w:w="2410" w:type="dxa"/>
            <w:tcBorders>
              <w:top w:val="single" w:color="000000" w:sz="4" w:space="0"/>
              <w:left w:val="single" w:color="000000" w:sz="4" w:space="0"/>
              <w:bottom w:val="single" w:color="000000" w:sz="4" w:space="0"/>
              <w:right w:val="single" w:color="000000" w:sz="4" w:space="0"/>
            </w:tcBorders>
          </w:tcPr>
          <w:p w14:paraId="726B0375">
            <w:pPr>
              <w:rPr>
                <w:rFonts w:ascii="宋体" w:hAnsi="宋体" w:cs="宋体"/>
                <w:szCs w:val="21"/>
              </w:rPr>
            </w:pPr>
            <w:r>
              <w:rPr>
                <w:rFonts w:hint="eastAsia" w:ascii="宋体" w:hAnsi="宋体" w:cs="宋体"/>
                <w:szCs w:val="21"/>
              </w:rPr>
              <w:t>学生、家长、社会满意度≥96%；项目主管部门满意度≥90%</w:t>
            </w:r>
          </w:p>
          <w:p w14:paraId="49400214">
            <w:pPr>
              <w:rPr>
                <w:rFonts w:ascii="宋体" w:hAnsi="宋体" w:cs="宋体"/>
                <w:sz w:val="28"/>
                <w:szCs w:val="28"/>
              </w:rPr>
            </w:pPr>
          </w:p>
        </w:tc>
      </w:tr>
    </w:tbl>
    <w:p w14:paraId="729EFD82">
      <w:pPr>
        <w:spacing w:line="580" w:lineRule="exact"/>
        <w:jc w:val="center"/>
        <w:rPr>
          <w:rFonts w:ascii="宋体" w:hAnsi="宋体" w:cs="宋体"/>
          <w:sz w:val="44"/>
          <w:szCs w:val="44"/>
        </w:rPr>
      </w:pPr>
    </w:p>
    <w:p w14:paraId="727135A2">
      <w:pPr>
        <w:rPr>
          <w:rFonts w:ascii="宋体" w:hAnsi="宋体" w:cs="宋体"/>
          <w:color w:val="FF0000"/>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960"/>
      </w:tblGrid>
      <w:tr w14:paraId="0BAB0241">
        <w:tblPrEx>
          <w:tblCellMar>
            <w:top w:w="0" w:type="dxa"/>
            <w:left w:w="0" w:type="dxa"/>
            <w:bottom w:w="0" w:type="dxa"/>
            <w:right w:w="0" w:type="dxa"/>
          </w:tblCellMar>
        </w:tblPrEx>
        <w:trPr>
          <w:trHeight w:val="1034" w:hRule="atLeast"/>
        </w:trPr>
        <w:tc>
          <w:tcPr>
            <w:tcW w:w="9960" w:type="dxa"/>
            <w:tcMar>
              <w:top w:w="15" w:type="dxa"/>
              <w:left w:w="15" w:type="dxa"/>
              <w:bottom w:w="0" w:type="dxa"/>
              <w:right w:w="15" w:type="dxa"/>
            </w:tcMar>
            <w:vAlign w:val="center"/>
          </w:tcPr>
          <w:p w14:paraId="2C15D12C">
            <w:pPr>
              <w:pStyle w:val="32"/>
              <w:widowControl/>
              <w:ind w:left="4015" w:leftChars="1310" w:hanging="1264" w:hangingChars="395"/>
              <w:textAlignment w:val="center"/>
              <w:rPr>
                <w:rFonts w:ascii="宋体" w:hAnsi="宋体" w:cs="宋体"/>
                <w:bCs/>
                <w:color w:val="FF0000"/>
                <w:kern w:val="0"/>
                <w:sz w:val="32"/>
                <w:szCs w:val="32"/>
              </w:rPr>
            </w:pPr>
          </w:p>
          <w:p w14:paraId="653E92DB">
            <w:pPr>
              <w:pStyle w:val="32"/>
              <w:widowControl/>
              <w:ind w:left="4015" w:leftChars="1310" w:hanging="1264" w:hangingChars="395"/>
              <w:textAlignment w:val="center"/>
              <w:rPr>
                <w:rFonts w:ascii="宋体" w:hAnsi="宋体" w:cs="宋体"/>
                <w:bCs/>
                <w:color w:val="FF0000"/>
                <w:kern w:val="0"/>
                <w:sz w:val="32"/>
                <w:szCs w:val="32"/>
              </w:rPr>
            </w:pPr>
          </w:p>
          <w:p w14:paraId="316C3540">
            <w:pPr>
              <w:pStyle w:val="32"/>
              <w:widowControl/>
              <w:ind w:left="4015" w:leftChars="1310" w:hanging="1264" w:hangingChars="395"/>
              <w:textAlignment w:val="center"/>
              <w:rPr>
                <w:rFonts w:ascii="宋体" w:hAnsi="宋体" w:cs="宋体"/>
                <w:bCs/>
                <w:color w:val="FF0000"/>
                <w:kern w:val="0"/>
                <w:sz w:val="32"/>
                <w:szCs w:val="32"/>
              </w:rPr>
            </w:pPr>
          </w:p>
          <w:p w14:paraId="24108654">
            <w:pPr>
              <w:pStyle w:val="32"/>
              <w:widowControl/>
              <w:ind w:left="4015" w:leftChars="1310" w:hanging="1264" w:hangingChars="395"/>
              <w:textAlignment w:val="center"/>
              <w:rPr>
                <w:rFonts w:ascii="宋体" w:hAnsi="宋体" w:cs="宋体"/>
                <w:color w:val="FF0000"/>
                <w:sz w:val="32"/>
                <w:szCs w:val="32"/>
              </w:rPr>
            </w:pPr>
          </w:p>
        </w:tc>
      </w:tr>
    </w:tbl>
    <w:p w14:paraId="072B2D52">
      <w:pPr>
        <w:widowControl/>
        <w:jc w:val="left"/>
        <w:rPr>
          <w:rStyle w:val="26"/>
          <w:rFonts w:ascii="宋体" w:hAnsi="宋体" w:cs="宋体"/>
          <w:b w:val="0"/>
        </w:rPr>
      </w:pPr>
    </w:p>
    <w:p w14:paraId="0AD778F0">
      <w:pPr>
        <w:widowControl/>
        <w:jc w:val="left"/>
        <w:rPr>
          <w:rStyle w:val="26"/>
          <w:rFonts w:ascii="宋体" w:hAnsi="宋体" w:cs="宋体"/>
          <w:b w:val="0"/>
        </w:rPr>
      </w:pPr>
    </w:p>
    <w:p w14:paraId="222C8DBA">
      <w:pPr>
        <w:widowControl/>
        <w:jc w:val="left"/>
        <w:rPr>
          <w:rStyle w:val="26"/>
          <w:rFonts w:ascii="宋体" w:hAnsi="宋体" w:cs="宋体"/>
          <w:b w:val="0"/>
        </w:rPr>
      </w:pPr>
    </w:p>
    <w:p w14:paraId="46AF4705">
      <w:pPr>
        <w:adjustRightInd w:val="0"/>
        <w:snapToGrid w:val="0"/>
        <w:spacing w:line="600" w:lineRule="exact"/>
        <w:ind w:firstLine="720"/>
        <w:rPr>
          <w:rFonts w:ascii="宋体" w:hAnsi="宋体" w:cs="宋体"/>
          <w:b/>
          <w:sz w:val="32"/>
          <w:szCs w:val="32"/>
          <w:lang w:val="zh-CN"/>
        </w:rPr>
      </w:pPr>
    </w:p>
    <w:p w14:paraId="0AC42744">
      <w:pPr>
        <w:widowControl/>
        <w:jc w:val="left"/>
        <w:rPr>
          <w:rStyle w:val="26"/>
          <w:rFonts w:ascii="宋体" w:hAnsi="宋体" w:cs="宋体"/>
          <w:b w:val="0"/>
          <w:sz w:val="32"/>
          <w:szCs w:val="32"/>
        </w:rPr>
      </w:pPr>
      <w:r>
        <w:rPr>
          <w:rFonts w:hint="eastAsia" w:ascii="宋体" w:hAnsi="宋体" w:cs="宋体"/>
          <w:color w:val="000000"/>
          <w:sz w:val="32"/>
          <w:szCs w:val="32"/>
        </w:rPr>
        <w:t>第</w:t>
      </w:r>
      <w:r>
        <w:rPr>
          <w:rStyle w:val="26"/>
          <w:rFonts w:hint="eastAsia" w:ascii="宋体" w:hAnsi="宋体" w:cs="宋体"/>
          <w:b w:val="0"/>
          <w:sz w:val="32"/>
          <w:szCs w:val="32"/>
        </w:rPr>
        <w:t>五部分 附表</w:t>
      </w:r>
    </w:p>
    <w:p w14:paraId="480AB193">
      <w:pPr>
        <w:pStyle w:val="5"/>
        <w:rPr>
          <w:rFonts w:ascii="宋体" w:hAnsi="宋体" w:eastAsia="宋体" w:cs="宋体"/>
          <w:color w:val="000000"/>
        </w:rPr>
      </w:pPr>
      <w:r>
        <w:rPr>
          <w:rFonts w:hint="eastAsia" w:ascii="宋体" w:hAnsi="宋体" w:eastAsia="宋体" w:cs="宋体"/>
          <w:b w:val="0"/>
          <w:color w:val="000000"/>
        </w:rPr>
        <w:t>一、收</w:t>
      </w:r>
      <w:r>
        <w:rPr>
          <w:rStyle w:val="27"/>
          <w:rFonts w:hint="eastAsia" w:ascii="宋体" w:hAnsi="宋体" w:eastAsia="宋体" w:cs="宋体"/>
          <w:b w:val="0"/>
          <w:bCs w:val="0"/>
        </w:rPr>
        <w:t>入支出决算总表</w:t>
      </w:r>
    </w:p>
    <w:p w14:paraId="1A59DC53">
      <w:pPr>
        <w:pStyle w:val="5"/>
        <w:rPr>
          <w:rFonts w:ascii="宋体" w:hAnsi="宋体" w:eastAsia="宋体" w:cs="宋体"/>
          <w:color w:val="000000"/>
        </w:rPr>
      </w:pPr>
      <w:r>
        <w:rPr>
          <w:rFonts w:hint="eastAsia" w:ascii="宋体" w:hAnsi="宋体" w:eastAsia="宋体" w:cs="宋体"/>
          <w:b w:val="0"/>
          <w:color w:val="000000"/>
        </w:rPr>
        <w:t>二、收</w:t>
      </w:r>
      <w:r>
        <w:rPr>
          <w:rStyle w:val="27"/>
          <w:rFonts w:hint="eastAsia" w:ascii="宋体" w:hAnsi="宋体" w:eastAsia="宋体" w:cs="宋体"/>
          <w:b w:val="0"/>
          <w:bCs w:val="0"/>
        </w:rPr>
        <w:t>入决算表</w:t>
      </w:r>
    </w:p>
    <w:p w14:paraId="77B5DCDE">
      <w:pPr>
        <w:pStyle w:val="5"/>
        <w:rPr>
          <w:rFonts w:ascii="宋体" w:hAnsi="宋体" w:eastAsia="宋体" w:cs="宋体"/>
          <w:color w:val="000000"/>
        </w:rPr>
      </w:pPr>
      <w:r>
        <w:rPr>
          <w:rStyle w:val="27"/>
          <w:rFonts w:hint="eastAsia" w:ascii="宋体" w:hAnsi="宋体" w:eastAsia="宋体" w:cs="宋体"/>
          <w:b w:val="0"/>
          <w:bCs w:val="0"/>
        </w:rPr>
        <w:t>三、</w:t>
      </w:r>
      <w:r>
        <w:rPr>
          <w:rFonts w:hint="eastAsia" w:ascii="宋体" w:hAnsi="宋体" w:eastAsia="宋体" w:cs="宋体"/>
          <w:b w:val="0"/>
          <w:color w:val="000000"/>
        </w:rPr>
        <w:t>支</w:t>
      </w:r>
      <w:r>
        <w:rPr>
          <w:rStyle w:val="27"/>
          <w:rFonts w:hint="eastAsia" w:ascii="宋体" w:hAnsi="宋体" w:eastAsia="宋体" w:cs="宋体"/>
          <w:b w:val="0"/>
          <w:bCs w:val="0"/>
        </w:rPr>
        <w:t>出决算表</w:t>
      </w:r>
    </w:p>
    <w:p w14:paraId="7D3C2391">
      <w:pPr>
        <w:pStyle w:val="5"/>
        <w:rPr>
          <w:rFonts w:ascii="宋体" w:hAnsi="宋体" w:eastAsia="宋体" w:cs="宋体"/>
          <w:b w:val="0"/>
          <w:color w:val="000000"/>
        </w:rPr>
      </w:pPr>
      <w:r>
        <w:rPr>
          <w:rStyle w:val="27"/>
          <w:rFonts w:hint="eastAsia" w:ascii="宋体" w:hAnsi="宋体" w:eastAsia="宋体" w:cs="宋体"/>
          <w:b w:val="0"/>
          <w:bCs w:val="0"/>
        </w:rPr>
        <w:t>四、</w:t>
      </w:r>
      <w:r>
        <w:rPr>
          <w:rFonts w:hint="eastAsia" w:ascii="宋体" w:hAnsi="宋体" w:eastAsia="宋体" w:cs="宋体"/>
          <w:b w:val="0"/>
          <w:color w:val="000000"/>
        </w:rPr>
        <w:t>财</w:t>
      </w:r>
      <w:r>
        <w:rPr>
          <w:rStyle w:val="27"/>
          <w:rFonts w:hint="eastAsia" w:ascii="宋体" w:hAnsi="宋体" w:eastAsia="宋体" w:cs="宋体"/>
          <w:b w:val="0"/>
          <w:bCs w:val="0"/>
        </w:rPr>
        <w:t>政拨款收入支出决算总表</w:t>
      </w:r>
    </w:p>
    <w:p w14:paraId="2326C96C">
      <w:pPr>
        <w:pStyle w:val="5"/>
        <w:rPr>
          <w:rStyle w:val="27"/>
          <w:rFonts w:ascii="宋体" w:hAnsi="宋体" w:eastAsia="宋体" w:cs="宋体"/>
          <w:b w:val="0"/>
          <w:bCs w:val="0"/>
        </w:rPr>
      </w:pPr>
      <w:r>
        <w:rPr>
          <w:rStyle w:val="27"/>
          <w:rFonts w:hint="eastAsia" w:ascii="宋体" w:hAnsi="宋体" w:eastAsia="宋体" w:cs="宋体"/>
          <w:b w:val="0"/>
          <w:bCs w:val="0"/>
        </w:rPr>
        <w:t>五、</w:t>
      </w:r>
      <w:r>
        <w:rPr>
          <w:rFonts w:hint="eastAsia" w:ascii="宋体" w:hAnsi="宋体" w:eastAsia="宋体" w:cs="宋体"/>
          <w:b w:val="0"/>
          <w:color w:val="000000"/>
        </w:rPr>
        <w:t>财</w:t>
      </w:r>
      <w:r>
        <w:rPr>
          <w:rStyle w:val="27"/>
          <w:rFonts w:hint="eastAsia" w:ascii="宋体" w:hAnsi="宋体" w:eastAsia="宋体" w:cs="宋体"/>
          <w:b w:val="0"/>
          <w:bCs w:val="0"/>
        </w:rPr>
        <w:t>政拨款支出决算明细表</w:t>
      </w:r>
    </w:p>
    <w:p w14:paraId="1A9DE787">
      <w:pPr>
        <w:pStyle w:val="5"/>
        <w:rPr>
          <w:rFonts w:ascii="宋体" w:hAnsi="宋体" w:eastAsia="宋体" w:cs="宋体"/>
          <w:color w:val="000000"/>
        </w:rPr>
      </w:pPr>
      <w:r>
        <w:rPr>
          <w:rStyle w:val="27"/>
          <w:rFonts w:hint="eastAsia" w:ascii="宋体" w:hAnsi="宋体" w:eastAsia="宋体" w:cs="宋体"/>
          <w:b w:val="0"/>
          <w:bCs w:val="0"/>
        </w:rPr>
        <w:t>六、</w:t>
      </w:r>
      <w:r>
        <w:rPr>
          <w:rFonts w:hint="eastAsia" w:ascii="宋体" w:hAnsi="宋体" w:eastAsia="宋体" w:cs="宋体"/>
          <w:b w:val="0"/>
          <w:color w:val="000000"/>
        </w:rPr>
        <w:t>一</w:t>
      </w:r>
      <w:r>
        <w:rPr>
          <w:rStyle w:val="27"/>
          <w:rFonts w:hint="eastAsia" w:ascii="宋体" w:hAnsi="宋体" w:eastAsia="宋体" w:cs="宋体"/>
          <w:b w:val="0"/>
          <w:bCs w:val="0"/>
        </w:rPr>
        <w:t>般公共预算财政拨款支出决算表</w:t>
      </w:r>
    </w:p>
    <w:p w14:paraId="12A0F59F">
      <w:pPr>
        <w:pStyle w:val="5"/>
        <w:rPr>
          <w:rFonts w:ascii="宋体" w:hAnsi="宋体" w:eastAsia="宋体" w:cs="宋体"/>
          <w:color w:val="000000"/>
        </w:rPr>
      </w:pPr>
      <w:r>
        <w:rPr>
          <w:rStyle w:val="27"/>
          <w:rFonts w:hint="eastAsia" w:ascii="宋体" w:hAnsi="宋体" w:eastAsia="宋体" w:cs="宋体"/>
          <w:b w:val="0"/>
          <w:bCs w:val="0"/>
        </w:rPr>
        <w:t>七、</w:t>
      </w:r>
      <w:r>
        <w:rPr>
          <w:rFonts w:hint="eastAsia" w:ascii="宋体" w:hAnsi="宋体" w:eastAsia="宋体" w:cs="宋体"/>
          <w:b w:val="0"/>
          <w:color w:val="000000"/>
        </w:rPr>
        <w:t>一</w:t>
      </w:r>
      <w:r>
        <w:rPr>
          <w:rStyle w:val="27"/>
          <w:rFonts w:hint="eastAsia" w:ascii="宋体" w:hAnsi="宋体" w:eastAsia="宋体" w:cs="宋体"/>
          <w:b w:val="0"/>
          <w:bCs w:val="0"/>
        </w:rPr>
        <w:t>般公共预算财政拨款支出决算明细表</w:t>
      </w:r>
    </w:p>
    <w:p w14:paraId="69D66DF7">
      <w:pPr>
        <w:pStyle w:val="5"/>
        <w:rPr>
          <w:rFonts w:ascii="宋体" w:hAnsi="宋体" w:eastAsia="宋体" w:cs="宋体"/>
          <w:color w:val="000000"/>
        </w:rPr>
      </w:pPr>
      <w:r>
        <w:rPr>
          <w:rStyle w:val="27"/>
          <w:rFonts w:hint="eastAsia" w:ascii="宋体" w:hAnsi="宋体" w:eastAsia="宋体" w:cs="宋体"/>
          <w:b w:val="0"/>
          <w:bCs w:val="0"/>
        </w:rPr>
        <w:t>八、</w:t>
      </w:r>
      <w:r>
        <w:rPr>
          <w:rFonts w:hint="eastAsia" w:ascii="宋体" w:hAnsi="宋体" w:eastAsia="宋体" w:cs="宋体"/>
          <w:b w:val="0"/>
          <w:color w:val="000000"/>
        </w:rPr>
        <w:t>一</w:t>
      </w:r>
      <w:r>
        <w:rPr>
          <w:rStyle w:val="27"/>
          <w:rFonts w:hint="eastAsia" w:ascii="宋体" w:hAnsi="宋体" w:eastAsia="宋体" w:cs="宋体"/>
          <w:b w:val="0"/>
          <w:bCs w:val="0"/>
        </w:rPr>
        <w:t>般公共预算财政拨款基本支出决算表</w:t>
      </w:r>
    </w:p>
    <w:p w14:paraId="73DFB1C5">
      <w:pPr>
        <w:pStyle w:val="5"/>
        <w:rPr>
          <w:rFonts w:ascii="宋体" w:hAnsi="宋体" w:eastAsia="宋体" w:cs="宋体"/>
          <w:color w:val="000000"/>
        </w:rPr>
      </w:pPr>
      <w:r>
        <w:rPr>
          <w:rStyle w:val="27"/>
          <w:rFonts w:hint="eastAsia" w:ascii="宋体" w:hAnsi="宋体" w:eastAsia="宋体" w:cs="宋体"/>
          <w:b w:val="0"/>
          <w:bCs w:val="0"/>
        </w:rPr>
        <w:t>九、</w:t>
      </w:r>
      <w:r>
        <w:rPr>
          <w:rFonts w:hint="eastAsia" w:ascii="宋体" w:hAnsi="宋体" w:eastAsia="宋体" w:cs="宋体"/>
          <w:b w:val="0"/>
          <w:color w:val="000000"/>
        </w:rPr>
        <w:t>一</w:t>
      </w:r>
      <w:r>
        <w:rPr>
          <w:rStyle w:val="27"/>
          <w:rFonts w:hint="eastAsia" w:ascii="宋体" w:hAnsi="宋体" w:eastAsia="宋体" w:cs="宋体"/>
          <w:b w:val="0"/>
          <w:bCs w:val="0"/>
        </w:rPr>
        <w:t>般公共预算财政拨款项目支出决算表</w:t>
      </w:r>
    </w:p>
    <w:p w14:paraId="5FB48E8D">
      <w:pPr>
        <w:pStyle w:val="5"/>
        <w:rPr>
          <w:rFonts w:ascii="宋体" w:hAnsi="宋体" w:eastAsia="宋体" w:cs="宋体"/>
          <w:color w:val="000000"/>
        </w:rPr>
      </w:pPr>
      <w:r>
        <w:rPr>
          <w:rStyle w:val="27"/>
          <w:rFonts w:hint="eastAsia" w:ascii="宋体" w:hAnsi="宋体" w:eastAsia="宋体" w:cs="宋体"/>
          <w:b w:val="0"/>
          <w:bCs w:val="0"/>
        </w:rPr>
        <w:t>十、</w:t>
      </w:r>
      <w:r>
        <w:rPr>
          <w:rFonts w:hint="eastAsia" w:ascii="宋体" w:hAnsi="宋体" w:eastAsia="宋体" w:cs="宋体"/>
          <w:b w:val="0"/>
          <w:color w:val="000000"/>
        </w:rPr>
        <w:t>一</w:t>
      </w:r>
      <w:r>
        <w:rPr>
          <w:rStyle w:val="27"/>
          <w:rFonts w:hint="eastAsia" w:ascii="宋体" w:hAnsi="宋体" w:eastAsia="宋体" w:cs="宋体"/>
          <w:b w:val="0"/>
          <w:bCs w:val="0"/>
        </w:rPr>
        <w:t>般公共预算财政拨款“三公”经费支出决算表</w:t>
      </w:r>
    </w:p>
    <w:p w14:paraId="3C466AFF">
      <w:pPr>
        <w:pStyle w:val="5"/>
        <w:rPr>
          <w:rFonts w:ascii="宋体" w:hAnsi="宋体" w:eastAsia="宋体" w:cs="宋体"/>
          <w:color w:val="000000"/>
        </w:rPr>
      </w:pPr>
      <w:r>
        <w:rPr>
          <w:rStyle w:val="27"/>
          <w:rFonts w:hint="eastAsia" w:ascii="宋体" w:hAnsi="宋体" w:eastAsia="宋体" w:cs="宋体"/>
          <w:b w:val="0"/>
          <w:bCs w:val="0"/>
        </w:rPr>
        <w:t>十一、</w:t>
      </w:r>
      <w:r>
        <w:rPr>
          <w:rFonts w:hint="eastAsia" w:ascii="宋体" w:hAnsi="宋体" w:eastAsia="宋体" w:cs="宋体"/>
          <w:b w:val="0"/>
          <w:color w:val="000000"/>
        </w:rPr>
        <w:t>政</w:t>
      </w:r>
      <w:r>
        <w:rPr>
          <w:rStyle w:val="27"/>
          <w:rFonts w:hint="eastAsia" w:ascii="宋体" w:hAnsi="宋体" w:eastAsia="宋体" w:cs="宋体"/>
          <w:b w:val="0"/>
          <w:bCs w:val="0"/>
        </w:rPr>
        <w:t>府性基金预算财政拨款收入支出决算表</w:t>
      </w:r>
    </w:p>
    <w:p w14:paraId="37BF164C">
      <w:pPr>
        <w:pStyle w:val="5"/>
        <w:rPr>
          <w:rFonts w:ascii="宋体" w:hAnsi="宋体" w:eastAsia="宋体" w:cs="宋体"/>
          <w:color w:val="000000"/>
        </w:rPr>
      </w:pPr>
      <w:r>
        <w:rPr>
          <w:rStyle w:val="27"/>
          <w:rFonts w:hint="eastAsia" w:ascii="宋体" w:hAnsi="宋体" w:eastAsia="宋体" w:cs="宋体"/>
          <w:b w:val="0"/>
          <w:bCs w:val="0"/>
        </w:rPr>
        <w:t>十二、</w:t>
      </w:r>
      <w:r>
        <w:rPr>
          <w:rFonts w:hint="eastAsia" w:ascii="宋体" w:hAnsi="宋体" w:eastAsia="宋体" w:cs="宋体"/>
          <w:b w:val="0"/>
          <w:color w:val="000000"/>
        </w:rPr>
        <w:t>政</w:t>
      </w:r>
      <w:r>
        <w:rPr>
          <w:rStyle w:val="27"/>
          <w:rFonts w:hint="eastAsia" w:ascii="宋体" w:hAnsi="宋体" w:eastAsia="宋体" w:cs="宋体"/>
          <w:b w:val="0"/>
          <w:bCs w:val="0"/>
        </w:rPr>
        <w:t>府性基金预算财政拨款“三公”经费支出决算表</w:t>
      </w:r>
    </w:p>
    <w:p w14:paraId="0A630E91">
      <w:pPr>
        <w:pStyle w:val="5"/>
        <w:rPr>
          <w:rStyle w:val="27"/>
          <w:rFonts w:ascii="宋体" w:hAnsi="宋体" w:eastAsia="宋体" w:cs="宋体"/>
          <w:b w:val="0"/>
          <w:bCs w:val="0"/>
        </w:rPr>
      </w:pPr>
      <w:r>
        <w:rPr>
          <w:rStyle w:val="27"/>
          <w:rFonts w:hint="eastAsia" w:ascii="宋体" w:hAnsi="宋体" w:eastAsia="宋体" w:cs="宋体"/>
          <w:b w:val="0"/>
          <w:bCs w:val="0"/>
        </w:rPr>
        <w:t>十三、</w:t>
      </w:r>
      <w:r>
        <w:rPr>
          <w:rFonts w:hint="eastAsia" w:ascii="宋体" w:hAnsi="宋体" w:eastAsia="宋体" w:cs="宋体"/>
          <w:b w:val="0"/>
          <w:color w:val="000000"/>
        </w:rPr>
        <w:t>国</w:t>
      </w:r>
      <w:r>
        <w:rPr>
          <w:rStyle w:val="27"/>
          <w:rFonts w:hint="eastAsia" w:ascii="宋体" w:hAnsi="宋体" w:eastAsia="宋体" w:cs="宋体"/>
          <w:b w:val="0"/>
          <w:bCs w:val="0"/>
        </w:rPr>
        <w:t>有资本经营预算财政拨款收入决算表</w:t>
      </w:r>
    </w:p>
    <w:p w14:paraId="72C1ACCB">
      <w:pPr>
        <w:pStyle w:val="5"/>
        <w:rPr>
          <w:rFonts w:ascii="宋体" w:hAnsi="宋体" w:eastAsia="宋体" w:cs="宋体"/>
          <w:color w:val="000000" w:themeColor="text1"/>
        </w:rPr>
      </w:pPr>
      <w:r>
        <w:rPr>
          <w:rStyle w:val="27"/>
          <w:rFonts w:hint="eastAsia" w:ascii="宋体" w:hAnsi="宋体" w:eastAsia="宋体" w:cs="宋体"/>
          <w:b w:val="0"/>
          <w:bCs w:val="0"/>
        </w:rPr>
        <w:t>十四、</w:t>
      </w:r>
      <w:r>
        <w:rPr>
          <w:rFonts w:hint="eastAsia" w:ascii="宋体" w:hAnsi="宋体" w:eastAsia="宋体" w:cs="宋体"/>
          <w:b w:val="0"/>
          <w:color w:val="000000"/>
        </w:rPr>
        <w:t>国</w:t>
      </w:r>
      <w:r>
        <w:rPr>
          <w:rStyle w:val="27"/>
          <w:rFonts w:hint="eastAsia" w:ascii="宋体" w:hAnsi="宋体" w:eastAsia="宋体" w:cs="宋体"/>
          <w:b w:val="0"/>
          <w:bCs w:val="0"/>
        </w:rPr>
        <w:t>有资本经营预算财政拨款支出决算表</w:t>
      </w:r>
    </w:p>
    <w:bookmarkEnd w:id="56"/>
    <w:p w14:paraId="3370A05D">
      <w:pPr>
        <w:widowControl/>
        <w:jc w:val="left"/>
        <w:rPr>
          <w:rFonts w:ascii="宋体" w:hAnsi="宋体" w:cs="宋体"/>
          <w:bCs/>
          <w:kern w:val="44"/>
          <w:sz w:val="32"/>
          <w:szCs w:val="32"/>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54BA307">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CC32802"/>
    <w:multiLevelType w:val="multilevel"/>
    <w:tmpl w:val="1CC3280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2E64603"/>
    <w:multiLevelType w:val="multilevel"/>
    <w:tmpl w:val="42E64603"/>
    <w:lvl w:ilvl="0" w:tentative="0">
      <w:start w:val="2"/>
      <w:numFmt w:val="japaneseCounting"/>
      <w:lvlText w:val="（%1）"/>
      <w:lvlJc w:val="left"/>
      <w:pPr>
        <w:ind w:left="108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MGFlODBmNzA2MTEzZGE3NWFjOTMwNjE3NTYwMDEifQ=="/>
  </w:docVars>
  <w:rsids>
    <w:rsidRoot w:val="00F1361C"/>
    <w:rsid w:val="00007D94"/>
    <w:rsid w:val="00017ADD"/>
    <w:rsid w:val="000222C6"/>
    <w:rsid w:val="0002549F"/>
    <w:rsid w:val="00033AD6"/>
    <w:rsid w:val="000468DB"/>
    <w:rsid w:val="0006487A"/>
    <w:rsid w:val="00065F8F"/>
    <w:rsid w:val="00070A43"/>
    <w:rsid w:val="000768F2"/>
    <w:rsid w:val="00077CE0"/>
    <w:rsid w:val="00080458"/>
    <w:rsid w:val="0008711F"/>
    <w:rsid w:val="0009184B"/>
    <w:rsid w:val="00093BDC"/>
    <w:rsid w:val="00094236"/>
    <w:rsid w:val="0009593C"/>
    <w:rsid w:val="00097322"/>
    <w:rsid w:val="000A572E"/>
    <w:rsid w:val="000A6A92"/>
    <w:rsid w:val="000B047F"/>
    <w:rsid w:val="000B1539"/>
    <w:rsid w:val="000B5923"/>
    <w:rsid w:val="000B5A48"/>
    <w:rsid w:val="000B6FF3"/>
    <w:rsid w:val="000C0BBB"/>
    <w:rsid w:val="000C26B7"/>
    <w:rsid w:val="000C3467"/>
    <w:rsid w:val="000C3CA6"/>
    <w:rsid w:val="000D009D"/>
    <w:rsid w:val="000D1267"/>
    <w:rsid w:val="000D1D50"/>
    <w:rsid w:val="000D23D5"/>
    <w:rsid w:val="000D5782"/>
    <w:rsid w:val="000D673C"/>
    <w:rsid w:val="000E2499"/>
    <w:rsid w:val="000E6613"/>
    <w:rsid w:val="000E7119"/>
    <w:rsid w:val="0010396F"/>
    <w:rsid w:val="00114E9B"/>
    <w:rsid w:val="00117354"/>
    <w:rsid w:val="00123B41"/>
    <w:rsid w:val="00126A0F"/>
    <w:rsid w:val="00142216"/>
    <w:rsid w:val="00144D6A"/>
    <w:rsid w:val="0014729F"/>
    <w:rsid w:val="00156487"/>
    <w:rsid w:val="00157BAB"/>
    <w:rsid w:val="001654D1"/>
    <w:rsid w:val="00174518"/>
    <w:rsid w:val="00174C9C"/>
    <w:rsid w:val="0018106D"/>
    <w:rsid w:val="001825E4"/>
    <w:rsid w:val="001877A7"/>
    <w:rsid w:val="00191536"/>
    <w:rsid w:val="00196687"/>
    <w:rsid w:val="001C0962"/>
    <w:rsid w:val="001D7531"/>
    <w:rsid w:val="001E737D"/>
    <w:rsid w:val="001F0592"/>
    <w:rsid w:val="001F154D"/>
    <w:rsid w:val="001F7506"/>
    <w:rsid w:val="002006CD"/>
    <w:rsid w:val="00202B36"/>
    <w:rsid w:val="00204B7A"/>
    <w:rsid w:val="00204CDE"/>
    <w:rsid w:val="00210C5D"/>
    <w:rsid w:val="0021101A"/>
    <w:rsid w:val="00216ABF"/>
    <w:rsid w:val="00220536"/>
    <w:rsid w:val="00235629"/>
    <w:rsid w:val="00240C65"/>
    <w:rsid w:val="002509A5"/>
    <w:rsid w:val="00260C38"/>
    <w:rsid w:val="002616C0"/>
    <w:rsid w:val="00261C0D"/>
    <w:rsid w:val="00265372"/>
    <w:rsid w:val="002662AA"/>
    <w:rsid w:val="00270FF4"/>
    <w:rsid w:val="00280496"/>
    <w:rsid w:val="00290272"/>
    <w:rsid w:val="002904D6"/>
    <w:rsid w:val="00294DC9"/>
    <w:rsid w:val="00295495"/>
    <w:rsid w:val="002A31DE"/>
    <w:rsid w:val="002B2613"/>
    <w:rsid w:val="002B2795"/>
    <w:rsid w:val="002B4219"/>
    <w:rsid w:val="002B54D3"/>
    <w:rsid w:val="002B5C6B"/>
    <w:rsid w:val="002B783F"/>
    <w:rsid w:val="002C307C"/>
    <w:rsid w:val="002D04D2"/>
    <w:rsid w:val="002D19B0"/>
    <w:rsid w:val="002D6D05"/>
    <w:rsid w:val="002E6BD4"/>
    <w:rsid w:val="002E7036"/>
    <w:rsid w:val="002F1818"/>
    <w:rsid w:val="002F3EB3"/>
    <w:rsid w:val="002F567B"/>
    <w:rsid w:val="003002EB"/>
    <w:rsid w:val="00300FBC"/>
    <w:rsid w:val="003216A9"/>
    <w:rsid w:val="00326558"/>
    <w:rsid w:val="00335A74"/>
    <w:rsid w:val="0036101C"/>
    <w:rsid w:val="00364C23"/>
    <w:rsid w:val="0036561B"/>
    <w:rsid w:val="0037013F"/>
    <w:rsid w:val="003709DF"/>
    <w:rsid w:val="00380C92"/>
    <w:rsid w:val="00392451"/>
    <w:rsid w:val="003A094A"/>
    <w:rsid w:val="003A484F"/>
    <w:rsid w:val="003A4883"/>
    <w:rsid w:val="003A4A8E"/>
    <w:rsid w:val="003B0BE0"/>
    <w:rsid w:val="003B0C1B"/>
    <w:rsid w:val="003B688C"/>
    <w:rsid w:val="003B73C9"/>
    <w:rsid w:val="003C0291"/>
    <w:rsid w:val="003C39AE"/>
    <w:rsid w:val="003C48C6"/>
    <w:rsid w:val="003C7B60"/>
    <w:rsid w:val="003D0C0F"/>
    <w:rsid w:val="003D1FB2"/>
    <w:rsid w:val="003D66DA"/>
    <w:rsid w:val="003E1310"/>
    <w:rsid w:val="003E6F55"/>
    <w:rsid w:val="003F1726"/>
    <w:rsid w:val="00406254"/>
    <w:rsid w:val="004067FA"/>
    <w:rsid w:val="00416CD4"/>
    <w:rsid w:val="004223DE"/>
    <w:rsid w:val="00434489"/>
    <w:rsid w:val="00437085"/>
    <w:rsid w:val="00443880"/>
    <w:rsid w:val="004464F4"/>
    <w:rsid w:val="00451CFB"/>
    <w:rsid w:val="00451E4B"/>
    <w:rsid w:val="00462B16"/>
    <w:rsid w:val="00470D1E"/>
    <w:rsid w:val="00471401"/>
    <w:rsid w:val="00473F31"/>
    <w:rsid w:val="0047791B"/>
    <w:rsid w:val="00481102"/>
    <w:rsid w:val="0048263A"/>
    <w:rsid w:val="00487D37"/>
    <w:rsid w:val="00487E5D"/>
    <w:rsid w:val="004A711F"/>
    <w:rsid w:val="004B0D21"/>
    <w:rsid w:val="004B199D"/>
    <w:rsid w:val="004B4690"/>
    <w:rsid w:val="004B6F72"/>
    <w:rsid w:val="004D418F"/>
    <w:rsid w:val="004E0A2D"/>
    <w:rsid w:val="004E206B"/>
    <w:rsid w:val="004E6DF7"/>
    <w:rsid w:val="004F0FBD"/>
    <w:rsid w:val="004F154B"/>
    <w:rsid w:val="004F403E"/>
    <w:rsid w:val="00505A47"/>
    <w:rsid w:val="00512FDA"/>
    <w:rsid w:val="00520DA0"/>
    <w:rsid w:val="00522ED1"/>
    <w:rsid w:val="00524AED"/>
    <w:rsid w:val="00541342"/>
    <w:rsid w:val="005553BD"/>
    <w:rsid w:val="005660D0"/>
    <w:rsid w:val="005664BB"/>
    <w:rsid w:val="00566FFA"/>
    <w:rsid w:val="00573C1F"/>
    <w:rsid w:val="0057481D"/>
    <w:rsid w:val="00575F0B"/>
    <w:rsid w:val="005806D5"/>
    <w:rsid w:val="005807E2"/>
    <w:rsid w:val="0058486E"/>
    <w:rsid w:val="00585B33"/>
    <w:rsid w:val="00586D36"/>
    <w:rsid w:val="0059014D"/>
    <w:rsid w:val="005A14FB"/>
    <w:rsid w:val="005B5C64"/>
    <w:rsid w:val="005C6BD0"/>
    <w:rsid w:val="005C6C4C"/>
    <w:rsid w:val="005D1C8B"/>
    <w:rsid w:val="005D468D"/>
    <w:rsid w:val="005D5CED"/>
    <w:rsid w:val="005D604B"/>
    <w:rsid w:val="005D7599"/>
    <w:rsid w:val="005F1A4C"/>
    <w:rsid w:val="005F2A07"/>
    <w:rsid w:val="005F5987"/>
    <w:rsid w:val="006006C5"/>
    <w:rsid w:val="00605688"/>
    <w:rsid w:val="006070AF"/>
    <w:rsid w:val="00607E6C"/>
    <w:rsid w:val="006101B1"/>
    <w:rsid w:val="00614E44"/>
    <w:rsid w:val="006213BB"/>
    <w:rsid w:val="0062270A"/>
    <w:rsid w:val="00622830"/>
    <w:rsid w:val="00623DA0"/>
    <w:rsid w:val="00626D52"/>
    <w:rsid w:val="00630AEF"/>
    <w:rsid w:val="006325F8"/>
    <w:rsid w:val="00633463"/>
    <w:rsid w:val="00634C9A"/>
    <w:rsid w:val="006440E4"/>
    <w:rsid w:val="00651CD5"/>
    <w:rsid w:val="00661D30"/>
    <w:rsid w:val="0066326C"/>
    <w:rsid w:val="0066343B"/>
    <w:rsid w:val="00664777"/>
    <w:rsid w:val="0066532A"/>
    <w:rsid w:val="006748A4"/>
    <w:rsid w:val="00681A31"/>
    <w:rsid w:val="006839AD"/>
    <w:rsid w:val="00683E73"/>
    <w:rsid w:val="006A3141"/>
    <w:rsid w:val="006A3B91"/>
    <w:rsid w:val="006A5E34"/>
    <w:rsid w:val="006A6A6D"/>
    <w:rsid w:val="006B2422"/>
    <w:rsid w:val="006B2B9A"/>
    <w:rsid w:val="006C1937"/>
    <w:rsid w:val="006E2731"/>
    <w:rsid w:val="006F020C"/>
    <w:rsid w:val="006F3BB5"/>
    <w:rsid w:val="00701BA0"/>
    <w:rsid w:val="007127B7"/>
    <w:rsid w:val="00715A76"/>
    <w:rsid w:val="007176D2"/>
    <w:rsid w:val="0071798E"/>
    <w:rsid w:val="00721521"/>
    <w:rsid w:val="00727533"/>
    <w:rsid w:val="007416B6"/>
    <w:rsid w:val="00741787"/>
    <w:rsid w:val="00741F2C"/>
    <w:rsid w:val="00743A8E"/>
    <w:rsid w:val="00746F48"/>
    <w:rsid w:val="00750780"/>
    <w:rsid w:val="0075404D"/>
    <w:rsid w:val="007541A8"/>
    <w:rsid w:val="0076182A"/>
    <w:rsid w:val="00767B7E"/>
    <w:rsid w:val="00772220"/>
    <w:rsid w:val="00775FA1"/>
    <w:rsid w:val="007770C3"/>
    <w:rsid w:val="00781D3E"/>
    <w:rsid w:val="00784D24"/>
    <w:rsid w:val="00785FBA"/>
    <w:rsid w:val="00786E4A"/>
    <w:rsid w:val="007875EB"/>
    <w:rsid w:val="0079426B"/>
    <w:rsid w:val="007A6790"/>
    <w:rsid w:val="007D1682"/>
    <w:rsid w:val="007D312A"/>
    <w:rsid w:val="007D3F19"/>
    <w:rsid w:val="007D7F02"/>
    <w:rsid w:val="007E23B0"/>
    <w:rsid w:val="007F1991"/>
    <w:rsid w:val="007F2AAD"/>
    <w:rsid w:val="007F2B9B"/>
    <w:rsid w:val="007F2C2F"/>
    <w:rsid w:val="007F55FC"/>
    <w:rsid w:val="007F5665"/>
    <w:rsid w:val="00800112"/>
    <w:rsid w:val="00801B37"/>
    <w:rsid w:val="00813348"/>
    <w:rsid w:val="00813ED8"/>
    <w:rsid w:val="00817C06"/>
    <w:rsid w:val="00823DC2"/>
    <w:rsid w:val="008253BB"/>
    <w:rsid w:val="00832B1B"/>
    <w:rsid w:val="00833962"/>
    <w:rsid w:val="00833E69"/>
    <w:rsid w:val="0083706E"/>
    <w:rsid w:val="008408F6"/>
    <w:rsid w:val="008423A5"/>
    <w:rsid w:val="00850625"/>
    <w:rsid w:val="00853718"/>
    <w:rsid w:val="00855221"/>
    <w:rsid w:val="00860645"/>
    <w:rsid w:val="00870E4A"/>
    <w:rsid w:val="00871F71"/>
    <w:rsid w:val="00872FD8"/>
    <w:rsid w:val="00885AF4"/>
    <w:rsid w:val="008939CD"/>
    <w:rsid w:val="008A3194"/>
    <w:rsid w:val="008B49FB"/>
    <w:rsid w:val="008B768C"/>
    <w:rsid w:val="008C4DB1"/>
    <w:rsid w:val="008C4EAF"/>
    <w:rsid w:val="008C5176"/>
    <w:rsid w:val="008C7A42"/>
    <w:rsid w:val="008C7FD0"/>
    <w:rsid w:val="008E1DE7"/>
    <w:rsid w:val="008E3F7C"/>
    <w:rsid w:val="008E616B"/>
    <w:rsid w:val="008E707C"/>
    <w:rsid w:val="008F4D64"/>
    <w:rsid w:val="009001A7"/>
    <w:rsid w:val="00900B08"/>
    <w:rsid w:val="00901121"/>
    <w:rsid w:val="00902155"/>
    <w:rsid w:val="00902FA3"/>
    <w:rsid w:val="00923564"/>
    <w:rsid w:val="0092392E"/>
    <w:rsid w:val="009315F9"/>
    <w:rsid w:val="00931A9B"/>
    <w:rsid w:val="00933499"/>
    <w:rsid w:val="00935C98"/>
    <w:rsid w:val="00937464"/>
    <w:rsid w:val="00946945"/>
    <w:rsid w:val="009507D5"/>
    <w:rsid w:val="00951248"/>
    <w:rsid w:val="0095152F"/>
    <w:rsid w:val="00954C49"/>
    <w:rsid w:val="00955E37"/>
    <w:rsid w:val="00965319"/>
    <w:rsid w:val="009678DF"/>
    <w:rsid w:val="0097099F"/>
    <w:rsid w:val="00971997"/>
    <w:rsid w:val="00971C22"/>
    <w:rsid w:val="00971FFC"/>
    <w:rsid w:val="0098660A"/>
    <w:rsid w:val="00990081"/>
    <w:rsid w:val="00990888"/>
    <w:rsid w:val="00991018"/>
    <w:rsid w:val="009931C3"/>
    <w:rsid w:val="009B2C43"/>
    <w:rsid w:val="009B436A"/>
    <w:rsid w:val="009B4EAE"/>
    <w:rsid w:val="009B7573"/>
    <w:rsid w:val="009C22F4"/>
    <w:rsid w:val="009C2E98"/>
    <w:rsid w:val="009C37FB"/>
    <w:rsid w:val="009D3447"/>
    <w:rsid w:val="009D4711"/>
    <w:rsid w:val="009E7077"/>
    <w:rsid w:val="009E7451"/>
    <w:rsid w:val="009F1120"/>
    <w:rsid w:val="009F1185"/>
    <w:rsid w:val="009F18CD"/>
    <w:rsid w:val="009F2A13"/>
    <w:rsid w:val="009F7527"/>
    <w:rsid w:val="009F7563"/>
    <w:rsid w:val="00A039ED"/>
    <w:rsid w:val="00A04EB0"/>
    <w:rsid w:val="00A077CB"/>
    <w:rsid w:val="00A13CC1"/>
    <w:rsid w:val="00A16847"/>
    <w:rsid w:val="00A237D8"/>
    <w:rsid w:val="00A268C4"/>
    <w:rsid w:val="00A307CD"/>
    <w:rsid w:val="00A307DF"/>
    <w:rsid w:val="00A331C8"/>
    <w:rsid w:val="00A35117"/>
    <w:rsid w:val="00A40A00"/>
    <w:rsid w:val="00A4142F"/>
    <w:rsid w:val="00A422EB"/>
    <w:rsid w:val="00A45BB7"/>
    <w:rsid w:val="00A56DF2"/>
    <w:rsid w:val="00A56E6E"/>
    <w:rsid w:val="00A6307F"/>
    <w:rsid w:val="00A67AB5"/>
    <w:rsid w:val="00A71DA7"/>
    <w:rsid w:val="00A733B2"/>
    <w:rsid w:val="00A741C2"/>
    <w:rsid w:val="00A91760"/>
    <w:rsid w:val="00A93B00"/>
    <w:rsid w:val="00A93C21"/>
    <w:rsid w:val="00A96F8E"/>
    <w:rsid w:val="00A97876"/>
    <w:rsid w:val="00AA21B6"/>
    <w:rsid w:val="00AA7E2E"/>
    <w:rsid w:val="00AB64C9"/>
    <w:rsid w:val="00AC3C6A"/>
    <w:rsid w:val="00AC4F17"/>
    <w:rsid w:val="00AD0F83"/>
    <w:rsid w:val="00AD5620"/>
    <w:rsid w:val="00AD656B"/>
    <w:rsid w:val="00AD7C1B"/>
    <w:rsid w:val="00AE16BA"/>
    <w:rsid w:val="00AE1EBE"/>
    <w:rsid w:val="00AF6EC2"/>
    <w:rsid w:val="00B013C0"/>
    <w:rsid w:val="00B03C9D"/>
    <w:rsid w:val="00B060AE"/>
    <w:rsid w:val="00B10517"/>
    <w:rsid w:val="00B14E76"/>
    <w:rsid w:val="00B152BF"/>
    <w:rsid w:val="00B161B8"/>
    <w:rsid w:val="00B2048C"/>
    <w:rsid w:val="00B23409"/>
    <w:rsid w:val="00B310B9"/>
    <w:rsid w:val="00B35194"/>
    <w:rsid w:val="00B35F3F"/>
    <w:rsid w:val="00B36CBB"/>
    <w:rsid w:val="00B411DF"/>
    <w:rsid w:val="00B425E0"/>
    <w:rsid w:val="00B440AA"/>
    <w:rsid w:val="00B44B70"/>
    <w:rsid w:val="00B53C56"/>
    <w:rsid w:val="00B57DAF"/>
    <w:rsid w:val="00B70385"/>
    <w:rsid w:val="00B733BA"/>
    <w:rsid w:val="00B77917"/>
    <w:rsid w:val="00B77EA6"/>
    <w:rsid w:val="00B81598"/>
    <w:rsid w:val="00B841F1"/>
    <w:rsid w:val="00B944D6"/>
    <w:rsid w:val="00B95ED5"/>
    <w:rsid w:val="00BA3ABE"/>
    <w:rsid w:val="00BA7353"/>
    <w:rsid w:val="00BB4DF0"/>
    <w:rsid w:val="00BB4F65"/>
    <w:rsid w:val="00BC289F"/>
    <w:rsid w:val="00BC2D50"/>
    <w:rsid w:val="00BC4C5E"/>
    <w:rsid w:val="00BC5361"/>
    <w:rsid w:val="00BC5460"/>
    <w:rsid w:val="00BC5B69"/>
    <w:rsid w:val="00BC6B50"/>
    <w:rsid w:val="00BD0BA0"/>
    <w:rsid w:val="00BD0E25"/>
    <w:rsid w:val="00BD578C"/>
    <w:rsid w:val="00BF5BD6"/>
    <w:rsid w:val="00C03E31"/>
    <w:rsid w:val="00C2217A"/>
    <w:rsid w:val="00C23A78"/>
    <w:rsid w:val="00C30E69"/>
    <w:rsid w:val="00C33E72"/>
    <w:rsid w:val="00C354B2"/>
    <w:rsid w:val="00C35554"/>
    <w:rsid w:val="00C36C2A"/>
    <w:rsid w:val="00C42709"/>
    <w:rsid w:val="00C533CC"/>
    <w:rsid w:val="00C5751C"/>
    <w:rsid w:val="00C61819"/>
    <w:rsid w:val="00C61BFC"/>
    <w:rsid w:val="00C62B85"/>
    <w:rsid w:val="00C65438"/>
    <w:rsid w:val="00C672D2"/>
    <w:rsid w:val="00C77A2B"/>
    <w:rsid w:val="00C82BED"/>
    <w:rsid w:val="00C91CBB"/>
    <w:rsid w:val="00C925DF"/>
    <w:rsid w:val="00CA15AC"/>
    <w:rsid w:val="00CB3646"/>
    <w:rsid w:val="00CB4E70"/>
    <w:rsid w:val="00CC09B6"/>
    <w:rsid w:val="00CC666F"/>
    <w:rsid w:val="00CD1E3F"/>
    <w:rsid w:val="00CD4A3B"/>
    <w:rsid w:val="00CD5354"/>
    <w:rsid w:val="00CD71B8"/>
    <w:rsid w:val="00CE3930"/>
    <w:rsid w:val="00CE44F6"/>
    <w:rsid w:val="00CE49DA"/>
    <w:rsid w:val="00CE7B61"/>
    <w:rsid w:val="00CF4D60"/>
    <w:rsid w:val="00D00095"/>
    <w:rsid w:val="00D00E23"/>
    <w:rsid w:val="00D061A9"/>
    <w:rsid w:val="00D114F0"/>
    <w:rsid w:val="00D20442"/>
    <w:rsid w:val="00D20620"/>
    <w:rsid w:val="00D254F7"/>
    <w:rsid w:val="00D26091"/>
    <w:rsid w:val="00D2685C"/>
    <w:rsid w:val="00D34E7C"/>
    <w:rsid w:val="00D35489"/>
    <w:rsid w:val="00D36AFE"/>
    <w:rsid w:val="00D47747"/>
    <w:rsid w:val="00D47FAE"/>
    <w:rsid w:val="00D51276"/>
    <w:rsid w:val="00D7035F"/>
    <w:rsid w:val="00DA634F"/>
    <w:rsid w:val="00DA65AC"/>
    <w:rsid w:val="00DB1913"/>
    <w:rsid w:val="00DB22EF"/>
    <w:rsid w:val="00DC3DB9"/>
    <w:rsid w:val="00DC410D"/>
    <w:rsid w:val="00DC53FC"/>
    <w:rsid w:val="00DC5A81"/>
    <w:rsid w:val="00DC68CA"/>
    <w:rsid w:val="00DC7CBA"/>
    <w:rsid w:val="00DD298C"/>
    <w:rsid w:val="00DD6602"/>
    <w:rsid w:val="00DD73B7"/>
    <w:rsid w:val="00DE0D6F"/>
    <w:rsid w:val="00DF28BC"/>
    <w:rsid w:val="00DF2DAE"/>
    <w:rsid w:val="00DF34B9"/>
    <w:rsid w:val="00E01053"/>
    <w:rsid w:val="00E06AFB"/>
    <w:rsid w:val="00E07774"/>
    <w:rsid w:val="00E07ACF"/>
    <w:rsid w:val="00E21ECC"/>
    <w:rsid w:val="00E32100"/>
    <w:rsid w:val="00E331A1"/>
    <w:rsid w:val="00E33202"/>
    <w:rsid w:val="00E336A9"/>
    <w:rsid w:val="00E466D3"/>
    <w:rsid w:val="00E472B1"/>
    <w:rsid w:val="00E50624"/>
    <w:rsid w:val="00E568DF"/>
    <w:rsid w:val="00E64269"/>
    <w:rsid w:val="00E66797"/>
    <w:rsid w:val="00E712DA"/>
    <w:rsid w:val="00E7314F"/>
    <w:rsid w:val="00E82267"/>
    <w:rsid w:val="00E83BAD"/>
    <w:rsid w:val="00E844E3"/>
    <w:rsid w:val="00E853CE"/>
    <w:rsid w:val="00E867B6"/>
    <w:rsid w:val="00E87F08"/>
    <w:rsid w:val="00E90341"/>
    <w:rsid w:val="00EA010F"/>
    <w:rsid w:val="00EC0173"/>
    <w:rsid w:val="00EC32FE"/>
    <w:rsid w:val="00ED13D8"/>
    <w:rsid w:val="00ED1B63"/>
    <w:rsid w:val="00ED3C1F"/>
    <w:rsid w:val="00ED4085"/>
    <w:rsid w:val="00ED420E"/>
    <w:rsid w:val="00ED6FBE"/>
    <w:rsid w:val="00EE2F57"/>
    <w:rsid w:val="00EF4C34"/>
    <w:rsid w:val="00EF77C6"/>
    <w:rsid w:val="00F00420"/>
    <w:rsid w:val="00F05438"/>
    <w:rsid w:val="00F05777"/>
    <w:rsid w:val="00F1019D"/>
    <w:rsid w:val="00F1361C"/>
    <w:rsid w:val="00F156F0"/>
    <w:rsid w:val="00F160C7"/>
    <w:rsid w:val="00F2408F"/>
    <w:rsid w:val="00F240E9"/>
    <w:rsid w:val="00F36D8F"/>
    <w:rsid w:val="00F36E61"/>
    <w:rsid w:val="00F417B1"/>
    <w:rsid w:val="00F45853"/>
    <w:rsid w:val="00F54CE4"/>
    <w:rsid w:val="00F54F7B"/>
    <w:rsid w:val="00F602DF"/>
    <w:rsid w:val="00F62553"/>
    <w:rsid w:val="00F754A1"/>
    <w:rsid w:val="00F81FD9"/>
    <w:rsid w:val="00F8303B"/>
    <w:rsid w:val="00F841AA"/>
    <w:rsid w:val="00F84218"/>
    <w:rsid w:val="00F84A94"/>
    <w:rsid w:val="00F87E96"/>
    <w:rsid w:val="00FA23E8"/>
    <w:rsid w:val="00FB5980"/>
    <w:rsid w:val="00FD0169"/>
    <w:rsid w:val="00FD1DB1"/>
    <w:rsid w:val="00FD3CC1"/>
    <w:rsid w:val="00FD7396"/>
    <w:rsid w:val="00FF1E02"/>
    <w:rsid w:val="00FF30B4"/>
    <w:rsid w:val="00FF7A8B"/>
    <w:rsid w:val="0B595A27"/>
    <w:rsid w:val="10C055FF"/>
    <w:rsid w:val="16BB723D"/>
    <w:rsid w:val="1ADE3D08"/>
    <w:rsid w:val="210A0ECA"/>
    <w:rsid w:val="240371BF"/>
    <w:rsid w:val="29FD04D3"/>
    <w:rsid w:val="319F7F4E"/>
    <w:rsid w:val="41931204"/>
    <w:rsid w:val="4ECE2238"/>
    <w:rsid w:val="55B55BE8"/>
    <w:rsid w:val="72734D90"/>
    <w:rsid w:val="7C6F09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uiPriority w:val="99"/>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6248-9CAB-4A08-8754-EBA025D309B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9480</Words>
  <Characters>10417</Characters>
  <Lines>76</Lines>
  <Paragraphs>21</Paragraphs>
  <TotalTime>1693</TotalTime>
  <ScaleCrop>false</ScaleCrop>
  <LinksUpToDate>false</LinksUpToDate>
  <CharactersWithSpaces>10476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宋桦坪</cp:lastModifiedBy>
  <cp:lastPrinted>2022-09-25T04:32:00Z</cp:lastPrinted>
  <dcterms:modified xsi:type="dcterms:W3CDTF">2024-12-26T08:47:48Z</dcterms:modified>
  <dc:title>四川省***</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BF44A2ACA8C54488A7F4ABC1D912C4A1</vt:lpwstr>
  </property>
</Properties>
</file>