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A5C8D">
      <w:pPr>
        <w:spacing w:line="600" w:lineRule="exact"/>
        <w:jc w:val="center"/>
        <w:outlineLvl w:val="0"/>
        <w:rPr>
          <w:rFonts w:ascii="方正小标宋简体" w:hAnsi="宋体" w:eastAsia="方正小标宋简体"/>
          <w:color w:val="000000"/>
          <w:sz w:val="72"/>
          <w:szCs w:val="72"/>
        </w:rPr>
      </w:pPr>
      <w:bookmarkStart w:id="0" w:name="_Toc15306267"/>
    </w:p>
    <w:p w14:paraId="6D49587B">
      <w:pPr>
        <w:spacing w:line="600" w:lineRule="exact"/>
        <w:jc w:val="center"/>
        <w:outlineLvl w:val="0"/>
        <w:rPr>
          <w:rFonts w:ascii="方正小标宋简体" w:hAnsi="宋体" w:eastAsia="方正小标宋简体"/>
          <w:color w:val="000000"/>
          <w:sz w:val="72"/>
          <w:szCs w:val="72"/>
        </w:rPr>
      </w:pPr>
    </w:p>
    <w:p w14:paraId="7DB7D3FA">
      <w:pPr>
        <w:spacing w:line="600" w:lineRule="exact"/>
        <w:jc w:val="center"/>
        <w:outlineLvl w:val="0"/>
        <w:rPr>
          <w:rFonts w:ascii="方正小标宋简体" w:hAnsi="宋体" w:eastAsia="方正小标宋简体"/>
          <w:color w:val="000000"/>
          <w:sz w:val="72"/>
          <w:szCs w:val="72"/>
        </w:rPr>
      </w:pPr>
    </w:p>
    <w:p w14:paraId="139B9860">
      <w:pPr>
        <w:spacing w:line="600" w:lineRule="exact"/>
        <w:jc w:val="center"/>
        <w:outlineLvl w:val="0"/>
        <w:rPr>
          <w:rFonts w:ascii="方正小标宋简体" w:hAnsi="宋体" w:eastAsia="方正小标宋简体"/>
          <w:color w:val="000000"/>
          <w:sz w:val="72"/>
          <w:szCs w:val="72"/>
        </w:rPr>
      </w:pPr>
    </w:p>
    <w:p w14:paraId="360C385B">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193"/>
      <w:bookmarkStart w:id="3" w:name="_Toc15378441"/>
      <w:bookmarkStart w:id="4" w:name="_Toc15377425"/>
      <w:bookmarkStart w:id="5" w:name="_Toc1539647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14:paraId="435CD717">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77426"/>
      <w:bookmarkStart w:id="8" w:name="_Toc15396476"/>
      <w:bookmarkStart w:id="9" w:name="_Toc15377194"/>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攀枝花市仁和区住房和城乡建设局部门决算</w:t>
      </w:r>
      <w:bookmarkEnd w:id="6"/>
      <w:bookmarkEnd w:id="7"/>
      <w:bookmarkEnd w:id="8"/>
      <w:bookmarkEnd w:id="9"/>
      <w:bookmarkEnd w:id="10"/>
      <w:bookmarkEnd w:id="11"/>
    </w:p>
    <w:p w14:paraId="129905FA">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4ADA57F4">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24CA65B5"/>
    <w:p w14:paraId="404F297E">
      <w:pPr>
        <w:pStyle w:val="10"/>
        <w:rPr>
          <w:rFonts w:cstheme="minorBidi"/>
        </w:rPr>
      </w:pPr>
      <w:r>
        <w:fldChar w:fldCharType="begin"/>
      </w:r>
      <w:r>
        <w:instrText xml:space="preserve"> HYPERLINK \l "_Toc15396599" </w:instrText>
      </w:r>
      <w:r>
        <w:fldChar w:fldCharType="separate"/>
      </w:r>
      <w:r>
        <w:rPr>
          <w:rStyle w:val="16"/>
          <w:rFonts w:hint="eastAsia"/>
        </w:rPr>
        <w:t>第一部分部门概况</w:t>
      </w:r>
      <w:r>
        <w:tab/>
      </w:r>
      <w:r>
        <w:rPr>
          <w:rFonts w:hint="eastAsia"/>
        </w:rPr>
        <w:t>4</w:t>
      </w:r>
      <w:r>
        <w:rPr>
          <w:rFonts w:hint="eastAsia"/>
        </w:rPr>
        <w:fldChar w:fldCharType="end"/>
      </w:r>
    </w:p>
    <w:p w14:paraId="4886711B">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14:paraId="69A86695">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14:paraId="1CCEE817">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11</w:t>
      </w:r>
      <w:r>
        <w:fldChar w:fldCharType="end"/>
      </w:r>
      <w:r>
        <w:fldChar w:fldCharType="end"/>
      </w:r>
    </w:p>
    <w:p w14:paraId="04A28651">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14:paraId="42D38067">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14:paraId="1D4452CD">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14:paraId="5EE4557A">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14:paraId="15DB8F14">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14:paraId="56940F55">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14:paraId="46E8975B">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14:paraId="54E37009">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14:paraId="68BCB3C6">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14:paraId="0BC0D5D8">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、预算绩效情况说明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14:paraId="364C789E">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14:paraId="6AA2AC99">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20</w:t>
      </w:r>
      <w:r>
        <w:fldChar w:fldCharType="end"/>
      </w:r>
      <w:r>
        <w:fldChar w:fldCharType="end"/>
      </w:r>
    </w:p>
    <w:p w14:paraId="543E328E">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四部分附件</w:t>
      </w:r>
      <w:r>
        <w:tab/>
      </w:r>
      <w:r>
        <w:fldChar w:fldCharType="begin"/>
      </w:r>
      <w:r>
        <w:instrText xml:space="preserve"> PAGEREF _Toc15396614 \h </w:instrText>
      </w:r>
      <w:r>
        <w:fldChar w:fldCharType="separate"/>
      </w:r>
      <w:r>
        <w:t>22</w:t>
      </w:r>
      <w:r>
        <w:fldChar w:fldCharType="end"/>
      </w:r>
      <w:r>
        <w:fldChar w:fldCharType="end"/>
      </w:r>
    </w:p>
    <w:p w14:paraId="74C1423C">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7B5DB464">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hint="eastAsia" w:ascii="仿宋" w:hAnsi="仿宋" w:eastAsia="仿宋"/>
          <w:b/>
          <w:bCs/>
          <w:sz w:val="28"/>
          <w:szCs w:val="28"/>
        </w:rPr>
        <w:t>错误！未定义书签。</w:t>
      </w:r>
      <w:r>
        <w:rPr>
          <w:rFonts w:ascii="仿宋" w:hAnsi="仿宋" w:eastAsia="仿宋"/>
          <w:sz w:val="28"/>
          <w:szCs w:val="28"/>
        </w:rPr>
        <w:fldChar w:fldCharType="end"/>
      </w:r>
      <w:r>
        <w:rPr>
          <w:rFonts w:ascii="仿宋" w:hAnsi="仿宋" w:eastAsia="仿宋"/>
          <w:sz w:val="28"/>
          <w:szCs w:val="28"/>
        </w:rPr>
        <w:fldChar w:fldCharType="end"/>
      </w:r>
    </w:p>
    <w:p w14:paraId="01271C94">
      <w:pPr>
        <w:pStyle w:val="1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五部分附表</w:t>
      </w:r>
      <w:r>
        <w:tab/>
      </w:r>
      <w:r>
        <w:fldChar w:fldCharType="begin"/>
      </w:r>
      <w:r>
        <w:instrText xml:space="preserve"> PAGEREF _Toc15396618 \h </w:instrText>
      </w:r>
      <w:r>
        <w:fldChar w:fldCharType="separate"/>
      </w:r>
      <w:r>
        <w:t>41</w:t>
      </w:r>
      <w:r>
        <w:fldChar w:fldCharType="end"/>
      </w:r>
      <w:r>
        <w:fldChar w:fldCharType="end"/>
      </w:r>
    </w:p>
    <w:p w14:paraId="72976454">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14:paraId="4A5BA36D">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14:paraId="2DC8B4C3">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14:paraId="24A8C10E">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14:paraId="062C62E5">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14:paraId="548C5AB9">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14:paraId="0C82F507">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14:paraId="2BC34742">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14:paraId="756CEAC4">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14:paraId="7EC93DCB">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14:paraId="044F6BB4">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14:paraId="7A22181D">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14:paraId="0A06605E">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14:paraId="4533AE9C">
      <w:pPr>
        <w:widowControl/>
        <w:jc w:val="left"/>
        <w:rPr>
          <w:rFonts w:ascii="仿宋" w:hAnsi="仿宋" w:eastAsia="仿宋"/>
          <w:color w:val="000000"/>
          <w:sz w:val="24"/>
        </w:rPr>
      </w:pPr>
      <w:r>
        <w:rPr>
          <w:rFonts w:ascii="仿宋" w:hAnsi="仿宋" w:eastAsia="仿宋"/>
          <w:color w:val="000000"/>
          <w:sz w:val="24"/>
        </w:rPr>
        <w:fldChar w:fldCharType="end"/>
      </w:r>
    </w:p>
    <w:p w14:paraId="1D97F984">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14:paraId="381CB6C9">
      <w:pPr>
        <w:pStyle w:val="2"/>
        <w:jc w:val="center"/>
        <w:rPr>
          <w:rStyle w:val="25"/>
          <w:rFonts w:ascii="黑体" w:hAnsi="黑体" w:eastAsia="黑体"/>
          <w:b w:val="0"/>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bookmarkStart w:id="14" w:name="_Toc15377197"/>
      <w:bookmarkStart w:id="15" w:name="_Toc15396600"/>
    </w:p>
    <w:p w14:paraId="25F4525B">
      <w:pPr>
        <w:pStyle w:val="2"/>
        <w:ind w:firstLine="643" w:firstLineChars="200"/>
        <w:jc w:val="left"/>
        <w:rPr>
          <w:rStyle w:val="26"/>
          <w:rFonts w:ascii="黑体" w:hAnsi="黑体" w:eastAsia="黑体" w:cs="Times New Roman"/>
          <w:b/>
          <w:bCs w:val="0"/>
          <w:kern w:val="44"/>
          <w:sz w:val="44"/>
          <w:szCs w:val="44"/>
        </w:rPr>
      </w:pPr>
      <w:r>
        <w:rPr>
          <w:rStyle w:val="26"/>
          <w:rFonts w:hint="eastAsia" w:ascii="黑体" w:hAnsi="黑体" w:eastAsia="黑体"/>
          <w:b/>
          <w:bCs w:val="0"/>
        </w:rPr>
        <w:t>一、基</w:t>
      </w:r>
      <w:r>
        <w:rPr>
          <w:rStyle w:val="26"/>
          <w:rFonts w:hint="eastAsia" w:ascii="黑体" w:hAnsi="黑体" w:eastAsia="黑体"/>
          <w:b w:val="0"/>
          <w:bCs w:val="0"/>
        </w:rPr>
        <w:t>本职能及主要工作</w:t>
      </w:r>
      <w:bookmarkEnd w:id="14"/>
      <w:bookmarkEnd w:id="15"/>
    </w:p>
    <w:p w14:paraId="74CFBDEC">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p>
    <w:p w14:paraId="091DC2F2">
      <w:pPr>
        <w:ind w:firstLine="640" w:firstLineChars="200"/>
        <w:rPr>
          <w:rFonts w:ascii="仿宋" w:hAnsi="仿宋" w:eastAsia="仿宋"/>
          <w:sz w:val="32"/>
          <w:szCs w:val="32"/>
        </w:rPr>
      </w:pPr>
      <w:r>
        <w:rPr>
          <w:rFonts w:hint="eastAsia" w:ascii="仿宋" w:hAnsi="仿宋" w:eastAsia="仿宋"/>
          <w:sz w:val="32"/>
          <w:szCs w:val="32"/>
        </w:rPr>
        <w:t>1、贯彻执行国家住房、城乡建设的法律、法规和方针、政策；负责本系统、本部门依法行政工作，落实行政执法责任制。</w:t>
      </w:r>
    </w:p>
    <w:p w14:paraId="6C9C9116">
      <w:pPr>
        <w:ind w:firstLine="640" w:firstLineChars="200"/>
        <w:rPr>
          <w:rFonts w:ascii="仿宋" w:hAnsi="仿宋" w:eastAsia="仿宋"/>
          <w:sz w:val="32"/>
          <w:szCs w:val="32"/>
        </w:rPr>
      </w:pPr>
      <w:r>
        <w:rPr>
          <w:rFonts w:hint="eastAsia" w:ascii="仿宋" w:hAnsi="仿宋" w:eastAsia="仿宋"/>
          <w:sz w:val="32"/>
          <w:szCs w:val="32"/>
        </w:rPr>
        <w:t>2、负责研究制定建设系统经济发展战略、中长期规划、年度计划和相关政策并组织实施；综合分析行业经济运行情况，协调经济运行中的有关事宜。</w:t>
      </w:r>
    </w:p>
    <w:p w14:paraId="7DEA8BE1">
      <w:pPr>
        <w:ind w:firstLine="640" w:firstLineChars="200"/>
        <w:rPr>
          <w:rFonts w:ascii="仿宋" w:hAnsi="仿宋" w:eastAsia="仿宋"/>
          <w:sz w:val="32"/>
          <w:szCs w:val="32"/>
        </w:rPr>
      </w:pPr>
      <w:r>
        <w:rPr>
          <w:rFonts w:hint="eastAsia" w:ascii="仿宋" w:hAnsi="仿宋" w:eastAsia="仿宋"/>
          <w:sz w:val="32"/>
          <w:szCs w:val="32"/>
        </w:rPr>
        <w:t>3、贯彻执行全区住房改革和住房保障政策，承担推进住房制度改革，保障性住房建设、配租和管理及实施廉租租赁补贴的责任。拟定全区保障性住房管理实施办法，具体实施区政府住房保障年度工作目标。</w:t>
      </w:r>
    </w:p>
    <w:p w14:paraId="61EF3840">
      <w:pPr>
        <w:ind w:firstLine="640" w:firstLineChars="200"/>
        <w:rPr>
          <w:rFonts w:ascii="仿宋" w:hAnsi="仿宋" w:eastAsia="仿宋"/>
          <w:sz w:val="32"/>
          <w:szCs w:val="32"/>
        </w:rPr>
      </w:pPr>
      <w:r>
        <w:rPr>
          <w:rFonts w:hint="eastAsia" w:ascii="仿宋" w:hAnsi="仿宋" w:eastAsia="仿宋"/>
          <w:sz w:val="32"/>
          <w:szCs w:val="32"/>
        </w:rPr>
        <w:t>4、贯彻执行国家、省、市有关房地产业方针、政策，执行相关的房地产市场监督管理政策、房地产行业发展规划、物业管理法律法规；承担房地产市场监管，规范房地产市场秩序和指导住宅小区物业管理的责任；参与城市房地产建设项目综合验收；负责物业管理企业的行业监督、指导管理工作。</w:t>
      </w:r>
    </w:p>
    <w:p w14:paraId="459E4737">
      <w:pPr>
        <w:ind w:firstLine="640" w:firstLineChars="200"/>
        <w:rPr>
          <w:rFonts w:ascii="仿宋" w:hAnsi="仿宋" w:eastAsia="仿宋"/>
          <w:sz w:val="32"/>
          <w:szCs w:val="32"/>
        </w:rPr>
      </w:pPr>
      <w:r>
        <w:rPr>
          <w:rFonts w:hint="eastAsia" w:ascii="仿宋" w:hAnsi="仿宋" w:eastAsia="仿宋"/>
          <w:sz w:val="32"/>
          <w:szCs w:val="32"/>
        </w:rPr>
        <w:t>5、承担国有土地房屋征收管理的责任，参与仁和区新区开发、旧城改造相关工作。</w:t>
      </w:r>
    </w:p>
    <w:p w14:paraId="366C7AFD">
      <w:pPr>
        <w:ind w:firstLine="640" w:firstLineChars="200"/>
        <w:rPr>
          <w:rFonts w:ascii="仿宋" w:hAnsi="仿宋" w:eastAsia="仿宋"/>
          <w:sz w:val="32"/>
          <w:szCs w:val="32"/>
        </w:rPr>
      </w:pPr>
      <w:r>
        <w:rPr>
          <w:rFonts w:hint="eastAsia" w:ascii="仿宋" w:hAnsi="仿宋" w:eastAsia="仿宋"/>
          <w:sz w:val="32"/>
          <w:szCs w:val="32"/>
        </w:rPr>
        <w:t>6、贯彻执行国家、省、市有关城市市政基础设施建设和村镇建设方面的方针、政策，研究制定我区城市市政基础设施建设和村镇建设方面实施意见；拟定城市市政基础设施建设和村镇建设中长期发展规划；参与我区重点城市市政基础设施建设工作；指导、协调我区城市市政基础设施建设和村镇建设工作。指导农村住房建设、危房改造工作；指导农村公用设施建设和小城镇、村庄人居环境的改善工作。参与指导辖区内灾区和农村移民区的村镇搬迁、拆迁和重建管理工作。</w:t>
      </w:r>
    </w:p>
    <w:p w14:paraId="1F5DED57">
      <w:pPr>
        <w:ind w:firstLine="640" w:firstLineChars="200"/>
        <w:rPr>
          <w:rFonts w:ascii="仿宋" w:hAnsi="仿宋" w:eastAsia="仿宋"/>
          <w:sz w:val="32"/>
          <w:szCs w:val="32"/>
        </w:rPr>
      </w:pPr>
      <w:r>
        <w:rPr>
          <w:rFonts w:hint="eastAsia" w:ascii="仿宋" w:hAnsi="仿宋" w:eastAsia="仿宋"/>
          <w:sz w:val="32"/>
          <w:szCs w:val="32"/>
        </w:rPr>
        <w:t>7、承担全区建筑行业管理，规范建筑市场各方责任主体行为的责任。指导和规范建筑市场，负责对全区建设、施工、监理、勘察、设计、招标代理机构，房地产开发企业各方行为的监督管理工作；负责对全区建筑工程勘察、设计、招投标、施工许可、安全生产、建筑工程质量综合管理和监督工作。参与全区建设工程抗震设防工作，贯彻执行国家规范标准，指导村镇和农村建设抗震工作；参与权限范围内安全生产事故的调查、处理、统计、上报工作；参与管理建筑业劳务合同和劳动保险统筹工作。</w:t>
      </w:r>
    </w:p>
    <w:p w14:paraId="7F885405">
      <w:pPr>
        <w:ind w:firstLine="640" w:firstLineChars="200"/>
        <w:rPr>
          <w:rFonts w:ascii="仿宋" w:hAnsi="仿宋" w:eastAsia="仿宋"/>
          <w:sz w:val="32"/>
          <w:szCs w:val="32"/>
        </w:rPr>
      </w:pPr>
      <w:r>
        <w:rPr>
          <w:rFonts w:hint="eastAsia" w:ascii="仿宋" w:hAnsi="仿宋" w:eastAsia="仿宋"/>
          <w:sz w:val="32"/>
          <w:szCs w:val="32"/>
        </w:rPr>
        <w:t>8、贯彻执行国家、省、市有关建筑技术发展的政策、方针；指导行业新技术、新工艺、新材料、新设备的推广和应用。贯彻执行国家、省、市有关散装水泥、墙材革新和建筑节能的法律、法规、规章和技术标准，推进散装水泥、墙材革新和建筑节能工作；负责组织实施散装水泥的推广使用和监督检查工作；负责对全区墙材革新和建筑节能工作进行业务指导。</w:t>
      </w:r>
    </w:p>
    <w:p w14:paraId="7023ADC8">
      <w:pPr>
        <w:ind w:firstLine="640" w:firstLineChars="200"/>
        <w:rPr>
          <w:rFonts w:ascii="仿宋" w:hAnsi="仿宋" w:eastAsia="仿宋"/>
          <w:sz w:val="32"/>
          <w:szCs w:val="32"/>
        </w:rPr>
      </w:pPr>
      <w:r>
        <w:rPr>
          <w:rFonts w:hint="eastAsia" w:ascii="仿宋" w:hAnsi="仿宋" w:eastAsia="仿宋"/>
          <w:sz w:val="32"/>
          <w:szCs w:val="32"/>
        </w:rPr>
        <w:t>9、牵头拟定建筑垃圾资源化再利用的整体规划和政策措施，综合协调建筑垃圾资源化再利用工作；拟定建筑垃圾集中回收处置的政策措施并监督实施；组织协调建筑垃圾资源化再利用技术创新和示范工作。</w:t>
      </w:r>
    </w:p>
    <w:p w14:paraId="1C711FBC">
      <w:pPr>
        <w:ind w:firstLine="640" w:firstLineChars="200"/>
        <w:rPr>
          <w:rFonts w:ascii="仿宋" w:hAnsi="仿宋" w:eastAsia="仿宋"/>
          <w:sz w:val="32"/>
          <w:szCs w:val="32"/>
        </w:rPr>
      </w:pPr>
      <w:r>
        <w:rPr>
          <w:rFonts w:hint="eastAsia" w:ascii="仿宋" w:hAnsi="仿宋" w:eastAsia="仿宋"/>
          <w:sz w:val="32"/>
          <w:szCs w:val="32"/>
        </w:rPr>
        <w:t>10、负责住房和城乡建设执法。对违反《中华人民共和国城乡规划法》、《中华人民共和国建筑法》、《中华人民共和国城市房地产管理法》、《中华人民共和国测绘法》和国务院《建设工程勘察设计管理条例》及相关法律、法规、规章的违法、违章行为，实施监察和处罚。</w:t>
      </w:r>
    </w:p>
    <w:p w14:paraId="7B6C827C">
      <w:pPr>
        <w:pStyle w:val="12"/>
        <w:widowControl/>
        <w:shd w:val="clear" w:color="auto" w:fill="FFFFFF"/>
        <w:spacing w:beforeAutospacing="0" w:afterAutospacing="0" w:line="315" w:lineRule="atLeast"/>
        <w:ind w:firstLine="640" w:firstLineChars="200"/>
        <w:rPr>
          <w:rFonts w:ascii="仿宋" w:hAnsi="仿宋" w:eastAsia="仿宋"/>
          <w:kern w:val="2"/>
          <w:sz w:val="32"/>
          <w:szCs w:val="32"/>
        </w:rPr>
      </w:pPr>
      <w:r>
        <w:rPr>
          <w:rFonts w:hint="eastAsia" w:ascii="仿宋" w:hAnsi="仿宋" w:eastAsia="仿宋"/>
          <w:kern w:val="2"/>
          <w:sz w:val="32"/>
          <w:szCs w:val="32"/>
        </w:rPr>
        <w:t>11、承担区政府公布的有关行政审批事项。</w:t>
      </w:r>
    </w:p>
    <w:p w14:paraId="097051F7">
      <w:pPr>
        <w:ind w:firstLine="640" w:firstLineChars="200"/>
        <w:rPr>
          <w:rFonts w:ascii="仿宋" w:hAnsi="仿宋" w:eastAsia="仿宋"/>
          <w:sz w:val="32"/>
          <w:szCs w:val="32"/>
        </w:rPr>
      </w:pPr>
      <w:r>
        <w:rPr>
          <w:rFonts w:hint="eastAsia" w:ascii="仿宋" w:hAnsi="仿宋" w:eastAsia="仿宋"/>
          <w:sz w:val="32"/>
          <w:szCs w:val="32"/>
        </w:rPr>
        <w:t>12、承办区政府交办的其它事项。</w:t>
      </w:r>
    </w:p>
    <w:bookmarkEnd w:id="16"/>
    <w:bookmarkEnd w:id="17"/>
    <w:p w14:paraId="002CC617">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14:paraId="2EAEA836">
      <w:pPr>
        <w:tabs>
          <w:tab w:val="left" w:pos="4140"/>
        </w:tabs>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着力夯实城市发展基础，提升城市承载能力。一年来，我们着力推进城市南移建设，加快实施干坝塘行政中心区、普达阳光康养度假区、莲花枢纽经济区、四十九中央商务区市政基础设施建设。</w:t>
      </w:r>
    </w:p>
    <w:p w14:paraId="3AE0C1C0">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 xml:space="preserve">着力改善城市生态环境，美化净化城市空间。我们着力做好“阳光”这篇文章，大力推进“宜人新城”建设。实施城市视野区绿化工程。              </w:t>
      </w:r>
    </w:p>
    <w:p w14:paraId="45CE6D7D">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 xml:space="preserve"> 着力改善城乡人居环境，提升居民幸福指数。进一步用足用活用好棚改政策，着力整理包装火车南站片区、四十九中央商务区等城市重要开发建设板块征地拆迁安置纳入棚改，成功争取到672户棚改任务，实际实施总改造户数951户，全部采用货币化安置方式，申请国开行贷款资金5.8亿元，截</w:t>
      </w:r>
      <w:r>
        <w:rPr>
          <w:rFonts w:hint="eastAsia" w:ascii="仿宋" w:hAnsi="仿宋" w:eastAsia="仿宋"/>
          <w:sz w:val="32"/>
          <w:szCs w:val="32"/>
          <w:lang w:eastAsia="zh-CN"/>
        </w:rPr>
        <w:t>至</w:t>
      </w:r>
      <w:r>
        <w:rPr>
          <w:rFonts w:ascii="仿宋" w:hAnsi="仿宋" w:eastAsia="仿宋"/>
          <w:sz w:val="32"/>
          <w:szCs w:val="32"/>
        </w:rPr>
        <w:t>目前累计完成签约</w:t>
      </w:r>
      <w:r>
        <w:rPr>
          <w:rFonts w:hint="eastAsia" w:ascii="仿宋" w:hAnsi="仿宋" w:eastAsia="仿宋"/>
          <w:sz w:val="32"/>
          <w:szCs w:val="32"/>
        </w:rPr>
        <w:t>753</w:t>
      </w:r>
      <w:r>
        <w:rPr>
          <w:rFonts w:ascii="仿宋" w:hAnsi="仿宋" w:eastAsia="仿宋"/>
          <w:sz w:val="32"/>
          <w:szCs w:val="32"/>
        </w:rPr>
        <w:t>户，市级目标任务完成率</w:t>
      </w:r>
      <w:r>
        <w:rPr>
          <w:rFonts w:hint="eastAsia" w:ascii="仿宋" w:hAnsi="仿宋" w:eastAsia="仿宋"/>
          <w:sz w:val="32"/>
          <w:szCs w:val="32"/>
        </w:rPr>
        <w:t>112</w:t>
      </w:r>
      <w:r>
        <w:rPr>
          <w:rFonts w:ascii="仿宋" w:hAnsi="仿宋" w:eastAsia="仿宋"/>
          <w:sz w:val="32"/>
          <w:szCs w:val="32"/>
        </w:rPr>
        <w:t>%。着力解决中低收入家庭住房困难，对待分配的27</w:t>
      </w:r>
      <w:r>
        <w:rPr>
          <w:rFonts w:hint="eastAsia" w:ascii="仿宋" w:hAnsi="仿宋" w:eastAsia="仿宋"/>
          <w:sz w:val="32"/>
          <w:szCs w:val="32"/>
        </w:rPr>
        <w:t>4</w:t>
      </w:r>
      <w:r>
        <w:rPr>
          <w:rFonts w:ascii="仿宋" w:hAnsi="仿宋" w:eastAsia="仿宋"/>
          <w:sz w:val="32"/>
          <w:szCs w:val="32"/>
        </w:rPr>
        <w:t>套公共租赁住房房源进行了清理，启动了2018年度公共租赁住房工作。缓解中低收入人群租房压力，全年按月发放公共租赁住房补贴6</w:t>
      </w:r>
      <w:r>
        <w:rPr>
          <w:rFonts w:hint="eastAsia" w:ascii="仿宋" w:hAnsi="仿宋" w:eastAsia="仿宋"/>
          <w:sz w:val="32"/>
          <w:szCs w:val="32"/>
        </w:rPr>
        <w:t>6</w:t>
      </w:r>
      <w:r>
        <w:rPr>
          <w:rFonts w:ascii="仿宋" w:hAnsi="仿宋" w:eastAsia="仿宋"/>
          <w:sz w:val="32"/>
          <w:szCs w:val="32"/>
        </w:rPr>
        <w:t>户</w:t>
      </w:r>
      <w:r>
        <w:rPr>
          <w:rFonts w:hint="eastAsia" w:ascii="仿宋" w:hAnsi="仿宋" w:eastAsia="仿宋"/>
          <w:sz w:val="32"/>
          <w:szCs w:val="32"/>
        </w:rPr>
        <w:t>，84375</w:t>
      </w:r>
      <w:r>
        <w:rPr>
          <w:rFonts w:ascii="仿宋" w:hAnsi="仿宋" w:eastAsia="仿宋"/>
          <w:sz w:val="32"/>
          <w:szCs w:val="32"/>
        </w:rPr>
        <w:t>元。</w:t>
      </w:r>
    </w:p>
    <w:p w14:paraId="5608470A">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 xml:space="preserve"> 着力加强村镇建设管理，推进城乡统筹发展。我们千方百计补短板，推进城乡一体化发展。坚持规划引领，统筹优化乡村布局，完成了前进镇总体规划、大龙潭乡、中坝乡总体规划和控制性详细规划编制及《攀枝花市仁和区新村建设总体规划》修编工作。大力实施</w:t>
      </w:r>
      <w:r>
        <w:rPr>
          <w:rFonts w:hint="eastAsia" w:ascii="仿宋" w:hAnsi="仿宋" w:eastAsia="仿宋"/>
          <w:sz w:val="32"/>
          <w:szCs w:val="32"/>
        </w:rPr>
        <w:t>乡村振兴战略</w:t>
      </w:r>
      <w:r>
        <w:rPr>
          <w:rFonts w:ascii="仿宋" w:hAnsi="仿宋" w:eastAsia="仿宋"/>
          <w:sz w:val="32"/>
          <w:szCs w:val="32"/>
        </w:rPr>
        <w:t>，大田镇、同德镇成功申报四川省“百镇建设试点”，针对大田镇、同德镇，整合“幸福美丽新村”“人居环境治理”“脱贫攻坚”“农村危房改造”及“厕所革命”落实项目17个</w:t>
      </w:r>
    </w:p>
    <w:p w14:paraId="28F609BB">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 xml:space="preserve"> 着力稳定房地产市场，促进经济高质量发展。我们不懈努力强服务，推进房地产市场</w:t>
      </w:r>
      <w:r>
        <w:rPr>
          <w:rFonts w:hint="eastAsia" w:ascii="仿宋" w:hAnsi="仿宋" w:eastAsia="仿宋"/>
          <w:sz w:val="32"/>
          <w:szCs w:val="32"/>
        </w:rPr>
        <w:t>高质量发展</w:t>
      </w:r>
      <w:r>
        <w:rPr>
          <w:rFonts w:ascii="仿宋" w:hAnsi="仿宋" w:eastAsia="仿宋"/>
          <w:sz w:val="32"/>
          <w:szCs w:val="32"/>
        </w:rPr>
        <w:t>。全年，辖区31个房地产开发项目，累计房屋施工面积约</w:t>
      </w:r>
      <w:r>
        <w:rPr>
          <w:rFonts w:hint="eastAsia" w:ascii="仿宋" w:hAnsi="仿宋" w:eastAsia="仿宋"/>
          <w:sz w:val="32"/>
          <w:szCs w:val="32"/>
        </w:rPr>
        <w:t>334</w:t>
      </w:r>
      <w:r>
        <w:rPr>
          <w:rFonts w:ascii="仿宋" w:hAnsi="仿宋" w:eastAsia="仿宋"/>
          <w:sz w:val="32"/>
          <w:szCs w:val="32"/>
        </w:rPr>
        <w:t>万㎡，同比增长</w:t>
      </w:r>
      <w:r>
        <w:rPr>
          <w:rFonts w:hint="eastAsia" w:ascii="仿宋" w:hAnsi="仿宋" w:eastAsia="仿宋"/>
          <w:sz w:val="32"/>
          <w:szCs w:val="32"/>
        </w:rPr>
        <w:t>59</w:t>
      </w:r>
      <w:r>
        <w:rPr>
          <w:rFonts w:ascii="仿宋" w:hAnsi="仿宋" w:eastAsia="仿宋"/>
          <w:sz w:val="32"/>
          <w:szCs w:val="32"/>
        </w:rPr>
        <w:t>%；新开工房地产项目</w:t>
      </w:r>
      <w:r>
        <w:rPr>
          <w:rFonts w:hint="eastAsia" w:ascii="仿宋" w:hAnsi="仿宋" w:eastAsia="仿宋"/>
          <w:sz w:val="32"/>
          <w:szCs w:val="32"/>
        </w:rPr>
        <w:t>12</w:t>
      </w:r>
      <w:r>
        <w:rPr>
          <w:rFonts w:ascii="仿宋" w:hAnsi="仿宋" w:eastAsia="仿宋"/>
          <w:sz w:val="32"/>
          <w:szCs w:val="32"/>
        </w:rPr>
        <w:t>个</w:t>
      </w:r>
      <w:r>
        <w:rPr>
          <w:rFonts w:hint="eastAsia" w:ascii="仿宋" w:hAnsi="仿宋" w:eastAsia="仿宋"/>
          <w:sz w:val="32"/>
          <w:szCs w:val="32"/>
        </w:rPr>
        <w:t>115</w:t>
      </w:r>
      <w:r>
        <w:rPr>
          <w:rFonts w:ascii="仿宋" w:hAnsi="仿宋" w:eastAsia="仿宋"/>
          <w:sz w:val="32"/>
          <w:szCs w:val="32"/>
        </w:rPr>
        <w:t>万㎡，同比增长</w:t>
      </w:r>
      <w:r>
        <w:rPr>
          <w:rFonts w:hint="eastAsia" w:ascii="仿宋" w:hAnsi="仿宋" w:eastAsia="仿宋"/>
          <w:sz w:val="32"/>
          <w:szCs w:val="32"/>
        </w:rPr>
        <w:t>18.55</w:t>
      </w:r>
      <w:r>
        <w:rPr>
          <w:rFonts w:ascii="仿宋" w:hAnsi="仿宋" w:eastAsia="仿宋"/>
          <w:sz w:val="32"/>
          <w:szCs w:val="32"/>
        </w:rPr>
        <w:t>%。</w:t>
      </w:r>
      <w:r>
        <w:rPr>
          <w:rFonts w:hint="eastAsia" w:ascii="仿宋" w:hAnsi="仿宋" w:eastAsia="仿宋"/>
          <w:sz w:val="32"/>
          <w:szCs w:val="32"/>
        </w:rPr>
        <w:t>16</w:t>
      </w:r>
      <w:r>
        <w:rPr>
          <w:rFonts w:ascii="仿宋" w:hAnsi="仿宋" w:eastAsia="仿宋"/>
          <w:sz w:val="32"/>
          <w:szCs w:val="32"/>
        </w:rPr>
        <w:t>个项目</w:t>
      </w:r>
      <w:r>
        <w:rPr>
          <w:rFonts w:hint="eastAsia" w:ascii="仿宋" w:hAnsi="仿宋" w:eastAsia="仿宋"/>
          <w:sz w:val="32"/>
          <w:szCs w:val="32"/>
        </w:rPr>
        <w:t>分26批次办理</w:t>
      </w:r>
      <w:r>
        <w:rPr>
          <w:rFonts w:ascii="仿宋" w:hAnsi="仿宋" w:eastAsia="仿宋"/>
          <w:sz w:val="32"/>
          <w:szCs w:val="32"/>
        </w:rPr>
        <w:t>预售，预售面积</w:t>
      </w:r>
      <w:r>
        <w:rPr>
          <w:rFonts w:hint="eastAsia" w:ascii="仿宋" w:hAnsi="仿宋" w:eastAsia="仿宋"/>
          <w:sz w:val="32"/>
          <w:szCs w:val="32"/>
        </w:rPr>
        <w:t>66.22</w:t>
      </w:r>
      <w:r>
        <w:rPr>
          <w:rFonts w:ascii="仿宋" w:hAnsi="仿宋" w:eastAsia="仿宋"/>
          <w:sz w:val="32"/>
          <w:szCs w:val="32"/>
        </w:rPr>
        <w:t>万㎡，同比增长</w:t>
      </w:r>
      <w:r>
        <w:rPr>
          <w:rFonts w:hint="eastAsia" w:ascii="仿宋" w:hAnsi="仿宋" w:eastAsia="仿宋"/>
          <w:sz w:val="32"/>
          <w:szCs w:val="32"/>
        </w:rPr>
        <w:t>163</w:t>
      </w:r>
      <w:r>
        <w:rPr>
          <w:rFonts w:ascii="仿宋" w:hAnsi="仿宋" w:eastAsia="仿宋"/>
          <w:sz w:val="32"/>
          <w:szCs w:val="32"/>
        </w:rPr>
        <w:t>%；网签销售新建商品住宅</w:t>
      </w:r>
      <w:r>
        <w:rPr>
          <w:rFonts w:hint="eastAsia" w:ascii="仿宋" w:hAnsi="仿宋" w:eastAsia="仿宋"/>
          <w:sz w:val="32"/>
          <w:szCs w:val="32"/>
        </w:rPr>
        <w:t>3700</w:t>
      </w:r>
      <w:r>
        <w:rPr>
          <w:rFonts w:ascii="仿宋" w:hAnsi="仿宋" w:eastAsia="仿宋"/>
          <w:sz w:val="32"/>
          <w:szCs w:val="32"/>
        </w:rPr>
        <w:t>套</w:t>
      </w:r>
      <w:r>
        <w:rPr>
          <w:rFonts w:hint="eastAsia" w:ascii="仿宋" w:hAnsi="仿宋" w:eastAsia="仿宋"/>
          <w:sz w:val="32"/>
          <w:szCs w:val="32"/>
        </w:rPr>
        <w:t>37</w:t>
      </w:r>
      <w:r>
        <w:rPr>
          <w:rFonts w:ascii="仿宋" w:hAnsi="仿宋" w:eastAsia="仿宋"/>
          <w:sz w:val="32"/>
          <w:szCs w:val="32"/>
        </w:rPr>
        <w:t>万㎡</w:t>
      </w:r>
      <w:r>
        <w:rPr>
          <w:rFonts w:hint="eastAsia" w:ascii="仿宋" w:hAnsi="仿宋" w:eastAsia="仿宋"/>
          <w:sz w:val="32"/>
          <w:szCs w:val="32"/>
        </w:rPr>
        <w:t>。</w:t>
      </w:r>
      <w:r>
        <w:rPr>
          <w:rFonts w:ascii="仿宋" w:hAnsi="仿宋" w:eastAsia="仿宋"/>
          <w:sz w:val="32"/>
          <w:szCs w:val="32"/>
        </w:rPr>
        <w:t>完成芙蓉花城等12个项目的前期物业招投标、备案工作</w:t>
      </w:r>
      <w:r>
        <w:rPr>
          <w:rFonts w:hint="eastAsia" w:ascii="仿宋" w:hAnsi="仿宋" w:eastAsia="仿宋"/>
          <w:sz w:val="32"/>
          <w:szCs w:val="32"/>
        </w:rPr>
        <w:t>，</w:t>
      </w:r>
      <w:r>
        <w:rPr>
          <w:rFonts w:ascii="仿宋" w:hAnsi="仿宋" w:eastAsia="仿宋"/>
          <w:sz w:val="32"/>
          <w:szCs w:val="32"/>
        </w:rPr>
        <w:t>指导和润小区</w:t>
      </w:r>
      <w:r>
        <w:rPr>
          <w:rFonts w:hint="eastAsia" w:ascii="仿宋" w:hAnsi="仿宋" w:eastAsia="仿宋"/>
          <w:sz w:val="32"/>
          <w:szCs w:val="32"/>
        </w:rPr>
        <w:t>、</w:t>
      </w:r>
      <w:r>
        <w:rPr>
          <w:rFonts w:ascii="仿宋" w:hAnsi="仿宋" w:eastAsia="仿宋"/>
          <w:sz w:val="32"/>
          <w:szCs w:val="32"/>
        </w:rPr>
        <w:t>上海花园</w:t>
      </w:r>
      <w:r>
        <w:rPr>
          <w:rFonts w:hint="eastAsia" w:ascii="仿宋" w:hAnsi="仿宋" w:eastAsia="仿宋"/>
          <w:sz w:val="32"/>
          <w:szCs w:val="32"/>
        </w:rPr>
        <w:t>等小区业委会工作，促使</w:t>
      </w:r>
      <w:r>
        <w:rPr>
          <w:rFonts w:ascii="仿宋" w:hAnsi="仿宋" w:eastAsia="仿宋"/>
          <w:sz w:val="32"/>
          <w:szCs w:val="32"/>
        </w:rPr>
        <w:t>仁和小区物业管理水平不断提升，小区自治管理更加有序。</w:t>
      </w:r>
    </w:p>
    <w:p w14:paraId="5DF9563C">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 xml:space="preserve"> 着力创新行业管理机制，优化城市营商环境。</w:t>
      </w:r>
      <w:r>
        <w:rPr>
          <w:rFonts w:hint="eastAsia" w:ascii="仿宋" w:hAnsi="仿宋" w:eastAsia="仿宋"/>
          <w:sz w:val="32"/>
          <w:szCs w:val="32"/>
        </w:rPr>
        <w:t>积</w:t>
      </w:r>
      <w:r>
        <w:rPr>
          <w:rFonts w:ascii="仿宋" w:hAnsi="仿宋" w:eastAsia="仿宋"/>
          <w:sz w:val="32"/>
          <w:szCs w:val="32"/>
        </w:rPr>
        <w:t>极推进“最多跑一次”改革，招标控制价备案、施工监理合同备案全部</w:t>
      </w:r>
      <w:r>
        <w:rPr>
          <w:rFonts w:hint="eastAsia" w:ascii="仿宋" w:hAnsi="仿宋" w:eastAsia="仿宋"/>
          <w:sz w:val="32"/>
          <w:szCs w:val="32"/>
        </w:rPr>
        <w:t>实现</w:t>
      </w:r>
      <w:r>
        <w:rPr>
          <w:rFonts w:ascii="仿宋" w:hAnsi="仿宋" w:eastAsia="仿宋"/>
          <w:sz w:val="32"/>
          <w:szCs w:val="32"/>
        </w:rPr>
        <w:t>网上申报</w:t>
      </w:r>
      <w:r>
        <w:rPr>
          <w:rFonts w:hint="eastAsia" w:ascii="仿宋" w:hAnsi="仿宋" w:eastAsia="仿宋"/>
          <w:sz w:val="32"/>
          <w:szCs w:val="32"/>
        </w:rPr>
        <w:t>，</w:t>
      </w:r>
      <w:r>
        <w:rPr>
          <w:rFonts w:ascii="仿宋" w:hAnsi="仿宋" w:eastAsia="仿宋"/>
          <w:sz w:val="32"/>
          <w:szCs w:val="32"/>
        </w:rPr>
        <w:t>在申请材料齐全、符合法定要求的情况下合同备案实现即时办结，施工许可审批时限由缩短为2个工作日内限时办结，提速50%以上。</w:t>
      </w:r>
      <w:r>
        <w:rPr>
          <w:rFonts w:hint="eastAsia" w:ascii="仿宋" w:hAnsi="仿宋" w:eastAsia="仿宋"/>
          <w:sz w:val="32"/>
          <w:szCs w:val="32"/>
        </w:rPr>
        <w:t>积极维护农民工合法权益，扎实</w:t>
      </w:r>
      <w:r>
        <w:rPr>
          <w:rFonts w:ascii="仿宋" w:hAnsi="仿宋" w:eastAsia="仿宋"/>
          <w:sz w:val="32"/>
          <w:szCs w:val="32"/>
        </w:rPr>
        <w:t>开展支付工程款及农民工工资专项检查，收取29个项目农民工工资保障金</w:t>
      </w:r>
      <w:r>
        <w:rPr>
          <w:rFonts w:hint="eastAsia" w:ascii="仿宋" w:hAnsi="仿宋" w:eastAsia="仿宋"/>
          <w:sz w:val="32"/>
          <w:szCs w:val="32"/>
        </w:rPr>
        <w:t>4837</w:t>
      </w:r>
      <w:r>
        <w:rPr>
          <w:rFonts w:ascii="仿宋" w:hAnsi="仿宋" w:eastAsia="仿宋"/>
          <w:sz w:val="32"/>
          <w:szCs w:val="32"/>
        </w:rPr>
        <w:t>万元，</w:t>
      </w:r>
      <w:r>
        <w:rPr>
          <w:rFonts w:hint="eastAsia" w:ascii="仿宋" w:hAnsi="仿宋" w:eastAsia="仿宋"/>
          <w:sz w:val="32"/>
          <w:szCs w:val="32"/>
        </w:rPr>
        <w:t>民工工资保险1656万元，</w:t>
      </w:r>
      <w:r>
        <w:rPr>
          <w:rFonts w:ascii="仿宋" w:hAnsi="仿宋" w:eastAsia="仿宋"/>
          <w:sz w:val="32"/>
          <w:szCs w:val="32"/>
        </w:rPr>
        <w:t>新开工及续建的33个建设项目全部开设民工工资专户并签订了农民工工资托管协议。</w:t>
      </w:r>
    </w:p>
    <w:p w14:paraId="636D93E8">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 xml:space="preserve"> 着力强化质量安全监管，打造标准化建筑工地。借助中央、省环保督察整改契机，全力打造标准化建筑工地，制定了《仁和区房屋建设和市政基础设施工程文明施工标准化实施方案》，认真开展建筑工地扬尘治理、噪音污染、文明施工标准化等专项治理行动，签订建筑施工现场扬尘治理承诺书30份，处理建筑工地夜间施工噪音污染投诉130条。对全区67个在建项目、293个单位工程开展工程质量安全提升行动，加大对施工过程重点环节、重要部位和关键工序的抽查力度，全力确保建筑工程质量安全，全年对25个新建项目下达了质量安全监督计划，完成了10个项目，44个单位工程，25万平米的主体结构验收；完成了11个房屋建筑项目，49个单位工程，18.5万平米及市政工程桥梁1座，运动场3个，场坪工程1个的竣工验收；完成工程质量监督报告29份；编制工程质量监督报告27份，工程质量监督交底17余次，考评监理单位4家（一个季度1家），受理工程质量投诉案件25件，所有案件基本得到妥善处理，针对质量安全存在问题较多的建设项目，我局向各责任单位下发了限期整改通知单188份，停工整改通知单133份。</w:t>
      </w:r>
    </w:p>
    <w:p w14:paraId="429B739F">
      <w:pPr>
        <w:spacing w:line="560" w:lineRule="exact"/>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 xml:space="preserve"> 着力开展脱贫攻坚工作，助力打赢脱贫攻坚战。</w:t>
      </w:r>
    </w:p>
    <w:p w14:paraId="47034994">
      <w:pPr>
        <w:pStyle w:val="5"/>
        <w:adjustRightInd w:val="0"/>
        <w:snapToGrid w:val="0"/>
        <w:spacing w:before="93" w:line="600" w:lineRule="exact"/>
        <w:ind w:firstLine="672" w:firstLineChars="210"/>
        <w:outlineLvl w:val="2"/>
        <w:rPr>
          <w:rFonts w:ascii="仿宋" w:hAnsi="仿宋" w:eastAsia="仿宋"/>
          <w:kern w:val="2"/>
          <w:sz w:val="32"/>
          <w:szCs w:val="32"/>
        </w:rPr>
      </w:pPr>
      <w:r>
        <w:rPr>
          <w:rFonts w:ascii="仿宋" w:hAnsi="仿宋" w:eastAsia="仿宋"/>
          <w:kern w:val="2"/>
          <w:sz w:val="32"/>
          <w:szCs w:val="32"/>
        </w:rPr>
        <w:t>高度重视脱贫攻坚工作，对我局负责帮扶的平地镇平地村76户建档立卡贫困户（5户精准识别户）工作任务进行了分解，建立健全了贫困户信息档案</w:t>
      </w:r>
      <w:r>
        <w:rPr>
          <w:rFonts w:hint="eastAsia" w:ascii="仿宋" w:hAnsi="仿宋" w:eastAsia="仿宋"/>
          <w:kern w:val="2"/>
          <w:sz w:val="32"/>
          <w:szCs w:val="32"/>
        </w:rPr>
        <w:t>，</w:t>
      </w:r>
      <w:r>
        <w:rPr>
          <w:rFonts w:ascii="仿宋" w:hAnsi="仿宋" w:eastAsia="仿宋"/>
          <w:kern w:val="2"/>
          <w:sz w:val="32"/>
          <w:szCs w:val="32"/>
        </w:rPr>
        <w:t>研究制订了切实可行的帮扶方案和帮扶措施。</w:t>
      </w:r>
      <w:r>
        <w:rPr>
          <w:rFonts w:hint="eastAsia" w:ascii="仿宋" w:hAnsi="仿宋" w:eastAsia="仿宋"/>
          <w:kern w:val="2"/>
          <w:sz w:val="32"/>
          <w:szCs w:val="32"/>
        </w:rPr>
        <w:t>我们</w:t>
      </w:r>
      <w:r>
        <w:rPr>
          <w:rFonts w:ascii="仿宋" w:hAnsi="仿宋" w:eastAsia="仿宋"/>
          <w:kern w:val="2"/>
          <w:sz w:val="32"/>
          <w:szCs w:val="32"/>
        </w:rPr>
        <w:t>带队入户走访</w:t>
      </w:r>
      <w:r>
        <w:rPr>
          <w:rFonts w:hint="eastAsia" w:ascii="仿宋" w:hAnsi="仿宋" w:eastAsia="仿宋"/>
          <w:kern w:val="2"/>
          <w:sz w:val="32"/>
          <w:szCs w:val="32"/>
        </w:rPr>
        <w:t>10余次</w:t>
      </w:r>
      <w:r>
        <w:rPr>
          <w:rFonts w:ascii="仿宋" w:hAnsi="仿宋" w:eastAsia="仿宋"/>
          <w:kern w:val="2"/>
          <w:sz w:val="32"/>
          <w:szCs w:val="32"/>
        </w:rPr>
        <w:t>，为贫困户宣讲</w:t>
      </w:r>
      <w:r>
        <w:rPr>
          <w:rFonts w:hint="eastAsia" w:ascii="仿宋" w:hAnsi="仿宋" w:eastAsia="仿宋"/>
          <w:kern w:val="2"/>
          <w:sz w:val="32"/>
          <w:szCs w:val="32"/>
        </w:rPr>
        <w:t>国家扶贫政策及</w:t>
      </w:r>
      <w:r>
        <w:rPr>
          <w:rFonts w:ascii="仿宋" w:hAnsi="仿宋" w:eastAsia="仿宋"/>
          <w:kern w:val="2"/>
          <w:sz w:val="32"/>
          <w:szCs w:val="32"/>
        </w:rPr>
        <w:t>传十九大精神，送去慰问金、慰问品共计3</w:t>
      </w:r>
      <w:r>
        <w:rPr>
          <w:rFonts w:hint="eastAsia" w:ascii="仿宋" w:hAnsi="仿宋" w:eastAsia="仿宋"/>
          <w:kern w:val="2"/>
          <w:sz w:val="32"/>
          <w:szCs w:val="32"/>
        </w:rPr>
        <w:t>万</w:t>
      </w:r>
      <w:r>
        <w:rPr>
          <w:rFonts w:ascii="仿宋" w:hAnsi="仿宋" w:eastAsia="仿宋"/>
          <w:kern w:val="2"/>
          <w:sz w:val="32"/>
          <w:szCs w:val="32"/>
        </w:rPr>
        <w:t>余元</w:t>
      </w:r>
      <w:r>
        <w:rPr>
          <w:rFonts w:hint="eastAsia" w:ascii="仿宋" w:hAnsi="仿宋" w:eastAsia="仿宋"/>
          <w:kern w:val="2"/>
          <w:sz w:val="32"/>
          <w:szCs w:val="32"/>
        </w:rPr>
        <w:t>，</w:t>
      </w:r>
      <w:r>
        <w:rPr>
          <w:rFonts w:ascii="仿宋" w:hAnsi="仿宋" w:eastAsia="仿宋"/>
          <w:kern w:val="2"/>
          <w:sz w:val="32"/>
          <w:szCs w:val="32"/>
        </w:rPr>
        <w:t>安排相关业务股室专业技术人员对贫困户农房重建、标准化羊圈建设等进行现场指导</w:t>
      </w:r>
      <w:r>
        <w:rPr>
          <w:rFonts w:hint="eastAsia" w:ascii="仿宋" w:hAnsi="仿宋" w:eastAsia="仿宋"/>
          <w:kern w:val="2"/>
          <w:sz w:val="32"/>
          <w:szCs w:val="32"/>
        </w:rPr>
        <w:t>，进一步增强了贫困户脱贫信心</w:t>
      </w:r>
      <w:r>
        <w:rPr>
          <w:rFonts w:ascii="仿宋" w:hAnsi="仿宋" w:eastAsia="仿宋"/>
          <w:kern w:val="2"/>
          <w:sz w:val="32"/>
          <w:szCs w:val="32"/>
        </w:rPr>
        <w:t>。在全区扶贫日组织全体党员、干部职工积极为贫困村捐款2600元；主动联系辖区企业四川天府银行和攀枝花市华芝投资集团有限公司参与我区脱贫攻坚工作，为帮扶村捐赠10万元的种植肥料、种苗、牲畜及农房改造费用，用于解决农户春耕生产问题和改善农户住房条件；同时，积极联系有意愿参与脱贫攻坚工作的建筑企业攀枝花鑫悦建筑工程有限公司为贫困户李倪芳修建厨房和厕所，改善农户生活条件。</w:t>
      </w:r>
      <w:bookmarkStart w:id="20" w:name="_Toc15396601"/>
      <w:bookmarkStart w:id="21" w:name="_Toc15377200"/>
    </w:p>
    <w:p w14:paraId="394C2F6F">
      <w:pPr>
        <w:pStyle w:val="5"/>
        <w:adjustRightInd w:val="0"/>
        <w:snapToGrid w:val="0"/>
        <w:spacing w:before="93" w:line="600" w:lineRule="exact"/>
        <w:ind w:firstLine="630" w:firstLineChars="210"/>
        <w:outlineLvl w:val="2"/>
        <w:rPr>
          <w:rStyle w:val="26"/>
          <w:rFonts w:ascii="仿宋" w:hAnsi="仿宋" w:eastAsia="仿宋" w:cs="Times New Roman"/>
          <w:b w:val="0"/>
          <w:bCs w:val="0"/>
        </w:rPr>
      </w:pPr>
      <w:r>
        <w:rPr>
          <w:rFonts w:hint="eastAsia" w:ascii="黑体" w:eastAsia="黑体"/>
          <w:color w:val="000000"/>
        </w:rPr>
        <w:t>二、</w:t>
      </w:r>
      <w:r>
        <w:rPr>
          <w:rFonts w:hint="eastAsia" w:ascii="黑体" w:hAnsi="黑体" w:eastAsia="黑体"/>
          <w:color w:val="000000"/>
        </w:rPr>
        <w:t>机</w:t>
      </w:r>
      <w:r>
        <w:rPr>
          <w:rStyle w:val="26"/>
          <w:rFonts w:hint="eastAsia" w:ascii="黑体" w:hAnsi="黑体" w:eastAsia="黑体"/>
        </w:rPr>
        <w:t>构设置</w:t>
      </w:r>
      <w:bookmarkEnd w:id="20"/>
      <w:bookmarkEnd w:id="21"/>
    </w:p>
    <w:p w14:paraId="796D56D1">
      <w:pPr>
        <w:ind w:firstLine="800" w:firstLineChars="250"/>
        <w:rPr>
          <w:rFonts w:ascii="仿宋" w:hAnsi="仿宋" w:eastAsia="仿宋"/>
          <w:sz w:val="32"/>
          <w:szCs w:val="32"/>
        </w:rPr>
      </w:pPr>
      <w:r>
        <w:rPr>
          <w:rFonts w:hint="eastAsia" w:ascii="仿宋" w:hAnsi="仿宋" w:eastAsia="仿宋"/>
          <w:sz w:val="32"/>
          <w:szCs w:val="32"/>
        </w:rPr>
        <w:t>攀枝花市仁和区住房和城乡建设局为一级预算单位，单位性质为行政单位，其中行政单位1个，参照公务员法管理的事业单位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个，其他事业单位3个（仁和区村镇建设管理站、仁和区房地产管理所、仁和区建设工程质量安全监督站）。</w:t>
      </w:r>
    </w:p>
    <w:p w14:paraId="39C08B51">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sz w:val="32"/>
          <w:szCs w:val="32"/>
        </w:rPr>
        <w:t>攀枝花市仁和区住房和城乡建设局</w:t>
      </w:r>
      <w:r>
        <w:rPr>
          <w:rFonts w:hint="eastAsia" w:ascii="仿宋" w:hAnsi="仿宋" w:eastAsia="仿宋"/>
          <w:color w:val="000000"/>
          <w:sz w:val="32"/>
          <w:szCs w:val="32"/>
        </w:rPr>
        <w:t>2018年度部门决算编制范围有：行政单位1个、事业单位2个（</w:t>
      </w:r>
      <w:r>
        <w:rPr>
          <w:rFonts w:hint="eastAsia" w:ascii="仿宋" w:hAnsi="仿宋" w:eastAsia="仿宋"/>
          <w:kern w:val="2"/>
          <w:sz w:val="32"/>
          <w:szCs w:val="32"/>
        </w:rPr>
        <w:t>仁和区村镇建设管理站、仁和区房地产管理所</w:t>
      </w:r>
      <w:r>
        <w:rPr>
          <w:rFonts w:hint="eastAsia" w:ascii="仿宋" w:hAnsi="仿宋" w:eastAsia="仿宋"/>
          <w:color w:val="000000"/>
          <w:sz w:val="32"/>
          <w:szCs w:val="32"/>
        </w:rPr>
        <w:t>）,</w:t>
      </w:r>
      <w:r>
        <w:rPr>
          <w:rFonts w:hint="eastAsia" w:ascii="仿宋" w:hAnsi="仿宋" w:eastAsia="仿宋"/>
          <w:kern w:val="2"/>
          <w:sz w:val="32"/>
          <w:szCs w:val="32"/>
        </w:rPr>
        <w:t xml:space="preserve"> 仁和区建设工程质量安全监督</w:t>
      </w:r>
      <w:r>
        <w:rPr>
          <w:rFonts w:hint="eastAsia" w:ascii="仿宋" w:hAnsi="仿宋" w:eastAsia="仿宋"/>
          <w:color w:val="000000"/>
          <w:sz w:val="32"/>
          <w:szCs w:val="32"/>
        </w:rPr>
        <w:t>财务独立核算未纳入。</w:t>
      </w:r>
    </w:p>
    <w:p w14:paraId="71EC9D70">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14:paraId="51E1CF32">
      <w:pPr>
        <w:pStyle w:val="2"/>
        <w:ind w:right="440"/>
        <w:jc w:val="right"/>
        <w:rPr>
          <w:rStyle w:val="25"/>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Style w:val="25"/>
          <w:rFonts w:hint="eastAsia" w:ascii="黑体" w:hAnsi="黑体" w:eastAsia="黑体"/>
          <w:b w:val="0"/>
          <w:bCs w:val="0"/>
        </w:rPr>
        <w:t>2018年度部门决算情况说明</w:t>
      </w:r>
      <w:bookmarkEnd w:id="22"/>
      <w:bookmarkEnd w:id="23"/>
    </w:p>
    <w:p w14:paraId="45D74C96"/>
    <w:p w14:paraId="170EE072">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14:paraId="2F79E5A3">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实际收入3342.34万元，与2017年的4235.14万元收入相比，减少892.8万元，下降21%，下降原因主要是：社会保障和就业支出减少8.56元，医疗卫生与计划生育支出增加1.03万元，城乡社区支出减少592.65万元，住房保障支出减少276.06万元，农林水支出减少16.56万元。</w:t>
      </w:r>
    </w:p>
    <w:p w14:paraId="31FA8589">
      <w:r>
        <w:drawing>
          <wp:inline distT="0" distB="0" distL="0" distR="0">
            <wp:extent cx="5448300" cy="2400300"/>
            <wp:effectExtent l="19050" t="0" r="1905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555EE93">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2018年实际支出4711.94万元，2017年实际支出3727.08万元，比2017年支出增加984.86万元，增加原因是增加棚户区改造贷款本金和利息支出。</w:t>
      </w:r>
    </w:p>
    <w:p w14:paraId="07A4B687">
      <w:r>
        <w:drawing>
          <wp:inline distT="0" distB="0" distL="0" distR="0">
            <wp:extent cx="5274310" cy="2514600"/>
            <wp:effectExtent l="19050" t="0" r="21590" b="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AC6E6A4">
      <w:pPr>
        <w:pStyle w:val="24"/>
        <w:numPr>
          <w:ilvl w:val="0"/>
          <w:numId w:val="1"/>
        </w:numPr>
        <w:spacing w:line="600" w:lineRule="exac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14:paraId="0BE99367">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8年本年收入合计3342.34万元，其中：一般公共预算财政拨款收入</w:t>
      </w:r>
      <w:r>
        <w:rPr>
          <w:rFonts w:ascii="仿宋" w:hAnsi="仿宋" w:eastAsia="仿宋"/>
          <w:color w:val="000000"/>
          <w:sz w:val="32"/>
          <w:szCs w:val="32"/>
        </w:rPr>
        <w:t>1,154.1</w:t>
      </w:r>
      <w:r>
        <w:rPr>
          <w:rFonts w:hint="eastAsia" w:ascii="仿宋" w:hAnsi="仿宋" w:eastAsia="仿宋"/>
          <w:color w:val="000000"/>
          <w:sz w:val="32"/>
          <w:szCs w:val="32"/>
        </w:rPr>
        <w:t>4万元，占34</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ascii="仿宋" w:hAnsi="仿宋" w:eastAsia="仿宋"/>
          <w:color w:val="000000"/>
          <w:sz w:val="32"/>
          <w:szCs w:val="32"/>
        </w:rPr>
        <w:t>2,058.20</w:t>
      </w:r>
      <w:r>
        <w:rPr>
          <w:rFonts w:hint="eastAsia" w:ascii="仿宋" w:hAnsi="仿宋" w:eastAsia="仿宋"/>
          <w:color w:val="000000"/>
          <w:sz w:val="32"/>
          <w:szCs w:val="32"/>
        </w:rPr>
        <w:t>万元，占62</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；国有资本经营预算财政拨款收入0万元；事业收入0万元；经营收入0万元；附属单位上缴收入0万元</w:t>
      </w:r>
      <w:r>
        <w:rPr>
          <w:rFonts w:ascii="仿宋" w:hAnsi="仿宋" w:eastAsia="仿宋"/>
          <w:color w:val="000000"/>
          <w:sz w:val="32"/>
          <w:szCs w:val="32"/>
        </w:rPr>
        <w:t>%</w:t>
      </w:r>
      <w:r>
        <w:rPr>
          <w:rFonts w:hint="eastAsia" w:ascii="仿宋" w:hAnsi="仿宋" w:eastAsia="仿宋"/>
          <w:color w:val="000000"/>
          <w:sz w:val="32"/>
          <w:szCs w:val="32"/>
        </w:rPr>
        <w:t>；其他收入</w:t>
      </w:r>
      <w:r>
        <w:rPr>
          <w:rFonts w:ascii="仿宋" w:hAnsi="仿宋" w:eastAsia="仿宋"/>
          <w:color w:val="000000"/>
          <w:sz w:val="32"/>
          <w:szCs w:val="32"/>
        </w:rPr>
        <w:t>130.00</w:t>
      </w:r>
      <w:r>
        <w:rPr>
          <w:rFonts w:hint="eastAsia" w:ascii="仿宋" w:hAnsi="仿宋" w:eastAsia="仿宋"/>
          <w:color w:val="000000"/>
          <w:sz w:val="32"/>
          <w:szCs w:val="32"/>
        </w:rPr>
        <w:t>万元，占4</w:t>
      </w:r>
      <w:r>
        <w:rPr>
          <w:rFonts w:ascii="仿宋" w:hAnsi="仿宋" w:eastAsia="仿宋"/>
          <w:color w:val="000000"/>
          <w:sz w:val="32"/>
          <w:szCs w:val="32"/>
        </w:rPr>
        <w:t>%</w:t>
      </w:r>
      <w:r>
        <w:rPr>
          <w:rFonts w:hint="eastAsia" w:ascii="仿宋" w:hAnsi="仿宋" w:eastAsia="仿宋"/>
          <w:color w:val="000000"/>
          <w:sz w:val="32"/>
          <w:szCs w:val="32"/>
        </w:rPr>
        <w:t>。</w:t>
      </w:r>
    </w:p>
    <w:p w14:paraId="5C0F480F">
      <w:r>
        <w:drawing>
          <wp:inline distT="0" distB="0" distL="0" distR="0">
            <wp:extent cx="5045710" cy="1714500"/>
            <wp:effectExtent l="19050" t="0" r="21590" b="0"/>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06CF3E2">
      <w:pPr>
        <w:pStyle w:val="24"/>
        <w:numPr>
          <w:ilvl w:val="0"/>
          <w:numId w:val="1"/>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14:paraId="3267FDDE">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8年本年支出合计4711.94万元，其中：基本支出649.75万元，占14</w:t>
      </w:r>
      <w:r>
        <w:rPr>
          <w:rFonts w:ascii="仿宋" w:hAnsi="仿宋" w:eastAsia="仿宋"/>
          <w:color w:val="000000"/>
          <w:sz w:val="32"/>
          <w:szCs w:val="32"/>
        </w:rPr>
        <w:t>%</w:t>
      </w:r>
      <w:r>
        <w:rPr>
          <w:rFonts w:hint="eastAsia" w:ascii="仿宋" w:hAnsi="仿宋" w:eastAsia="仿宋"/>
          <w:color w:val="000000"/>
          <w:sz w:val="32"/>
          <w:szCs w:val="32"/>
        </w:rPr>
        <w:t>；项目支出4062.19万元，占86</w:t>
      </w:r>
      <w:r>
        <w:rPr>
          <w:rFonts w:ascii="仿宋" w:hAnsi="仿宋" w:eastAsia="仿宋"/>
          <w:color w:val="000000"/>
          <w:sz w:val="32"/>
          <w:szCs w:val="32"/>
        </w:rPr>
        <w:t>%</w:t>
      </w:r>
      <w:r>
        <w:rPr>
          <w:rFonts w:hint="eastAsia" w:ascii="仿宋" w:hAnsi="仿宋" w:eastAsia="仿宋"/>
          <w:color w:val="000000"/>
          <w:sz w:val="32"/>
          <w:szCs w:val="32"/>
        </w:rPr>
        <w:t>；上缴上级支出0万元；经营支出0万元；对附属单位补助支出0万元。</w:t>
      </w:r>
    </w:p>
    <w:p w14:paraId="684F9314">
      <w:r>
        <w:drawing>
          <wp:inline distT="0" distB="0" distL="0" distR="0">
            <wp:extent cx="5172075" cy="1485900"/>
            <wp:effectExtent l="19050" t="0" r="9525" b="0"/>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B6C28EC">
      <w:pPr>
        <w:spacing w:line="600" w:lineRule="exact"/>
        <w:ind w:firstLine="640" w:firstLineChars="200"/>
        <w:outlineLvl w:val="1"/>
        <w:rPr>
          <w:rStyle w:val="26"/>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14:paraId="52A19B37">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2018年实际收入3212.34万元，与2017年的</w:t>
      </w:r>
      <w:r>
        <w:rPr>
          <w:rFonts w:ascii="仿宋" w:hAnsi="仿宋" w:eastAsia="仿宋"/>
          <w:color w:val="000000"/>
          <w:sz w:val="32"/>
          <w:szCs w:val="32"/>
        </w:rPr>
        <w:t>4121</w:t>
      </w:r>
      <w:r>
        <w:rPr>
          <w:rFonts w:hint="eastAsia" w:ascii="仿宋" w:hAnsi="仿宋" w:eastAsia="仿宋"/>
          <w:color w:val="000000"/>
          <w:sz w:val="32"/>
          <w:szCs w:val="32"/>
        </w:rPr>
        <w:t>.</w:t>
      </w:r>
      <w:r>
        <w:rPr>
          <w:rFonts w:ascii="仿宋" w:hAnsi="仿宋" w:eastAsia="仿宋"/>
          <w:color w:val="000000"/>
          <w:sz w:val="32"/>
          <w:szCs w:val="32"/>
        </w:rPr>
        <w:t>64</w:t>
      </w:r>
      <w:r>
        <w:rPr>
          <w:rFonts w:hint="eastAsia" w:ascii="仿宋" w:hAnsi="仿宋" w:eastAsia="仿宋"/>
          <w:color w:val="000000"/>
          <w:sz w:val="32"/>
          <w:szCs w:val="32"/>
        </w:rPr>
        <w:t>万元收入相比，减少909.3万元，下降22%，下降原因主要是：社会保障和就业支出减少8.56元，医疗卫生与计划生育支出增加1.03万元，城乡社区支出减少609.15万元，住房保障支出减少276.06万元，农林水支出减少16.56万元。</w:t>
      </w:r>
    </w:p>
    <w:p w14:paraId="7081D35C">
      <w:r>
        <w:rPr>
          <w:rFonts w:hint="eastAsia"/>
        </w:rPr>
        <w:t xml:space="preserve">     </w:t>
      </w:r>
      <w:r>
        <w:drawing>
          <wp:inline distT="0" distB="0" distL="0" distR="0">
            <wp:extent cx="5486400" cy="2600325"/>
            <wp:effectExtent l="19050" t="0" r="19050" b="0"/>
            <wp:docPr id="1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1CCDF11">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2018年实际支出4436.10万元，2017年实际支出3495.67万元，比2017年支出增加940.43万元，增长27%。增加原因是付棚户区改造贷款本金和利息。</w:t>
      </w:r>
    </w:p>
    <w:p w14:paraId="3B999C18">
      <w:pPr>
        <w:spacing w:line="600" w:lineRule="exact"/>
        <w:ind w:firstLine="640" w:firstLineChars="200"/>
        <w:outlineLvl w:val="1"/>
        <w:rPr>
          <w:rFonts w:ascii="黑体" w:hAnsi="黑体" w:eastAsia="黑体"/>
          <w:color w:val="000000"/>
          <w:sz w:val="32"/>
          <w:szCs w:val="32"/>
        </w:rPr>
      </w:pPr>
      <w:bookmarkStart w:id="32" w:name="_Toc15396607"/>
      <w:bookmarkStart w:id="33" w:name="_Toc15377209"/>
    </w:p>
    <w:p w14:paraId="4AA4A5AF">
      <w:r>
        <w:drawing>
          <wp:inline distT="0" distB="0" distL="0" distR="0">
            <wp:extent cx="5093335" cy="2686050"/>
            <wp:effectExtent l="19050" t="0" r="12065" b="0"/>
            <wp:docPr id="1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087195">
      <w:pPr>
        <w:spacing w:line="600" w:lineRule="exact"/>
        <w:ind w:firstLine="640" w:firstLineChars="200"/>
        <w:outlineLvl w:val="1"/>
        <w:rPr>
          <w:rStyle w:val="26"/>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14:paraId="49AC118B">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14:paraId="3607149F">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8年一般公共预算财政拨款支出2377.90万元，占本年支出合计的50.4</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7年相比，一般公共预算财政拨款减少342.07万元，下降12.6</w:t>
      </w:r>
      <w:r>
        <w:rPr>
          <w:rFonts w:ascii="仿宋" w:hAnsi="仿宋" w:eastAsia="仿宋"/>
          <w:color w:val="000000"/>
          <w:sz w:val="32"/>
          <w:szCs w:val="32"/>
        </w:rPr>
        <w:t>%</w:t>
      </w:r>
      <w:r>
        <w:rPr>
          <w:rFonts w:hint="eastAsia" w:ascii="仿宋" w:hAnsi="仿宋" w:eastAsia="仿宋"/>
          <w:color w:val="000000"/>
          <w:sz w:val="32"/>
          <w:szCs w:val="32"/>
        </w:rPr>
        <w:t>。主要变动原因是廉租房建设没有新建，续建工程已进入审计，工程款支付减少。</w:t>
      </w:r>
    </w:p>
    <w:p w14:paraId="451F4002">
      <w:r>
        <w:drawing>
          <wp:inline distT="0" distB="0" distL="0" distR="0">
            <wp:extent cx="5160010" cy="2438400"/>
            <wp:effectExtent l="19050" t="0" r="21590" b="0"/>
            <wp:docPr id="1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CB0427">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14:paraId="550B8DF2">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政拨款支出2377.90万元，主要用于以下方面</w:t>
      </w:r>
      <w:r>
        <w:rPr>
          <w:rFonts w:ascii="仿宋" w:hAnsi="仿宋" w:eastAsia="仿宋"/>
          <w:color w:val="000000" w:themeColor="text1"/>
          <w:sz w:val="32"/>
          <w:szCs w:val="32"/>
        </w:rPr>
        <w:t>:</w:t>
      </w:r>
      <w:r>
        <w:rPr>
          <w:rFonts w:hint="eastAsia" w:ascii="仿宋" w:hAnsi="仿宋" w:eastAsia="仿宋"/>
          <w:color w:val="000000" w:themeColor="text1"/>
          <w:sz w:val="32"/>
          <w:szCs w:val="32"/>
        </w:rPr>
        <w:t>社会保障和就业支出78.44万元，占3.3</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；医疗卫生支出23.89万元，占1</w:t>
      </w:r>
      <w:r>
        <w:rPr>
          <w:rFonts w:ascii="仿宋" w:hAnsi="仿宋" w:eastAsia="仿宋"/>
          <w:color w:val="000000" w:themeColor="text1"/>
          <w:sz w:val="32"/>
          <w:szCs w:val="32"/>
        </w:rPr>
        <w:t>%</w:t>
      </w:r>
      <w:r>
        <w:rPr>
          <w:rFonts w:hint="eastAsia" w:ascii="仿宋" w:hAnsi="仿宋" w:eastAsia="仿宋"/>
          <w:color w:val="000000" w:themeColor="text1"/>
          <w:sz w:val="32"/>
          <w:szCs w:val="32"/>
        </w:rPr>
        <w:t>；城乡社区支出1912.80万元，占80.4%；农林水支出4.13万元，占0.2%；住房保障支出358.64万元，占15.1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14:paraId="106C0FBA">
      <w:r>
        <w:drawing>
          <wp:inline distT="0" distB="0" distL="0" distR="0">
            <wp:extent cx="5210175" cy="2457450"/>
            <wp:effectExtent l="19050" t="0" r="9525" b="0"/>
            <wp:docPr id="1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3E567C">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14:paraId="1A9296E9">
      <w:pPr>
        <w:spacing w:line="600" w:lineRule="exact"/>
        <w:ind w:firstLine="643" w:firstLineChars="200"/>
        <w:outlineLvl w:val="2"/>
        <w:rPr>
          <w:rFonts w:ascii="仿宋" w:hAnsi="仿宋" w:eastAsia="仿宋"/>
          <w:color w:val="FF0000"/>
          <w:sz w:val="32"/>
          <w:szCs w:val="32"/>
        </w:rPr>
      </w:pPr>
      <w:bookmarkStart w:id="37" w:name="_Toc15377444"/>
      <w:bookmarkStart w:id="38" w:name="_Toc15377213"/>
      <w:bookmarkStart w:id="39" w:name="_Toc15378460"/>
      <w:r>
        <w:rPr>
          <w:rFonts w:hint="eastAsia" w:ascii="仿宋" w:hAnsi="仿宋" w:eastAsia="仿宋"/>
          <w:b/>
          <w:color w:val="000000" w:themeColor="text1"/>
          <w:sz w:val="32"/>
          <w:szCs w:val="32"/>
        </w:rPr>
        <w:t>2018年般公共预算支出决算数为2377.9万元</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预算74.02</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14:paraId="1157644D">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rPr>
        <w:t>1</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支出决算为78.44万元，完成预算100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34296929">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rPr>
        <w:t>2</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医疗卫生与计划生育</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支出决算为23.89万元，完成预算100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30063A2F">
      <w:pPr>
        <w:spacing w:line="600" w:lineRule="exact"/>
        <w:ind w:firstLine="643" w:firstLineChars="200"/>
        <w:rPr>
          <w:rFonts w:ascii="仿宋" w:hAnsi="仿宋" w:eastAsia="仿宋"/>
          <w:color w:val="000000"/>
          <w:sz w:val="32"/>
          <w:szCs w:val="32"/>
        </w:rPr>
      </w:pPr>
      <w:r>
        <w:rPr>
          <w:rStyle w:val="15"/>
          <w:rFonts w:hint="eastAsia" w:ascii="仿宋" w:hAnsi="仿宋" w:eastAsia="仿宋"/>
          <w:bCs/>
          <w:color w:val="000000"/>
          <w:sz w:val="32"/>
          <w:szCs w:val="32"/>
        </w:rPr>
        <w:t>3.</w:t>
      </w:r>
      <w:r>
        <w:rPr>
          <w:rFonts w:hint="eastAsia" w:ascii="仿宋" w:hAnsi="仿宋" w:eastAsia="仿宋"/>
          <w:b/>
          <w:color w:val="000000"/>
          <w:sz w:val="32"/>
          <w:szCs w:val="32"/>
        </w:rPr>
        <w:t xml:space="preserve"> 城乡社区支出:</w:t>
      </w:r>
      <w:r>
        <w:rPr>
          <w:rStyle w:val="15"/>
          <w:rFonts w:hint="eastAsia" w:ascii="仿宋" w:hAnsi="仿宋" w:eastAsia="仿宋"/>
          <w:bCs/>
          <w:color w:val="000000"/>
          <w:sz w:val="32"/>
          <w:szCs w:val="32"/>
        </w:rPr>
        <w:t xml:space="preserve"> </w:t>
      </w:r>
      <w:r>
        <w:rPr>
          <w:rStyle w:val="15"/>
          <w:rFonts w:hint="eastAsia" w:ascii="仿宋" w:hAnsi="仿宋" w:eastAsia="仿宋"/>
          <w:b w:val="0"/>
          <w:bCs/>
          <w:color w:val="000000"/>
          <w:sz w:val="32"/>
          <w:szCs w:val="32"/>
        </w:rPr>
        <w:t>支出决算为1912.80万元，完成预算195</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,决算数大于预算的主要原因是实际支出中包括上年项目结转资金。</w:t>
      </w:r>
    </w:p>
    <w:p w14:paraId="10127EF9">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4.</w:t>
      </w:r>
      <w:r>
        <w:rPr>
          <w:rFonts w:hint="eastAsia"/>
        </w:rPr>
        <w:t xml:space="preserve"> </w:t>
      </w:r>
      <w:r>
        <w:rPr>
          <w:rFonts w:hint="eastAsia" w:ascii="仿宋" w:hAnsi="仿宋" w:eastAsia="仿宋"/>
          <w:b/>
          <w:color w:val="000000"/>
          <w:sz w:val="32"/>
          <w:szCs w:val="32"/>
        </w:rPr>
        <w:t>农林水支出：</w:t>
      </w:r>
      <w:r>
        <w:rPr>
          <w:rStyle w:val="15"/>
          <w:rFonts w:hint="eastAsia" w:ascii="仿宋" w:hAnsi="仿宋" w:eastAsia="仿宋"/>
          <w:b w:val="0"/>
          <w:bCs/>
          <w:color w:val="000000"/>
          <w:sz w:val="32"/>
          <w:szCs w:val="32"/>
        </w:rPr>
        <w:t>支出决算为4.13万元，预算数为0万元,决算数大于预算的主要原因是资金支出是上年项目结转资金。</w:t>
      </w:r>
    </w:p>
    <w:p w14:paraId="15113A27">
      <w:pPr>
        <w:spacing w:line="600" w:lineRule="exact"/>
        <w:ind w:firstLine="640"/>
        <w:rPr>
          <w:rFonts w:ascii="仿宋" w:hAnsi="仿宋" w:eastAsia="仿宋"/>
          <w:bCs/>
          <w:color w:val="000000"/>
          <w:sz w:val="32"/>
          <w:szCs w:val="32"/>
        </w:rPr>
      </w:pPr>
      <w:r>
        <w:rPr>
          <w:rFonts w:hint="eastAsia" w:ascii="仿宋" w:hAnsi="仿宋" w:eastAsia="仿宋"/>
          <w:b/>
          <w:color w:val="000000"/>
          <w:sz w:val="32"/>
          <w:szCs w:val="32"/>
        </w:rPr>
        <w:t>5. 住房保障支出：</w:t>
      </w:r>
      <w:r>
        <w:rPr>
          <w:rStyle w:val="15"/>
          <w:rFonts w:hint="eastAsia" w:ascii="仿宋" w:hAnsi="仿宋" w:eastAsia="仿宋"/>
          <w:b w:val="0"/>
          <w:bCs/>
          <w:color w:val="000000"/>
          <w:sz w:val="32"/>
          <w:szCs w:val="32"/>
        </w:rPr>
        <w:t>支出决算为358.64万元，完成预算496</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,决算数大于预算的主要原因是资金支出包括上年项目结转资金。</w:t>
      </w:r>
    </w:p>
    <w:p w14:paraId="70DBFA21">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14:paraId="476EE21C">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8年一般公共预算财政拨款基本支出629.87万元，其中：</w:t>
      </w:r>
    </w:p>
    <w:p w14:paraId="6DE64870">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563.17万元，主要包括：基本工资、津贴补贴、奖金、绩效工资、机关事业单位基本养老保险缴费、职业年金缴费、其他社会保障缴费、退休费、抚恤金、生活补助、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66.7万元，主要包括：办公费、咨询费、手续费、水费、电费、邮电费、物业管理费、差旅费、维修（护）费、租赁费、培训费、公务接待费、劳务费、委托业务费、工会经费、福利费、公务用车运行维护费、其他交通费、其他商品和服务支出、办公设备购置等。</w:t>
      </w:r>
    </w:p>
    <w:p w14:paraId="14816806">
      <w:pPr>
        <w:spacing w:line="600" w:lineRule="exact"/>
        <w:ind w:firstLine="640"/>
        <w:outlineLvl w:val="1"/>
        <w:rPr>
          <w:rStyle w:val="26"/>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14:paraId="4278DDBE">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14:paraId="6D94DA31">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8年“三公”经费财政拨款支出决算为10.06万元，完成预算76</w:t>
      </w:r>
      <w:r>
        <w:rPr>
          <w:rFonts w:ascii="仿宋" w:hAnsi="仿宋" w:eastAsia="仿宋"/>
          <w:color w:val="000000"/>
          <w:sz w:val="32"/>
          <w:szCs w:val="32"/>
        </w:rPr>
        <w:t>%</w:t>
      </w:r>
      <w:r>
        <w:rPr>
          <w:rFonts w:hint="eastAsia" w:ascii="仿宋" w:hAnsi="仿宋" w:eastAsia="仿宋"/>
          <w:color w:val="000000"/>
          <w:sz w:val="32"/>
          <w:szCs w:val="32"/>
        </w:rPr>
        <w:t>，决算数小于预算数的主要原因一是严格执行接待文件要求，二是2018年车改。</w:t>
      </w:r>
    </w:p>
    <w:p w14:paraId="3EA127C5">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14:paraId="42408725">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；公务用车购置及运行维护费支出决算7.81万元，占78</w:t>
      </w:r>
      <w:r>
        <w:rPr>
          <w:rFonts w:ascii="仿宋" w:hAnsi="仿宋" w:eastAsia="仿宋"/>
          <w:color w:val="000000"/>
          <w:sz w:val="32"/>
          <w:szCs w:val="32"/>
        </w:rPr>
        <w:t>%</w:t>
      </w:r>
      <w:r>
        <w:rPr>
          <w:rFonts w:hint="eastAsia" w:ascii="仿宋" w:hAnsi="仿宋" w:eastAsia="仿宋"/>
          <w:color w:val="000000"/>
          <w:sz w:val="32"/>
          <w:szCs w:val="32"/>
        </w:rPr>
        <w:t>；公务接待费支出决算2.25万元，占22</w:t>
      </w:r>
      <w:r>
        <w:rPr>
          <w:rFonts w:ascii="仿宋" w:hAnsi="仿宋" w:eastAsia="仿宋"/>
          <w:color w:val="000000"/>
          <w:sz w:val="32"/>
          <w:szCs w:val="32"/>
        </w:rPr>
        <w:t>%</w:t>
      </w:r>
      <w:r>
        <w:rPr>
          <w:rFonts w:hint="eastAsia" w:ascii="仿宋" w:hAnsi="仿宋" w:eastAsia="仿宋"/>
          <w:color w:val="000000"/>
          <w:sz w:val="32"/>
          <w:szCs w:val="32"/>
        </w:rPr>
        <w:t>。具体情况如下：</w:t>
      </w:r>
    </w:p>
    <w:p w14:paraId="7BDC2261">
      <w:r>
        <w:drawing>
          <wp:inline distT="0" distB="0" distL="0" distR="0">
            <wp:extent cx="5686425" cy="2486025"/>
            <wp:effectExtent l="19050" t="0" r="9525" b="0"/>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55A71A9">
      <w:pPr>
        <w:spacing w:line="600" w:lineRule="exact"/>
        <w:ind w:firstLine="64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因公出国（境）经费支出0万元</w:t>
      </w:r>
      <w:r>
        <w:rPr>
          <w:rFonts w:hint="eastAsia"/>
        </w:rPr>
        <w:t>。</w:t>
      </w:r>
      <w:r>
        <w:rPr>
          <w:rFonts w:hint="eastAsia" w:ascii="仿宋" w:hAnsi="仿宋" w:eastAsia="仿宋"/>
          <w:sz w:val="32"/>
          <w:szCs w:val="32"/>
        </w:rPr>
        <w:t>全年安排因公出国（境）团组0次，出国（境）0人。</w:t>
      </w:r>
    </w:p>
    <w:p w14:paraId="2B3A7467">
      <w:pPr>
        <w:spacing w:line="600" w:lineRule="exact"/>
        <w:ind w:firstLine="64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公务用车购置及运行维护费支出7.81万元,完成预算97.6</w:t>
      </w:r>
      <w:r>
        <w:rPr>
          <w:rFonts w:ascii="仿宋" w:hAnsi="仿宋" w:eastAsia="仿宋"/>
          <w:sz w:val="32"/>
          <w:szCs w:val="32"/>
        </w:rPr>
        <w:t>%</w:t>
      </w:r>
      <w:r>
        <w:rPr>
          <w:rFonts w:hint="eastAsia" w:ascii="仿宋" w:hAnsi="仿宋" w:eastAsia="仿宋"/>
          <w:sz w:val="32"/>
          <w:szCs w:val="32"/>
        </w:rPr>
        <w:t>。公务用车购置及运行维护 费支出决算比</w:t>
      </w:r>
      <w:r>
        <w:rPr>
          <w:rFonts w:ascii="仿宋" w:hAnsi="仿宋" w:eastAsia="仿宋"/>
          <w:sz w:val="32"/>
          <w:szCs w:val="32"/>
        </w:rPr>
        <w:t>201</w:t>
      </w:r>
      <w:r>
        <w:rPr>
          <w:rFonts w:hint="eastAsia" w:ascii="仿宋" w:hAnsi="仿宋" w:eastAsia="仿宋"/>
          <w:sz w:val="32"/>
          <w:szCs w:val="32"/>
        </w:rPr>
        <w:t>7年减少0.18万元，下降2.2</w:t>
      </w:r>
      <w:r>
        <w:rPr>
          <w:rFonts w:ascii="仿宋" w:hAnsi="仿宋" w:eastAsia="仿宋"/>
          <w:sz w:val="32"/>
          <w:szCs w:val="32"/>
        </w:rPr>
        <w:t>%</w:t>
      </w:r>
      <w:r>
        <w:rPr>
          <w:rFonts w:hint="eastAsia" w:ascii="仿宋" w:hAnsi="仿宋" w:eastAsia="仿宋"/>
          <w:sz w:val="32"/>
          <w:szCs w:val="32"/>
        </w:rPr>
        <w:t>。主要原因是2018年进行车改，但车辆购买时间久，主要用于工地检查，维修费高，所以车改后下降额幅度不大。</w:t>
      </w:r>
    </w:p>
    <w:p w14:paraId="189E9282">
      <w:pPr>
        <w:spacing w:line="600" w:lineRule="exact"/>
        <w:ind w:firstLine="640" w:firstLineChars="200"/>
        <w:rPr>
          <w:rFonts w:ascii="仿宋" w:hAnsi="仿宋" w:eastAsia="仿宋"/>
          <w:sz w:val="32"/>
          <w:szCs w:val="32"/>
        </w:rPr>
      </w:pPr>
      <w:r>
        <w:rPr>
          <w:rFonts w:hint="eastAsia" w:ascii="仿宋" w:hAnsi="仿宋" w:eastAsia="仿宋"/>
          <w:sz w:val="32"/>
          <w:szCs w:val="32"/>
        </w:rPr>
        <w:t>其中：公务用车购置支出0万元。截至</w:t>
      </w:r>
      <w:r>
        <w:rPr>
          <w:rFonts w:ascii="仿宋" w:hAnsi="仿宋" w:eastAsia="仿宋"/>
          <w:sz w:val="32"/>
          <w:szCs w:val="32"/>
        </w:rPr>
        <w:t>201</w:t>
      </w:r>
      <w:r>
        <w:rPr>
          <w:rFonts w:hint="eastAsia" w:ascii="仿宋" w:hAnsi="仿宋" w:eastAsia="仿宋"/>
          <w:sz w:val="32"/>
          <w:szCs w:val="32"/>
        </w:rPr>
        <w:t>8年</w:t>
      </w:r>
      <w:r>
        <w:rPr>
          <w:rFonts w:ascii="仿宋" w:hAnsi="仿宋" w:eastAsia="仿宋"/>
          <w:sz w:val="32"/>
          <w:szCs w:val="32"/>
        </w:rPr>
        <w:t>12</w:t>
      </w:r>
      <w:r>
        <w:rPr>
          <w:rFonts w:hint="eastAsia" w:ascii="仿宋" w:hAnsi="仿宋" w:eastAsia="仿宋"/>
          <w:sz w:val="32"/>
          <w:szCs w:val="32"/>
        </w:rPr>
        <w:t>月底，单位帐面共有公务用车0辆，实际车辆已于9月全部移交仁和区机关事务管理局。</w:t>
      </w:r>
    </w:p>
    <w:p w14:paraId="52A94937">
      <w:pPr>
        <w:spacing w:line="600" w:lineRule="exact"/>
        <w:ind w:firstLine="640"/>
        <w:rPr>
          <w:rFonts w:ascii="仿宋" w:hAnsi="仿宋" w:eastAsia="仿宋"/>
          <w:sz w:val="32"/>
          <w:szCs w:val="32"/>
        </w:rPr>
      </w:pPr>
      <w:r>
        <w:rPr>
          <w:rFonts w:hint="eastAsia" w:ascii="仿宋" w:hAnsi="仿宋" w:eastAsia="仿宋"/>
          <w:sz w:val="32"/>
          <w:szCs w:val="32"/>
        </w:rPr>
        <w:t>公务用车运行维护费支出7.81万元。主要用于仁和区建设工地检查等所需的公务用车燃料费、维修费、过路过桥费、保险费等支出。</w:t>
      </w:r>
    </w:p>
    <w:p w14:paraId="6722AD4E">
      <w:pPr>
        <w:spacing w:line="600" w:lineRule="exact"/>
        <w:ind w:firstLine="64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公务接待费支出2.25万元，完成预算43</w:t>
      </w:r>
      <w:r>
        <w:rPr>
          <w:rFonts w:ascii="仿宋" w:hAnsi="仿宋" w:eastAsia="仿宋"/>
          <w:sz w:val="32"/>
          <w:szCs w:val="32"/>
        </w:rPr>
        <w:t>%</w:t>
      </w:r>
      <w:r>
        <w:rPr>
          <w:rFonts w:hint="eastAsia" w:ascii="仿宋" w:hAnsi="仿宋" w:eastAsia="仿宋"/>
          <w:sz w:val="32"/>
          <w:szCs w:val="32"/>
        </w:rPr>
        <w:t>。公务接待费支出决算比</w:t>
      </w:r>
      <w:r>
        <w:rPr>
          <w:rFonts w:ascii="仿宋" w:hAnsi="仿宋" w:eastAsia="仿宋"/>
          <w:sz w:val="32"/>
          <w:szCs w:val="32"/>
        </w:rPr>
        <w:t>201</w:t>
      </w:r>
      <w:r>
        <w:rPr>
          <w:rFonts w:hint="eastAsia" w:ascii="仿宋" w:hAnsi="仿宋" w:eastAsia="仿宋"/>
          <w:sz w:val="32"/>
          <w:szCs w:val="32"/>
        </w:rPr>
        <w:t>7年减少2.35万元，下降51</w:t>
      </w:r>
      <w:r>
        <w:rPr>
          <w:rFonts w:ascii="仿宋" w:hAnsi="仿宋" w:eastAsia="仿宋"/>
          <w:sz w:val="32"/>
          <w:szCs w:val="32"/>
        </w:rPr>
        <w:t>%</w:t>
      </w:r>
      <w:r>
        <w:rPr>
          <w:rFonts w:hint="eastAsia" w:ascii="仿宋" w:hAnsi="仿宋" w:eastAsia="仿宋"/>
          <w:sz w:val="32"/>
          <w:szCs w:val="32"/>
        </w:rPr>
        <w:t>。主要原因是不超规格安排房间、不制作接待手册和席桌卡，没有增加陪餐人员现象、没有超标接待现象等。</w:t>
      </w:r>
    </w:p>
    <w:p w14:paraId="4F88E497">
      <w:pPr>
        <w:spacing w:line="600" w:lineRule="exact"/>
        <w:ind w:firstLine="640" w:firstLineChars="200"/>
        <w:rPr>
          <w:rFonts w:ascii="仿宋" w:hAnsi="仿宋" w:eastAsia="仿宋"/>
          <w:sz w:val="32"/>
          <w:szCs w:val="32"/>
        </w:rPr>
      </w:pPr>
      <w:r>
        <w:rPr>
          <w:rFonts w:hint="eastAsia" w:ascii="仿宋" w:hAnsi="仿宋" w:eastAsia="仿宋"/>
          <w:sz w:val="32"/>
          <w:szCs w:val="32"/>
        </w:rPr>
        <w:t>主要用于执行公务、开展业务活动开支的交通费、住宿费、用餐费等。国内公务接待15批次，187人次，共计支出2.25万元，具体内容包括：</w:t>
      </w:r>
    </w:p>
    <w:p w14:paraId="596E83BC">
      <w:pPr>
        <w:spacing w:line="600" w:lineRule="exact"/>
        <w:ind w:firstLine="640" w:firstLineChars="200"/>
        <w:rPr>
          <w:rFonts w:ascii="仿宋" w:hAnsi="仿宋" w:eastAsia="仿宋"/>
          <w:sz w:val="32"/>
          <w:szCs w:val="32"/>
        </w:rPr>
      </w:pPr>
      <w:r>
        <w:rPr>
          <w:rFonts w:hint="eastAsia" w:ascii="仿宋" w:hAnsi="仿宋" w:eastAsia="仿宋"/>
          <w:sz w:val="32"/>
          <w:szCs w:val="32"/>
        </w:rPr>
        <w:t>外事接待支出0万元，外事接待0批次，0人，共计支出0万元。</w:t>
      </w:r>
    </w:p>
    <w:p w14:paraId="390749A7">
      <w:pPr>
        <w:spacing w:line="600" w:lineRule="exact"/>
        <w:ind w:firstLine="640"/>
        <w:rPr>
          <w:rFonts w:ascii="仿宋" w:hAnsi="仿宋" w:eastAsia="仿宋"/>
          <w:sz w:val="32"/>
          <w:szCs w:val="32"/>
        </w:rPr>
      </w:pPr>
      <w:r>
        <w:rPr>
          <w:rFonts w:hint="eastAsia" w:ascii="仿宋" w:hAnsi="仿宋" w:eastAsia="仿宋"/>
          <w:sz w:val="32"/>
          <w:szCs w:val="32"/>
        </w:rPr>
        <w:t>其他国内公务接待支出2.25万元，主要用于引进企业和接待业务交流检查等。</w:t>
      </w:r>
    </w:p>
    <w:p w14:paraId="008CDE4A">
      <w:pPr>
        <w:spacing w:line="600" w:lineRule="exact"/>
        <w:ind w:firstLine="640"/>
        <w:outlineLvl w:val="1"/>
        <w:rPr>
          <w:rFonts w:ascii="仿宋" w:hAnsi="仿宋" w:eastAsia="仿宋"/>
          <w:sz w:val="32"/>
          <w:szCs w:val="32"/>
        </w:rPr>
      </w:pPr>
      <w:bookmarkStart w:id="46" w:name="_Toc15396610"/>
      <w:bookmarkStart w:id="47" w:name="_Toc15377218"/>
      <w:r>
        <w:rPr>
          <w:rFonts w:hint="eastAsia" w:ascii="仿宋" w:hAnsi="仿宋" w:eastAsia="仿宋"/>
          <w:sz w:val="32"/>
          <w:szCs w:val="32"/>
        </w:rPr>
        <w:t>八、政府性基金预算支出决算情况说明</w:t>
      </w:r>
      <w:bookmarkEnd w:id="46"/>
      <w:bookmarkEnd w:id="47"/>
    </w:p>
    <w:p w14:paraId="213A829A">
      <w:pPr>
        <w:spacing w:line="600" w:lineRule="exact"/>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8年政府性基金预算拨款支出2058.2万元。</w:t>
      </w:r>
    </w:p>
    <w:p w14:paraId="229B5534">
      <w:pPr>
        <w:spacing w:line="600" w:lineRule="exact"/>
        <w:ind w:firstLine="640"/>
        <w:rPr>
          <w:rFonts w:ascii="仿宋" w:hAnsi="仿宋" w:eastAsia="仿宋"/>
          <w:sz w:val="32"/>
          <w:szCs w:val="32"/>
        </w:rPr>
      </w:pPr>
      <w:r>
        <w:rPr>
          <w:rFonts w:hint="eastAsia" w:ascii="仿宋" w:hAnsi="仿宋" w:eastAsia="仿宋"/>
          <w:sz w:val="32"/>
          <w:szCs w:val="32"/>
        </w:rPr>
        <w:t>棚户区改造国开行代款归还本金1240万元、利息696.68万元，代建管理费121.52万元。</w:t>
      </w:r>
    </w:p>
    <w:p w14:paraId="5E5A32F4">
      <w:pPr>
        <w:numPr>
          <w:ilvl w:val="0"/>
          <w:numId w:val="2"/>
        </w:numPr>
        <w:spacing w:line="600" w:lineRule="exact"/>
        <w:ind w:firstLine="640"/>
        <w:outlineLvl w:val="1"/>
        <w:rPr>
          <w:rFonts w:ascii="仿宋" w:hAnsi="仿宋" w:eastAsia="仿宋"/>
          <w:sz w:val="32"/>
          <w:szCs w:val="32"/>
        </w:rPr>
      </w:pPr>
      <w:bookmarkStart w:id="48" w:name="_Toc15377219"/>
      <w:bookmarkStart w:id="49" w:name="_Toc15396611"/>
      <w:r>
        <w:rPr>
          <w:rFonts w:hint="eastAsia" w:ascii="仿宋" w:hAnsi="仿宋" w:eastAsia="仿宋"/>
          <w:sz w:val="32"/>
          <w:szCs w:val="32"/>
        </w:rPr>
        <w:t>国有资本经营预算支出决算情况说明</w:t>
      </w:r>
      <w:bookmarkEnd w:id="48"/>
      <w:bookmarkEnd w:id="49"/>
    </w:p>
    <w:p w14:paraId="19658C6C">
      <w:pPr>
        <w:spacing w:line="600" w:lineRule="exact"/>
        <w:ind w:firstLine="640"/>
        <w:rPr>
          <w:rFonts w:ascii="仿宋" w:hAnsi="仿宋" w:eastAsia="仿宋"/>
          <w:sz w:val="32"/>
          <w:szCs w:val="32"/>
        </w:rPr>
      </w:pPr>
      <w:r>
        <w:rPr>
          <w:rFonts w:hint="eastAsia" w:ascii="仿宋" w:hAnsi="仿宋" w:eastAsia="仿宋"/>
          <w:sz w:val="32"/>
          <w:szCs w:val="32"/>
        </w:rPr>
        <w:t>我单位</w:t>
      </w:r>
      <w:r>
        <w:rPr>
          <w:rFonts w:ascii="仿宋" w:hAnsi="仿宋" w:eastAsia="仿宋"/>
          <w:sz w:val="32"/>
          <w:szCs w:val="32"/>
        </w:rPr>
        <w:t>201</w:t>
      </w:r>
      <w:r>
        <w:rPr>
          <w:rFonts w:hint="eastAsia" w:ascii="仿宋" w:hAnsi="仿宋" w:eastAsia="仿宋"/>
          <w:sz w:val="32"/>
          <w:szCs w:val="32"/>
        </w:rPr>
        <w:t>8年无国有资本经营预算拨款支出。</w:t>
      </w:r>
    </w:p>
    <w:p w14:paraId="28C8CCF0">
      <w:pPr>
        <w:spacing w:line="580" w:lineRule="exact"/>
        <w:ind w:firstLine="800" w:firstLineChars="250"/>
        <w:rPr>
          <w:rFonts w:ascii="仿宋" w:hAnsi="仿宋" w:eastAsia="仿宋"/>
          <w:sz w:val="32"/>
          <w:szCs w:val="32"/>
        </w:rPr>
      </w:pPr>
      <w:r>
        <w:rPr>
          <w:rFonts w:hint="eastAsia" w:ascii="仿宋" w:hAnsi="仿宋" w:eastAsia="仿宋"/>
          <w:sz w:val="32"/>
          <w:szCs w:val="32"/>
        </w:rPr>
        <w:t>十、预算绩效情况说明</w:t>
      </w:r>
    </w:p>
    <w:p w14:paraId="79D5B07D">
      <w:pPr>
        <w:spacing w:line="580" w:lineRule="exact"/>
        <w:ind w:firstLine="640" w:firstLineChars="200"/>
        <w:rPr>
          <w:rFonts w:ascii="仿宋" w:hAnsi="仿宋" w:eastAsia="仿宋"/>
          <w:sz w:val="32"/>
          <w:szCs w:val="32"/>
        </w:rPr>
      </w:pPr>
      <w:r>
        <w:rPr>
          <w:rFonts w:hint="eastAsia" w:ascii="仿宋" w:hAnsi="仿宋" w:eastAsia="仿宋"/>
          <w:sz w:val="32"/>
          <w:szCs w:val="32"/>
        </w:rPr>
        <w:t>本部门按要求对2018年部门整体支出开展绩效自评，从评价情况来看,我单位在各项实施过程中，建立健全相关制度、机制，严格执行，推进各项工作落实。总体来说项目审核严格，管理到位，评价结论为良。</w:t>
      </w:r>
    </w:p>
    <w:p w14:paraId="77E8DAFA">
      <w:pPr>
        <w:spacing w:line="580" w:lineRule="exact"/>
        <w:ind w:firstLine="640" w:firstLineChars="200"/>
        <w:rPr>
          <w:rFonts w:ascii="仿宋" w:hAnsi="仿宋" w:eastAsia="仿宋"/>
          <w:sz w:val="32"/>
          <w:szCs w:val="32"/>
        </w:rPr>
      </w:pPr>
      <w:r>
        <w:rPr>
          <w:rFonts w:hint="eastAsia" w:ascii="仿宋" w:hAnsi="仿宋" w:eastAsia="仿宋"/>
          <w:sz w:val="32"/>
          <w:szCs w:val="32"/>
        </w:rPr>
        <w:t>本部门按要求对2018年部门整体支出绩效评价情况开展自评，《仁和区住房和城乡建设局2018年部门整体支出绩效评价报告》见附件。</w:t>
      </w:r>
    </w:p>
    <w:p w14:paraId="00439815">
      <w:pPr>
        <w:spacing w:line="600" w:lineRule="exact"/>
        <w:ind w:firstLine="800" w:firstLineChars="250"/>
        <w:outlineLvl w:val="1"/>
        <w:rPr>
          <w:rFonts w:ascii="仿宋" w:hAnsi="仿宋" w:eastAsia="仿宋"/>
          <w:sz w:val="32"/>
          <w:szCs w:val="32"/>
        </w:rPr>
      </w:pPr>
      <w:bookmarkStart w:id="50" w:name="_Toc15396612"/>
      <w:bookmarkStart w:id="51" w:name="_Toc15377221"/>
      <w:r>
        <w:rPr>
          <w:rFonts w:hint="eastAsia" w:ascii="仿宋" w:hAnsi="仿宋" w:eastAsia="仿宋"/>
          <w:sz w:val="32"/>
          <w:szCs w:val="32"/>
        </w:rPr>
        <w:t>十一、其他重要事项的情况说明</w:t>
      </w:r>
      <w:bookmarkEnd w:id="50"/>
      <w:bookmarkEnd w:id="51"/>
    </w:p>
    <w:p w14:paraId="49018620">
      <w:pPr>
        <w:spacing w:line="600" w:lineRule="exact"/>
        <w:ind w:firstLine="640" w:firstLineChars="200"/>
        <w:outlineLvl w:val="2"/>
        <w:rPr>
          <w:rFonts w:ascii="仿宋" w:hAnsi="仿宋" w:eastAsia="仿宋"/>
          <w:sz w:val="32"/>
          <w:szCs w:val="32"/>
        </w:rPr>
      </w:pPr>
      <w:bookmarkStart w:id="52" w:name="_Toc15377222"/>
      <w:r>
        <w:rPr>
          <w:rFonts w:hint="eastAsia" w:ascii="仿宋" w:hAnsi="仿宋" w:eastAsia="仿宋"/>
          <w:sz w:val="32"/>
          <w:szCs w:val="32"/>
        </w:rPr>
        <w:t>（一）机关运行经费支出情况</w:t>
      </w:r>
      <w:bookmarkEnd w:id="52"/>
    </w:p>
    <w:p w14:paraId="28318EEE">
      <w:pPr>
        <w:spacing w:line="60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8年，仁和区住房和城乡建设局机关运行经费支出66.7万元，比</w:t>
      </w:r>
      <w:r>
        <w:rPr>
          <w:rFonts w:ascii="仿宋" w:hAnsi="仿宋" w:eastAsia="仿宋"/>
          <w:sz w:val="32"/>
          <w:szCs w:val="32"/>
        </w:rPr>
        <w:t>201</w:t>
      </w:r>
      <w:r>
        <w:rPr>
          <w:rFonts w:hint="eastAsia" w:ascii="仿宋" w:hAnsi="仿宋" w:eastAsia="仿宋"/>
          <w:sz w:val="32"/>
          <w:szCs w:val="32"/>
        </w:rPr>
        <w:t>7年减少2.98万元，下降4</w:t>
      </w:r>
      <w:r>
        <w:rPr>
          <w:rFonts w:ascii="仿宋" w:hAnsi="仿宋" w:eastAsia="仿宋"/>
          <w:sz w:val="32"/>
          <w:szCs w:val="32"/>
        </w:rPr>
        <w:t>%</w:t>
      </w:r>
      <w:r>
        <w:rPr>
          <w:rFonts w:hint="eastAsia" w:ascii="仿宋" w:hAnsi="仿宋" w:eastAsia="仿宋"/>
          <w:sz w:val="32"/>
          <w:szCs w:val="32"/>
        </w:rPr>
        <w:t>。主要原因是一公务接待减少，二租赁费减少。</w:t>
      </w:r>
    </w:p>
    <w:p w14:paraId="487573BF">
      <w:pPr>
        <w:autoSpaceDE w:val="0"/>
        <w:autoSpaceDN w:val="0"/>
        <w:adjustRightInd w:val="0"/>
        <w:spacing w:line="600" w:lineRule="exact"/>
        <w:ind w:firstLine="640" w:firstLineChars="200"/>
        <w:jc w:val="left"/>
        <w:outlineLvl w:val="2"/>
        <w:rPr>
          <w:rFonts w:ascii="仿宋" w:hAnsi="仿宋" w:eastAsia="仿宋"/>
          <w:sz w:val="32"/>
          <w:szCs w:val="32"/>
        </w:rPr>
      </w:pPr>
      <w:bookmarkStart w:id="53" w:name="_Toc15377223"/>
      <w:r>
        <w:rPr>
          <w:rFonts w:hint="eastAsia" w:ascii="仿宋" w:hAnsi="仿宋" w:eastAsia="仿宋"/>
          <w:sz w:val="32"/>
          <w:szCs w:val="32"/>
        </w:rPr>
        <w:t>（二）政府采购支出情况</w:t>
      </w:r>
      <w:bookmarkEnd w:id="53"/>
    </w:p>
    <w:p w14:paraId="1148D2ED">
      <w:pPr>
        <w:spacing w:line="60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8年，仁和区住房和城乡建设局政府采购支出总额4.34万元，其中：政府采购货物支出4.34万元、政府采购工程支出0万元、政府采购服务支出0万元。</w:t>
      </w:r>
    </w:p>
    <w:p w14:paraId="62BA0DF1">
      <w:pPr>
        <w:autoSpaceDE w:val="0"/>
        <w:autoSpaceDN w:val="0"/>
        <w:adjustRightInd w:val="0"/>
        <w:spacing w:line="600" w:lineRule="exact"/>
        <w:ind w:firstLine="640" w:firstLineChars="200"/>
        <w:jc w:val="left"/>
        <w:outlineLvl w:val="2"/>
        <w:rPr>
          <w:rFonts w:ascii="仿宋" w:hAnsi="仿宋" w:eastAsia="仿宋"/>
          <w:sz w:val="32"/>
          <w:szCs w:val="32"/>
        </w:rPr>
      </w:pPr>
      <w:bookmarkStart w:id="54" w:name="_Toc15377224"/>
      <w:r>
        <w:rPr>
          <w:rFonts w:hint="eastAsia" w:ascii="仿宋" w:hAnsi="仿宋" w:eastAsia="仿宋"/>
          <w:sz w:val="32"/>
          <w:szCs w:val="32"/>
        </w:rPr>
        <w:t>（三）国有资产占有使用情况</w:t>
      </w:r>
      <w:bookmarkEnd w:id="54"/>
    </w:p>
    <w:p w14:paraId="425888B8">
      <w:pPr>
        <w:autoSpaceDE w:val="0"/>
        <w:autoSpaceDN w:val="0"/>
        <w:adjustRightInd w:val="0"/>
        <w:spacing w:line="600" w:lineRule="exact"/>
        <w:ind w:firstLine="640" w:firstLineChars="200"/>
        <w:jc w:val="left"/>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201</w:t>
      </w:r>
      <w:r>
        <w:rPr>
          <w:rFonts w:hint="eastAsia" w:ascii="仿宋" w:hAnsi="仿宋" w:eastAsia="仿宋"/>
          <w:sz w:val="32"/>
          <w:szCs w:val="32"/>
        </w:rPr>
        <w:t>8年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日，仁和区住房和城乡建设局帐面共有车辆5辆，实际车辆已全部移交给仁和区机关事务管理局，其中：部级领导干部用车0辆、一般公务用车0辆、一般执法执勤用车0辆、特种专业技术用车0辆、其他用车5辆，单价</w:t>
      </w:r>
      <w:r>
        <w:rPr>
          <w:rFonts w:ascii="仿宋" w:hAnsi="仿宋" w:eastAsia="仿宋"/>
          <w:sz w:val="32"/>
          <w:szCs w:val="32"/>
        </w:rPr>
        <w:t>50</w:t>
      </w:r>
      <w:r>
        <w:rPr>
          <w:rFonts w:hint="eastAsia" w:ascii="仿宋" w:hAnsi="仿宋" w:eastAsia="仿宋"/>
          <w:sz w:val="32"/>
          <w:szCs w:val="32"/>
        </w:rPr>
        <w:t>万元以上通用设备0台（套），单价</w:t>
      </w:r>
      <w:r>
        <w:rPr>
          <w:rFonts w:ascii="仿宋" w:hAnsi="仿宋" w:eastAsia="仿宋"/>
          <w:sz w:val="32"/>
          <w:szCs w:val="32"/>
        </w:rPr>
        <w:t>100</w:t>
      </w:r>
      <w:r>
        <w:rPr>
          <w:rFonts w:hint="eastAsia" w:ascii="仿宋" w:hAnsi="仿宋" w:eastAsia="仿宋"/>
          <w:sz w:val="32"/>
          <w:szCs w:val="32"/>
        </w:rPr>
        <w:t>万元以上专用设备0台（套）。</w:t>
      </w:r>
    </w:p>
    <w:p w14:paraId="74C2469B">
      <w:pPr>
        <w:spacing w:line="600" w:lineRule="atLeast"/>
        <w:ind w:firstLine="643" w:firstLineChars="200"/>
        <w:rPr>
          <w:rFonts w:ascii="仿宋_GB2312" w:eastAsia="仿宋_GB2312"/>
          <w:b/>
          <w:color w:val="000000"/>
          <w:sz w:val="32"/>
          <w:szCs w:val="32"/>
        </w:rPr>
      </w:pPr>
    </w:p>
    <w:p w14:paraId="51592229">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71E9B22A">
      <w:pPr>
        <w:numPr>
          <w:ilvl w:val="0"/>
          <w:numId w:val="3"/>
        </w:numPr>
        <w:spacing w:line="600" w:lineRule="exact"/>
        <w:ind w:firstLine="663" w:firstLineChars="150"/>
        <w:jc w:val="center"/>
        <w:outlineLvl w:val="0"/>
        <w:rPr>
          <w:rStyle w:val="25"/>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25"/>
          <w:rFonts w:hint="eastAsia" w:ascii="黑体" w:hAnsi="黑体" w:eastAsia="黑体"/>
          <w:b w:val="0"/>
        </w:rPr>
        <w:t>词解释</w:t>
      </w:r>
      <w:bookmarkEnd w:id="55"/>
      <w:bookmarkEnd w:id="56"/>
    </w:p>
    <w:p w14:paraId="6EDF271B">
      <w:pPr>
        <w:spacing w:line="600" w:lineRule="exact"/>
        <w:jc w:val="left"/>
        <w:rPr>
          <w:rFonts w:ascii="宋体"/>
          <w:b/>
          <w:color w:val="000000"/>
          <w:sz w:val="44"/>
          <w:szCs w:val="44"/>
        </w:rPr>
      </w:pPr>
    </w:p>
    <w:p w14:paraId="7098FF85">
      <w:pPr>
        <w:pStyle w:val="23"/>
        <w:spacing w:line="560" w:lineRule="exact"/>
        <w:ind w:firstLine="640" w:firstLineChars="200"/>
        <w:rPr>
          <w:rFonts w:hAnsi="仿宋" w:cs="Times New Roman"/>
          <w:color w:val="auto"/>
          <w:kern w:val="2"/>
          <w:sz w:val="32"/>
          <w:szCs w:val="32"/>
        </w:rPr>
      </w:pPr>
      <w:r>
        <w:rPr>
          <w:rFonts w:hAnsi="仿宋" w:cs="Times New Roman"/>
          <w:color w:val="auto"/>
          <w:kern w:val="2"/>
          <w:sz w:val="32"/>
          <w:szCs w:val="32"/>
        </w:rPr>
        <w:t>1.</w:t>
      </w:r>
      <w:r>
        <w:rPr>
          <w:rFonts w:hint="eastAsia" w:hAnsi="仿宋" w:cs="Times New Roman"/>
          <w:color w:val="auto"/>
          <w:kern w:val="2"/>
          <w:sz w:val="32"/>
          <w:szCs w:val="32"/>
        </w:rPr>
        <w:t>财政拨款收入：指单位从同级财政部门取得的财政预算资金。</w:t>
      </w:r>
    </w:p>
    <w:p w14:paraId="4E1FFAFB">
      <w:pPr>
        <w:pStyle w:val="23"/>
        <w:spacing w:line="560" w:lineRule="exact"/>
        <w:ind w:firstLine="640" w:firstLineChars="200"/>
        <w:rPr>
          <w:rFonts w:hAnsi="仿宋" w:cs="Times New Roman"/>
          <w:color w:val="auto"/>
          <w:kern w:val="2"/>
          <w:sz w:val="32"/>
          <w:szCs w:val="32"/>
        </w:rPr>
      </w:pPr>
      <w:r>
        <w:rPr>
          <w:rFonts w:hint="eastAsia" w:hAnsi="仿宋" w:cs="Times New Roman"/>
          <w:color w:val="auto"/>
          <w:kern w:val="2"/>
          <w:sz w:val="32"/>
          <w:szCs w:val="32"/>
        </w:rPr>
        <w:t>2</w:t>
      </w:r>
      <w:r>
        <w:rPr>
          <w:rFonts w:hAnsi="仿宋" w:cs="Times New Roman"/>
          <w:color w:val="auto"/>
          <w:kern w:val="2"/>
          <w:sz w:val="32"/>
          <w:szCs w:val="32"/>
        </w:rPr>
        <w:t>.</w:t>
      </w:r>
      <w:r>
        <w:rPr>
          <w:rFonts w:hint="eastAsia" w:hAnsi="仿宋" w:cs="Times New Roman"/>
          <w:color w:val="auto"/>
          <w:kern w:val="2"/>
          <w:sz w:val="32"/>
          <w:szCs w:val="32"/>
        </w:rPr>
        <w:t>其他收入：指单位取得的除上述收入以外的各项收入。</w:t>
      </w:r>
    </w:p>
    <w:p w14:paraId="5E423193">
      <w:pPr>
        <w:pStyle w:val="23"/>
        <w:spacing w:line="560" w:lineRule="exact"/>
        <w:ind w:firstLine="640" w:firstLineChars="200"/>
        <w:rPr>
          <w:rFonts w:hAnsi="仿宋" w:cs="Times New Roman"/>
          <w:color w:val="auto"/>
          <w:kern w:val="2"/>
          <w:sz w:val="32"/>
          <w:szCs w:val="32"/>
        </w:rPr>
      </w:pPr>
      <w:r>
        <w:rPr>
          <w:rFonts w:hint="eastAsia" w:hAnsi="仿宋" w:cs="Times New Roman"/>
          <w:color w:val="auto"/>
          <w:kern w:val="2"/>
          <w:sz w:val="32"/>
          <w:szCs w:val="32"/>
        </w:rPr>
        <w:t>3</w:t>
      </w:r>
      <w:r>
        <w:rPr>
          <w:rFonts w:hAnsi="仿宋" w:cs="Times New Roman"/>
          <w:color w:val="auto"/>
          <w:kern w:val="2"/>
          <w:sz w:val="32"/>
          <w:szCs w:val="32"/>
        </w:rPr>
        <w:t>.</w:t>
      </w:r>
      <w:r>
        <w:rPr>
          <w:rFonts w:hint="eastAsia" w:hAnsi="仿宋" w:cs="Times New Roman"/>
          <w:color w:val="auto"/>
          <w:kern w:val="2"/>
          <w:sz w:val="32"/>
          <w:szCs w:val="32"/>
        </w:rPr>
        <w:t>年初结转和结余：指以前年度尚未完成、结转到本年按有关规定继续使用的资金。</w:t>
      </w:r>
    </w:p>
    <w:p w14:paraId="73200C4C">
      <w:pPr>
        <w:pStyle w:val="23"/>
        <w:spacing w:line="560" w:lineRule="exact"/>
        <w:ind w:firstLine="640" w:firstLineChars="200"/>
        <w:rPr>
          <w:rFonts w:hAnsi="仿宋" w:cs="Times New Roman"/>
          <w:color w:val="auto"/>
          <w:kern w:val="2"/>
          <w:sz w:val="32"/>
          <w:szCs w:val="32"/>
        </w:rPr>
      </w:pPr>
      <w:r>
        <w:rPr>
          <w:rFonts w:hint="eastAsia" w:hAnsi="仿宋" w:cs="Times New Roman"/>
          <w:color w:val="auto"/>
          <w:kern w:val="2"/>
          <w:sz w:val="32"/>
          <w:szCs w:val="32"/>
        </w:rPr>
        <w:t>4、年末结转和结余：指单位按有关规定结转到下年或以后年度继续使用的资金。</w:t>
      </w:r>
    </w:p>
    <w:p w14:paraId="396DA59E">
      <w:pPr>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社会保障和就业：指反映政府在社会保障和就业方面支出。</w:t>
      </w:r>
    </w:p>
    <w:p w14:paraId="3548C1FD">
      <w:pPr>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w:t>
      </w:r>
      <w:r>
        <w:rPr>
          <w:rFonts w:hint="eastAsia" w:ascii="仿宋" w:hAnsi="仿宋" w:eastAsia="仿宋"/>
          <w:sz w:val="32"/>
          <w:szCs w:val="32"/>
        </w:rPr>
        <w:t>医疗卫生与计划生育：指反映政府卫生健康方面的支出。</w:t>
      </w:r>
    </w:p>
    <w:p w14:paraId="6F881144">
      <w:pPr>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w:t>
      </w:r>
      <w:r>
        <w:rPr>
          <w:rFonts w:hint="eastAsia" w:ascii="仿宋" w:hAnsi="仿宋" w:eastAsia="仿宋"/>
          <w:sz w:val="32"/>
          <w:szCs w:val="32"/>
        </w:rPr>
        <w:t>城乡社区：指反映政府城乡社区事务支出。</w:t>
      </w:r>
    </w:p>
    <w:p w14:paraId="3730F0BA">
      <w:pPr>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w:t>
      </w:r>
      <w:r>
        <w:rPr>
          <w:rFonts w:hint="eastAsia" w:ascii="仿宋" w:hAnsi="仿宋" w:eastAsia="仿宋"/>
          <w:sz w:val="32"/>
          <w:szCs w:val="32"/>
        </w:rPr>
        <w:t>农林水：指反映政府农林水事务支出。</w:t>
      </w:r>
    </w:p>
    <w:p w14:paraId="2F3B40FE">
      <w:pPr>
        <w:ind w:firstLine="640" w:firstLineChars="200"/>
        <w:rPr>
          <w:rFonts w:ascii="仿宋" w:hAnsi="仿宋" w:eastAsia="仿宋"/>
          <w:sz w:val="32"/>
          <w:szCs w:val="32"/>
        </w:rPr>
      </w:pPr>
      <w:r>
        <w:rPr>
          <w:rFonts w:hint="eastAsia" w:ascii="仿宋" w:hAnsi="仿宋" w:eastAsia="仿宋"/>
          <w:sz w:val="32"/>
          <w:szCs w:val="32"/>
        </w:rPr>
        <w:t>9</w:t>
      </w:r>
      <w:r>
        <w:rPr>
          <w:rFonts w:ascii="仿宋" w:hAnsi="仿宋" w:eastAsia="仿宋"/>
          <w:sz w:val="32"/>
          <w:szCs w:val="32"/>
        </w:rPr>
        <w:t>.</w:t>
      </w:r>
      <w:r>
        <w:rPr>
          <w:rFonts w:hint="eastAsia" w:ascii="仿宋" w:hAnsi="仿宋" w:eastAsia="仿宋"/>
          <w:sz w:val="32"/>
          <w:szCs w:val="32"/>
        </w:rPr>
        <w:t>住房保障：指集中反映政府用于住房方面的支出。</w:t>
      </w:r>
    </w:p>
    <w:p w14:paraId="7B8C1620">
      <w:pPr>
        <w:ind w:firstLine="640" w:firstLineChars="200"/>
        <w:rPr>
          <w:rFonts w:ascii="仿宋" w:hAnsi="仿宋" w:eastAsia="仿宋"/>
          <w:sz w:val="32"/>
          <w:szCs w:val="32"/>
        </w:rPr>
      </w:pPr>
      <w:r>
        <w:rPr>
          <w:rFonts w:hint="eastAsia" w:ascii="仿宋" w:hAnsi="仿宋" w:eastAsia="仿宋"/>
          <w:sz w:val="32"/>
          <w:szCs w:val="32"/>
        </w:rPr>
        <w:t>10</w:t>
      </w:r>
      <w:r>
        <w:rPr>
          <w:rFonts w:ascii="仿宋" w:hAnsi="仿宋" w:eastAsia="仿宋"/>
          <w:sz w:val="32"/>
          <w:szCs w:val="32"/>
        </w:rPr>
        <w:t>.</w:t>
      </w:r>
      <w:r>
        <w:rPr>
          <w:rFonts w:hint="eastAsia" w:ascii="仿宋" w:hAnsi="仿宋" w:eastAsia="仿宋"/>
          <w:sz w:val="32"/>
          <w:szCs w:val="32"/>
        </w:rPr>
        <w:t>基本支出：指为保障机构正常运转、完成日常工作任务而发生的人员支出和公用支出。</w:t>
      </w:r>
    </w:p>
    <w:p w14:paraId="57509622">
      <w:pPr>
        <w:ind w:firstLine="640" w:firstLineChars="200"/>
        <w:rPr>
          <w:rFonts w:ascii="仿宋" w:hAnsi="仿宋" w:eastAsia="仿宋"/>
          <w:sz w:val="32"/>
          <w:szCs w:val="32"/>
        </w:rPr>
      </w:pPr>
      <w:r>
        <w:rPr>
          <w:rFonts w:hint="eastAsia" w:ascii="仿宋" w:hAnsi="仿宋" w:eastAsia="仿宋"/>
          <w:sz w:val="32"/>
          <w:szCs w:val="32"/>
        </w:rPr>
        <w:t>11</w:t>
      </w:r>
      <w:r>
        <w:rPr>
          <w:rFonts w:ascii="仿宋" w:hAnsi="仿宋" w:eastAsia="仿宋"/>
          <w:sz w:val="32"/>
          <w:szCs w:val="32"/>
        </w:rPr>
        <w:t>.</w:t>
      </w:r>
      <w:r>
        <w:rPr>
          <w:rFonts w:hint="eastAsia" w:ascii="仿宋" w:hAnsi="仿宋" w:eastAsia="仿宋"/>
          <w:sz w:val="32"/>
          <w:szCs w:val="32"/>
        </w:rPr>
        <w:t>项目支出：指在基本支出之外为完成特定行政任务和事业发展目标所发生的支出。</w:t>
      </w:r>
    </w:p>
    <w:p w14:paraId="0C9E5983">
      <w:pPr>
        <w:pStyle w:val="23"/>
        <w:spacing w:line="560" w:lineRule="exact"/>
        <w:ind w:firstLine="640" w:firstLineChars="200"/>
        <w:rPr>
          <w:rFonts w:hAnsi="仿宋" w:cs="Times New Roman"/>
          <w:color w:val="auto"/>
          <w:kern w:val="2"/>
          <w:sz w:val="32"/>
          <w:szCs w:val="32"/>
        </w:rPr>
      </w:pPr>
      <w:r>
        <w:rPr>
          <w:rFonts w:hint="eastAsia" w:hAnsi="仿宋" w:cs="Times New Roman"/>
          <w:color w:val="auto"/>
          <w:kern w:val="2"/>
          <w:sz w:val="32"/>
          <w:szCs w:val="32"/>
        </w:rPr>
        <w:t>12</w:t>
      </w:r>
      <w:r>
        <w:rPr>
          <w:rFonts w:hAnsi="仿宋" w:cs="Times New Roman"/>
          <w:color w:val="auto"/>
          <w:kern w:val="2"/>
          <w:sz w:val="32"/>
          <w:szCs w:val="32"/>
        </w:rPr>
        <w:t>.</w:t>
      </w:r>
      <w:r>
        <w:rPr>
          <w:rFonts w:hint="eastAsia" w:hAnsi="仿宋" w:cs="Times New Roman"/>
          <w:color w:val="auto"/>
          <w:kern w:val="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6610DC1">
      <w:pPr>
        <w:pStyle w:val="23"/>
        <w:spacing w:line="560" w:lineRule="exact"/>
        <w:ind w:firstLine="640" w:firstLineChars="200"/>
        <w:rPr>
          <w:rFonts w:hAnsi="仿宋" w:cs="Times New Roman"/>
          <w:color w:val="auto"/>
          <w:kern w:val="2"/>
          <w:sz w:val="32"/>
          <w:szCs w:val="32"/>
        </w:rPr>
      </w:pPr>
      <w:r>
        <w:rPr>
          <w:rFonts w:hint="eastAsia" w:hAnsi="仿宋" w:cs="Times New Roman"/>
          <w:color w:val="auto"/>
          <w:kern w:val="2"/>
          <w:sz w:val="32"/>
          <w:szCs w:val="32"/>
        </w:rPr>
        <w:t>13</w:t>
      </w:r>
      <w:r>
        <w:rPr>
          <w:rFonts w:hAnsi="仿宋" w:cs="Times New Roman"/>
          <w:color w:val="auto"/>
          <w:kern w:val="2"/>
          <w:sz w:val="32"/>
          <w:szCs w:val="32"/>
        </w:rPr>
        <w:t>.</w:t>
      </w:r>
      <w:r>
        <w:rPr>
          <w:rFonts w:hint="eastAsia" w:hAnsi="仿宋" w:cs="Times New Roman"/>
          <w:color w:val="auto"/>
          <w:kern w:val="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F15E92F">
      <w:pPr>
        <w:spacing w:line="600" w:lineRule="exact"/>
        <w:jc w:val="center"/>
        <w:outlineLvl w:val="0"/>
        <w:rPr>
          <w:rStyle w:val="25"/>
          <w:rFonts w:ascii="黑体" w:hAnsi="黑体" w:eastAsia="黑体"/>
          <w:b w:val="0"/>
        </w:rPr>
      </w:pPr>
      <w:bookmarkStart w:id="57" w:name="_Toc15377226"/>
      <w:r>
        <w:rPr>
          <w:rFonts w:ascii="仿宋" w:hAnsi="仿宋" w:eastAsia="仿宋"/>
          <w:sz w:val="32"/>
          <w:szCs w:val="32"/>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14:paraId="3D13200E">
      <w:pPr>
        <w:spacing w:line="600" w:lineRule="exact"/>
        <w:jc w:val="center"/>
        <w:outlineLvl w:val="0"/>
        <w:rPr>
          <w:rStyle w:val="25"/>
        </w:rPr>
      </w:pPr>
    </w:p>
    <w:p w14:paraId="6BCCE009">
      <w:pPr>
        <w:pStyle w:val="3"/>
        <w:rPr>
          <w:rStyle w:val="25"/>
          <w:rFonts w:ascii="仿宋" w:hAnsi="仿宋" w:eastAsia="仿宋"/>
          <w:b w:val="0"/>
          <w:bCs w:val="0"/>
          <w:sz w:val="32"/>
          <w:szCs w:val="32"/>
        </w:rPr>
      </w:pPr>
      <w:bookmarkStart w:id="59" w:name="_Toc15396615"/>
      <w:r>
        <w:rPr>
          <w:rStyle w:val="25"/>
          <w:rFonts w:hint="eastAsia" w:ascii="仿宋" w:hAnsi="仿宋" w:eastAsia="仿宋"/>
          <w:b w:val="0"/>
          <w:bCs w:val="0"/>
          <w:sz w:val="32"/>
          <w:szCs w:val="32"/>
        </w:rPr>
        <w:t>附件1</w:t>
      </w:r>
      <w:bookmarkEnd w:id="59"/>
    </w:p>
    <w:p w14:paraId="687AC802">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攀枝花市仁和区住房和城乡建设局</w:t>
      </w:r>
    </w:p>
    <w:p w14:paraId="1450F079">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60"/>
    </w:p>
    <w:p w14:paraId="52FBF21A">
      <w:pPr>
        <w:spacing w:line="580" w:lineRule="exact"/>
        <w:ind w:firstLine="640" w:firstLineChars="200"/>
        <w:rPr>
          <w:rFonts w:ascii="黑体" w:hAnsi="黑体" w:eastAsia="黑体" w:cs="黑体"/>
          <w:sz w:val="32"/>
          <w:szCs w:val="32"/>
        </w:rPr>
      </w:pPr>
    </w:p>
    <w:p w14:paraId="177457D8">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一、单位概况</w:t>
      </w:r>
    </w:p>
    <w:p w14:paraId="4383C6B9">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（一）机构组成</w:t>
      </w:r>
    </w:p>
    <w:p w14:paraId="657AD181">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仁和区住建局设4个内设机构，3个下属事业单位（仁和区村镇建设管理站、仁和区房地产管理所、仁和区建设工程质量安全监督站）。</w:t>
      </w:r>
    </w:p>
    <w:p w14:paraId="7F0ACC6E">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（二）机构职能</w:t>
      </w:r>
    </w:p>
    <w:p w14:paraId="75F5B21F">
      <w:pPr>
        <w:ind w:firstLine="640" w:firstLineChars="200"/>
        <w:rPr>
          <w:rFonts w:ascii="仿宋" w:hAnsi="仿宋" w:eastAsia="仿宋"/>
          <w:sz w:val="32"/>
          <w:szCs w:val="32"/>
        </w:rPr>
      </w:pPr>
      <w:r>
        <w:rPr>
          <w:rFonts w:hint="eastAsia" w:ascii="仿宋" w:hAnsi="仿宋" w:eastAsia="仿宋"/>
          <w:sz w:val="32"/>
          <w:szCs w:val="32"/>
        </w:rPr>
        <w:t>1、贯彻执行国家住房、城乡建设的法律、法规和方针、政策；负责本系统、本部门依法行政工作，落实行政执法责任制。</w:t>
      </w:r>
    </w:p>
    <w:p w14:paraId="7FD0C2DC">
      <w:pPr>
        <w:ind w:firstLine="640" w:firstLineChars="200"/>
        <w:rPr>
          <w:rFonts w:ascii="仿宋" w:hAnsi="仿宋" w:eastAsia="仿宋"/>
          <w:sz w:val="32"/>
          <w:szCs w:val="32"/>
        </w:rPr>
      </w:pPr>
      <w:r>
        <w:rPr>
          <w:rFonts w:hint="eastAsia" w:ascii="仿宋" w:hAnsi="仿宋" w:eastAsia="仿宋"/>
          <w:sz w:val="32"/>
          <w:szCs w:val="32"/>
        </w:rPr>
        <w:t>2、负责研究制定建设系统经济发展战略、中长期规划、年度计划和相关政策并组织实施；综合分析行业经济运行情况，协调经济运行中的有关事宜。</w:t>
      </w:r>
    </w:p>
    <w:p w14:paraId="75D23923">
      <w:pPr>
        <w:ind w:firstLine="640" w:firstLineChars="200"/>
        <w:rPr>
          <w:rFonts w:ascii="仿宋" w:hAnsi="仿宋" w:eastAsia="仿宋"/>
          <w:sz w:val="32"/>
          <w:szCs w:val="32"/>
        </w:rPr>
      </w:pPr>
      <w:r>
        <w:rPr>
          <w:rFonts w:hint="eastAsia" w:ascii="仿宋" w:hAnsi="仿宋" w:eastAsia="仿宋"/>
          <w:sz w:val="32"/>
          <w:szCs w:val="32"/>
        </w:rPr>
        <w:t>3、贯彻执行全区住房改革和住房保障政策，承担推进住房制度改革，保障性住房建设、配租和管理及实施廉租租赁补贴的责任。拟定全区保障性住房管理实施办法，具体实施区政府住房保障年度工作目标。</w:t>
      </w:r>
    </w:p>
    <w:p w14:paraId="60C19EE6">
      <w:pPr>
        <w:ind w:firstLine="640" w:firstLineChars="200"/>
        <w:rPr>
          <w:rFonts w:ascii="仿宋" w:hAnsi="仿宋" w:eastAsia="仿宋"/>
          <w:sz w:val="32"/>
          <w:szCs w:val="32"/>
        </w:rPr>
      </w:pPr>
      <w:r>
        <w:rPr>
          <w:rFonts w:hint="eastAsia" w:ascii="仿宋" w:hAnsi="仿宋" w:eastAsia="仿宋"/>
          <w:sz w:val="32"/>
          <w:szCs w:val="32"/>
        </w:rPr>
        <w:t>4、贯彻执行国家、省、市有关房地产业方针、政策，执行相关的房地产市场监督管理政策、房地产行业发展规划、物业管理法律法规；承担房地产市场监管，规范房地产市场秩序和指导住宅小区物业管理的责任；参与城市房地产建设项目综合验收；负责物业管理企业的行业监督、指导管理工作。</w:t>
      </w:r>
    </w:p>
    <w:p w14:paraId="42FD08EE">
      <w:pPr>
        <w:ind w:firstLine="640" w:firstLineChars="200"/>
        <w:rPr>
          <w:rFonts w:ascii="仿宋" w:hAnsi="仿宋" w:eastAsia="仿宋"/>
          <w:sz w:val="32"/>
          <w:szCs w:val="32"/>
        </w:rPr>
      </w:pPr>
      <w:r>
        <w:rPr>
          <w:rFonts w:hint="eastAsia" w:ascii="仿宋" w:hAnsi="仿宋" w:eastAsia="仿宋"/>
          <w:sz w:val="32"/>
          <w:szCs w:val="32"/>
        </w:rPr>
        <w:t>5、承担国有土地房屋征收管理的责任，参与仁和区新区开发、旧城改造相关工作。</w:t>
      </w:r>
    </w:p>
    <w:p w14:paraId="36415FB1">
      <w:pPr>
        <w:ind w:firstLine="640" w:firstLineChars="200"/>
        <w:rPr>
          <w:rFonts w:ascii="仿宋" w:hAnsi="仿宋" w:eastAsia="仿宋"/>
          <w:sz w:val="32"/>
          <w:szCs w:val="32"/>
        </w:rPr>
      </w:pPr>
      <w:r>
        <w:rPr>
          <w:rFonts w:hint="eastAsia" w:ascii="仿宋" w:hAnsi="仿宋" w:eastAsia="仿宋"/>
          <w:sz w:val="32"/>
          <w:szCs w:val="32"/>
        </w:rPr>
        <w:t>6、贯彻执行国家、省、市有关城市市政基础设施建设和村镇建设方面的方针、政策，研究制定我区城市市政基础设施建设和村镇建设方面实施意见；拟定城市市政基础设施建设和村镇建设中长期发展规划；参与我区重点城市市政基础设施建设工作；指导、协调我区城市市政基础设施建设和村镇建设工作。指导农村住房建设、危房改造工作；指导农村公用设施建设和小城镇、村庄人居环境的改善工作。参与指导辖区内灾区和农村移民区的村镇搬迁、拆迁和重建管理工作。</w:t>
      </w:r>
    </w:p>
    <w:p w14:paraId="06F44470">
      <w:pPr>
        <w:ind w:firstLine="640" w:firstLineChars="200"/>
        <w:rPr>
          <w:rFonts w:ascii="仿宋" w:hAnsi="仿宋" w:eastAsia="仿宋"/>
          <w:sz w:val="32"/>
          <w:szCs w:val="32"/>
        </w:rPr>
      </w:pPr>
      <w:r>
        <w:rPr>
          <w:rFonts w:hint="eastAsia" w:ascii="仿宋" w:hAnsi="仿宋" w:eastAsia="仿宋"/>
          <w:sz w:val="32"/>
          <w:szCs w:val="32"/>
        </w:rPr>
        <w:t>7、承担全区建筑行业管理，规范建筑市场各方责任主体行为的责任。指导和规范建筑市场，负责对全区建设、施工、监理、勘察、设计、招标代理机构，房地产开发企业各方行为的监督管理工作；负责对全区建筑工程勘察、设计、招投标、施工许可、安全生产、建筑工程质量综合管理和监督工作。参与全区建设工程抗震设防工作，贯彻执行国家规范标准，指导村镇和农村建设抗震工作；参与权限范围内安全生产事故的调查、处理、统计、上报工作；参与管理建筑业劳务合同和劳动保险统筹工作。</w:t>
      </w:r>
    </w:p>
    <w:p w14:paraId="7CC4296E">
      <w:pPr>
        <w:ind w:firstLine="640" w:firstLineChars="200"/>
        <w:rPr>
          <w:rFonts w:ascii="仿宋" w:hAnsi="仿宋" w:eastAsia="仿宋"/>
          <w:sz w:val="32"/>
          <w:szCs w:val="32"/>
        </w:rPr>
      </w:pPr>
      <w:r>
        <w:rPr>
          <w:rFonts w:hint="eastAsia" w:ascii="仿宋" w:hAnsi="仿宋" w:eastAsia="仿宋"/>
          <w:sz w:val="32"/>
          <w:szCs w:val="32"/>
        </w:rPr>
        <w:t>8、贯彻执行国家、省、市有关建筑技术发展的政策、方针；指导行业新技术、新工艺、新材料、新设备的推广和应用。贯彻执行国家、省、市有关散装水泥、墙材革新和建筑节能的法律、法规、规章和技术标准，推进散装水泥、墙材革新和建筑节能工作；负责组织实施散装水泥的推广使用和监督检查工作；负责对全区墙材革新和建筑节能工作进行业务指导。</w:t>
      </w:r>
    </w:p>
    <w:p w14:paraId="4B16704E">
      <w:pPr>
        <w:ind w:firstLine="640" w:firstLineChars="200"/>
        <w:rPr>
          <w:rFonts w:ascii="仿宋" w:hAnsi="仿宋" w:eastAsia="仿宋"/>
          <w:sz w:val="32"/>
          <w:szCs w:val="32"/>
        </w:rPr>
      </w:pPr>
      <w:r>
        <w:rPr>
          <w:rFonts w:hint="eastAsia" w:ascii="仿宋" w:hAnsi="仿宋" w:eastAsia="仿宋"/>
          <w:sz w:val="32"/>
          <w:szCs w:val="32"/>
        </w:rPr>
        <w:t>9、牵头拟定建筑垃圾资源化再利用的整体规划和政策措施，综合协调建筑垃圾资源化再利用工作；拟定建筑垃圾集中回收处置的政策措施并监督实施；组织协调建筑垃圾资源化再利用技术创新和示范工作。</w:t>
      </w:r>
    </w:p>
    <w:p w14:paraId="676CC50E">
      <w:pPr>
        <w:ind w:firstLine="640" w:firstLineChars="200"/>
        <w:rPr>
          <w:rFonts w:ascii="仿宋" w:hAnsi="仿宋" w:eastAsia="仿宋"/>
          <w:sz w:val="32"/>
          <w:szCs w:val="32"/>
        </w:rPr>
      </w:pPr>
      <w:r>
        <w:rPr>
          <w:rFonts w:hint="eastAsia" w:ascii="仿宋" w:hAnsi="仿宋" w:eastAsia="仿宋"/>
          <w:sz w:val="32"/>
          <w:szCs w:val="32"/>
        </w:rPr>
        <w:t>10、负责住房和城乡建设执法。对违反《中华人民共和国城乡规划法》、《中华人民共和国建筑法》、《中华人民共和国城市房地产管理法》、《中华人民共和国测绘法》和国务院《建设工程勘察设计管理条例》及相关法律、法规、规章的违法、违章行为，实施监察和处罚。</w:t>
      </w:r>
    </w:p>
    <w:p w14:paraId="4137A78B">
      <w:pPr>
        <w:pStyle w:val="12"/>
        <w:widowControl/>
        <w:shd w:val="clear" w:color="auto" w:fill="FFFFFF"/>
        <w:spacing w:beforeAutospacing="0" w:afterAutospacing="0" w:line="315" w:lineRule="atLeast"/>
        <w:ind w:firstLine="640" w:firstLineChars="200"/>
        <w:rPr>
          <w:rFonts w:ascii="仿宋" w:hAnsi="仿宋" w:eastAsia="仿宋"/>
          <w:kern w:val="2"/>
          <w:sz w:val="32"/>
          <w:szCs w:val="32"/>
        </w:rPr>
      </w:pPr>
      <w:r>
        <w:rPr>
          <w:rFonts w:hint="eastAsia" w:ascii="仿宋" w:hAnsi="仿宋" w:eastAsia="仿宋"/>
          <w:kern w:val="2"/>
          <w:sz w:val="32"/>
          <w:szCs w:val="32"/>
        </w:rPr>
        <w:t>11、承担区政府公布的有关行政审批事项。</w:t>
      </w:r>
    </w:p>
    <w:p w14:paraId="3D5213D8">
      <w:pPr>
        <w:ind w:firstLine="640" w:firstLineChars="200"/>
        <w:rPr>
          <w:rFonts w:ascii="仿宋" w:hAnsi="仿宋" w:eastAsia="仿宋"/>
          <w:sz w:val="32"/>
          <w:szCs w:val="32"/>
        </w:rPr>
      </w:pPr>
      <w:r>
        <w:rPr>
          <w:rFonts w:hint="eastAsia" w:ascii="仿宋" w:hAnsi="仿宋" w:eastAsia="仿宋"/>
          <w:sz w:val="32"/>
          <w:szCs w:val="32"/>
        </w:rPr>
        <w:t>12、承办区政府交办的其它事项。</w:t>
      </w:r>
    </w:p>
    <w:p w14:paraId="4FB8524F">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（三）人员概况</w:t>
      </w:r>
    </w:p>
    <w:p w14:paraId="453E68DB">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区住房城乡建设局内设行政单位1个，事业单位3个，分别为仁和区村镇建设管理站、仁和区房地产管理所、仁和区建设工程质量安全监督站。</w:t>
      </w:r>
    </w:p>
    <w:p w14:paraId="6F31CA01">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区住房和城乡建设局机关行政编制10名。其中:局长1名，副局长3名，党总支领导1名，专职副主任1名，内设机构股室领导4名；</w:t>
      </w:r>
    </w:p>
    <w:p w14:paraId="0C0C68B4">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机关工勤人员编制1名。</w:t>
      </w:r>
    </w:p>
    <w:p w14:paraId="10B8C578">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仁和区村镇建设管理站事业编制20名；</w:t>
      </w:r>
    </w:p>
    <w:p w14:paraId="454EBB04">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仁和区房地产管理所事业编制8名；</w:t>
      </w:r>
    </w:p>
    <w:p w14:paraId="00011FA8">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区建设工程质量安全监督站事业编制10名；</w:t>
      </w:r>
    </w:p>
    <w:p w14:paraId="6700EDF9">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二、部门2018年度财政资金收支情况</w:t>
      </w:r>
    </w:p>
    <w:p w14:paraId="00160628">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（一）部门财政资金收入情况。</w:t>
      </w:r>
    </w:p>
    <w:p w14:paraId="28A9E432">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区住建局2018年财政拨款3212.34万元，其他收入130万元，全年收入3342.34万元。</w:t>
      </w:r>
    </w:p>
    <w:p w14:paraId="2B169363">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（二）部门财政资金支出情况。</w:t>
      </w:r>
    </w:p>
    <w:p w14:paraId="4566CB14">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2018年支出4711.94万元,其中工资福利支出531.78万元,商品和服务支出1129.16万元,对个人和家庭的补助支出40.61万元,债务利息及费用支出696.68其他资本性支出 2292万元 ，对企业补助21.71万元。</w:t>
      </w:r>
    </w:p>
    <w:p w14:paraId="46A31547">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三、部门财政支出管理情况</w:t>
      </w:r>
    </w:p>
    <w:p w14:paraId="0E381CF3">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 （一）预决算编制情况</w:t>
      </w:r>
    </w:p>
    <w:p w14:paraId="217C4506">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 区住建局对2018年度收到的所有财政拨款资金和其他资金的使用情况进行了全面的梳理，按照资金的来源、用途、使用管理的具体要求分项目、分种类、分科目进行了清理。2018年区住建局共收到财政拨款资金3212.34万元,其他收入130万元 ，全年收入总计3212.34万元。全年共发生基本支出649.95万元（包括区住建局机关行政运行、事业性支出、医疗保障、离退休及死亡抚恤等支出）。</w:t>
      </w:r>
    </w:p>
    <w:p w14:paraId="1132B5DF">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对照年初的预算，通过编制部门决算报表，全面、真实的反映了区住建局2018年度财政资金的使用情况。</w:t>
      </w:r>
    </w:p>
    <w:p w14:paraId="2EE0DBA8">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（二）执行管理情况</w:t>
      </w:r>
    </w:p>
    <w:p w14:paraId="7202435D">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本着少花钱、多办事、办好事、遵循有预算的支出原则。2018年总支出4711.94万元，其中基本支出649.95万元，项目支出4061.99（火车南站站前基础设施项目、火车南站“商贸城”市政道路配套工程、浣沙路、总发路南段、站前南站、站前巷、站前路、四号地块片区污水管网及排洪管道、渡仁西线人行道和景观改造一期工程、花城新区总发路北段、城市夜景照明、阳光家园污水管网、国开行贷款、特色小镇、保障性住房和棚户区改造项目、公共租赁住房租赁补贴、老旧小区改造等项目、宝灵小区综合整治、农村危房改造、特色小镇、建筑行业维稳、建筑质量安全监督），财务报账手续合规、资料附件齐全。</w:t>
      </w:r>
    </w:p>
    <w:p w14:paraId="09744B97">
      <w:pPr>
        <w:pStyle w:val="12"/>
        <w:widowControl/>
        <w:numPr>
          <w:ilvl w:val="0"/>
          <w:numId w:val="4"/>
        </w:numPr>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决算编制情况</w:t>
      </w:r>
    </w:p>
    <w:p w14:paraId="6301A625">
      <w:pPr>
        <w:pStyle w:val="12"/>
        <w:widowControl/>
        <w:shd w:val="clear" w:color="auto" w:fill="FFFFFF"/>
        <w:spacing w:beforeAutospacing="0" w:afterAutospacing="0" w:line="315" w:lineRule="atLeast"/>
        <w:ind w:firstLine="640" w:firstLineChars="200"/>
        <w:rPr>
          <w:rFonts w:ascii="仿宋" w:hAnsi="仿宋" w:eastAsia="仿宋"/>
          <w:kern w:val="2"/>
          <w:sz w:val="32"/>
          <w:szCs w:val="32"/>
        </w:rPr>
      </w:pPr>
      <w:r>
        <w:rPr>
          <w:rFonts w:hint="eastAsia" w:ascii="仿宋" w:hAnsi="仿宋" w:eastAsia="仿宋"/>
          <w:kern w:val="2"/>
          <w:sz w:val="32"/>
          <w:szCs w:val="32"/>
        </w:rPr>
        <w:t>根据攀仁财【2018】285号编制2018年部门决算。</w:t>
      </w:r>
    </w:p>
    <w:p w14:paraId="5B157C0C">
      <w:pPr>
        <w:pStyle w:val="12"/>
        <w:widowControl/>
        <w:shd w:val="clear" w:color="auto" w:fill="FFFFFF"/>
        <w:spacing w:beforeAutospacing="0" w:afterAutospacing="0" w:line="315" w:lineRule="atLeast"/>
        <w:ind w:firstLine="640" w:firstLineChars="200"/>
        <w:rPr>
          <w:rFonts w:ascii="仿宋" w:hAnsi="仿宋" w:eastAsia="仿宋"/>
          <w:kern w:val="2"/>
          <w:sz w:val="32"/>
          <w:szCs w:val="32"/>
        </w:rPr>
      </w:pPr>
      <w:r>
        <w:rPr>
          <w:rFonts w:hint="eastAsia" w:ascii="仿宋" w:hAnsi="仿宋" w:eastAsia="仿宋"/>
          <w:kern w:val="2"/>
          <w:sz w:val="32"/>
          <w:szCs w:val="32"/>
        </w:rPr>
        <w:t>1、财政拨款核对情况</w:t>
      </w:r>
    </w:p>
    <w:p w14:paraId="38D6F5EF">
      <w:pPr>
        <w:pStyle w:val="12"/>
        <w:widowControl/>
        <w:shd w:val="clear" w:color="auto" w:fill="FFFFFF"/>
        <w:spacing w:beforeAutospacing="0" w:afterAutospacing="0" w:line="315" w:lineRule="atLeast"/>
        <w:ind w:firstLine="640" w:firstLineChars="200"/>
        <w:rPr>
          <w:rFonts w:ascii="仿宋" w:hAnsi="仿宋" w:eastAsia="仿宋"/>
          <w:kern w:val="2"/>
          <w:sz w:val="32"/>
          <w:szCs w:val="32"/>
        </w:rPr>
      </w:pPr>
      <w:r>
        <w:rPr>
          <w:rFonts w:hint="eastAsia" w:ascii="仿宋" w:hAnsi="仿宋" w:eastAsia="仿宋"/>
          <w:kern w:val="2"/>
          <w:sz w:val="32"/>
          <w:szCs w:val="32"/>
        </w:rPr>
        <w:t>2018年实际收到的公共预算财政拨款收入1154.15万元，与财政对帐单相符；政府性基金预算财政拨款收入2058.2万元，与财政对帐单相符。</w:t>
      </w:r>
    </w:p>
    <w:p w14:paraId="13E9F79E">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2、上年结转和结余核对及指标变动情况</w:t>
      </w:r>
    </w:p>
    <w:p w14:paraId="274F16D5">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本部门财政拨款结转资金上年年末数与本年年初数不一致的情况说明：上年年末财政拨款结转结余资金3614.78万元，年末注销3037.76万元，财政拨存量资金957.6万元；其他资金结转结余549.99万元。</w:t>
      </w:r>
    </w:p>
    <w:p w14:paraId="1D6396A6">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（四）支出绩效情况</w:t>
      </w:r>
    </w:p>
    <w:p w14:paraId="2BE182E6">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（1）部门支出绩效</w:t>
      </w:r>
    </w:p>
    <w:p w14:paraId="0A52951C">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1、行政运转保障</w:t>
      </w:r>
    </w:p>
    <w:p w14:paraId="648224DC">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区住建局预算安排支出主要用于保障区住建局机关正常运转、完成日常工作任务以及承担相关工作。</w:t>
      </w:r>
    </w:p>
    <w:p w14:paraId="10C0F019">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基本支出，是用于保障区住建局机关及下属事业单位等机构正常运转的日常支出，包括基本工资、津贴补贴等人员经费以及办公费、印刷费、水电费、办公设备购置等日常公用经费。</w:t>
      </w:r>
    </w:p>
    <w:p w14:paraId="59387C99">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项目支出，是用于保障区住建局机关、下属单位等机构为完成特定的行政工作任务或事业发展目标，用于专项业务工作的经费支出。</w:t>
      </w:r>
    </w:p>
    <w:p w14:paraId="57CCE2B8">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2、机关厉行节约</w:t>
      </w:r>
    </w:p>
    <w:p w14:paraId="131ECC2E">
      <w:pPr>
        <w:pStyle w:val="12"/>
        <w:widowControl/>
        <w:shd w:val="clear" w:color="auto" w:fill="FFFFFF"/>
        <w:spacing w:beforeAutospacing="0" w:afterAutospacing="0" w:line="315" w:lineRule="atLeast"/>
        <w:ind w:firstLine="640" w:firstLineChars="200"/>
        <w:rPr>
          <w:rFonts w:ascii="仿宋" w:hAnsi="仿宋" w:eastAsia="仿宋"/>
          <w:kern w:val="2"/>
          <w:sz w:val="32"/>
          <w:szCs w:val="32"/>
        </w:rPr>
      </w:pPr>
      <w:r>
        <w:rPr>
          <w:rFonts w:hint="eastAsia" w:ascii="仿宋" w:hAnsi="仿宋" w:eastAsia="仿宋"/>
          <w:kern w:val="2"/>
          <w:sz w:val="32"/>
          <w:szCs w:val="32"/>
        </w:rPr>
        <w:t>区住建局2018年未发生公务出国（境）费用，本着厉行节约的原则，按照区政府公务接待相关规定，制定公务接待费的范围和标准，主要用于上级部门的工作检查、工作汇报及招商等相关业务工作。公务用车改革以前单位公务用车严格派车单制度，机动车辆实行定点维修，维修前应由驾驶员提出计划，经办公室主任汇总，报分管领导和主要负责人同意。</w:t>
      </w:r>
    </w:p>
    <w:p w14:paraId="33C4820C">
      <w:pPr>
        <w:pStyle w:val="12"/>
        <w:widowControl/>
        <w:shd w:val="clear" w:color="auto" w:fill="FFFFFF"/>
        <w:spacing w:beforeAutospacing="0" w:afterAutospacing="0" w:line="315" w:lineRule="atLeast"/>
        <w:ind w:firstLine="640" w:firstLineChars="200"/>
        <w:rPr>
          <w:rFonts w:ascii="仿宋" w:hAnsi="仿宋" w:eastAsia="仿宋"/>
          <w:kern w:val="2"/>
          <w:sz w:val="32"/>
          <w:szCs w:val="32"/>
        </w:rPr>
      </w:pPr>
      <w:r>
        <w:rPr>
          <w:rFonts w:hint="eastAsia" w:ascii="仿宋" w:hAnsi="仿宋" w:eastAsia="仿宋"/>
          <w:kern w:val="2"/>
          <w:sz w:val="32"/>
          <w:szCs w:val="32"/>
        </w:rPr>
        <w:t>区住建局严格执行中央</w:t>
      </w:r>
      <w:bookmarkStart w:id="75" w:name="_GoBack"/>
      <w:bookmarkEnd w:id="75"/>
      <w:r>
        <w:rPr>
          <w:rFonts w:hint="eastAsia" w:ascii="仿宋" w:hAnsi="仿宋" w:eastAsia="仿宋"/>
          <w:kern w:val="2"/>
          <w:sz w:val="32"/>
          <w:szCs w:val="32"/>
        </w:rPr>
        <w:t>八项规定，厉行节约，扎实做好五项经费专项督查工作，无乱发钱物情况，不存在超标准报销公务接待费、因公出国（境）经费、会议费、培训费、差旅费等情况。与2017年度同期相比，五项相关费用总体增长17%。逐步规范公务接待。一是公务接待，均做到不赠送纪念品或土特产、不超规格安排房间、不制作接待手册和席桌卡，没有增加陪餐人员现象、没有超标接待现象、没有安排娱乐活动现象，2018年接待费比2017年下降是51%；二是公车管理,公务用车运行费同比下降6%，原因是严格执行公务出行规定，实行公务车辆持卡加油、事前申报定点维修、定点停放制度，有效杜绝公车私驾、私用;2018年9月进行了车改，车辆全部上交区机关事务管理局；三是差旅费比上2017年增长40%，原因是加强职工业务培训和公车改革后增加市内差旅费支出；三是培训费比2017年增长19%，原因是加强职工业务培训；四是会议费2018年未产生；五是2018年没有产生因公出国（境）经费。</w:t>
      </w:r>
    </w:p>
    <w:p w14:paraId="6D4A966F">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 3、机关节能降耗</w:t>
      </w:r>
    </w:p>
    <w:p w14:paraId="5270E4F5">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 一是制定了机关用电管理制度。办公室、会议室等场所尽量采用自然光，尽可能少开灯。离开办公室要随手关灯，做到人走灯灭，杜绝“长明灯”。电脑、打印机、传真机、饮水机等设备要随用随开，下班后自觉关闭各类电器电源。二是逐步加强办公用品及耗材领用管理。三是降低办公电话费开支。自觉利用内部 v网通话，严格控制座机数量和长途电话，节约通讯费用。</w:t>
      </w:r>
    </w:p>
    <w:p w14:paraId="5D7E83DF">
      <w:pPr>
        <w:pStyle w:val="12"/>
        <w:widowControl/>
        <w:shd w:val="clear" w:color="auto" w:fill="FFFFFF"/>
        <w:spacing w:beforeAutospacing="0" w:afterAutospacing="0" w:line="315" w:lineRule="atLeast"/>
        <w:ind w:firstLine="640" w:firstLineChars="200"/>
        <w:rPr>
          <w:rFonts w:ascii="仿宋" w:hAnsi="仿宋" w:eastAsia="仿宋"/>
          <w:kern w:val="2"/>
          <w:sz w:val="32"/>
          <w:szCs w:val="32"/>
        </w:rPr>
      </w:pPr>
      <w:r>
        <w:rPr>
          <w:rFonts w:hint="eastAsia" w:ascii="仿宋" w:hAnsi="仿宋" w:eastAsia="仿宋"/>
          <w:kern w:val="2"/>
          <w:sz w:val="32"/>
          <w:szCs w:val="32"/>
        </w:rPr>
        <w:t>在保证机关正常办公的情况下，本着节约、环保的原则，降低机关电、燃油消耗量。</w:t>
      </w:r>
    </w:p>
    <w:p w14:paraId="41C0A88C">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（2）专项预算项目支出绩效。</w:t>
      </w:r>
    </w:p>
    <w:p w14:paraId="24164E5F">
      <w:pPr>
        <w:pStyle w:val="12"/>
        <w:widowControl/>
        <w:shd w:val="clear" w:color="auto" w:fill="FFFFFF"/>
        <w:spacing w:beforeAutospacing="0" w:afterAutospacing="0" w:line="315" w:lineRule="atLeast"/>
        <w:ind w:firstLine="640" w:firstLineChars="200"/>
        <w:rPr>
          <w:rFonts w:ascii="仿宋" w:hAnsi="仿宋" w:eastAsia="仿宋"/>
          <w:kern w:val="2"/>
          <w:sz w:val="32"/>
          <w:szCs w:val="32"/>
        </w:rPr>
      </w:pPr>
      <w:r>
        <w:rPr>
          <w:rFonts w:hint="eastAsia" w:ascii="仿宋" w:hAnsi="仿宋" w:eastAsia="仿宋"/>
          <w:kern w:val="2"/>
          <w:sz w:val="32"/>
          <w:szCs w:val="32"/>
        </w:rPr>
        <w:t>1、资金分配情况</w:t>
      </w:r>
    </w:p>
    <w:p w14:paraId="58F64DF2">
      <w:pPr>
        <w:pStyle w:val="12"/>
        <w:widowControl/>
        <w:shd w:val="clear" w:color="auto" w:fill="FFFFFF"/>
        <w:spacing w:beforeAutospacing="0" w:afterAutospacing="0" w:line="315" w:lineRule="atLeast"/>
        <w:ind w:firstLine="640" w:firstLineChars="200"/>
        <w:rPr>
          <w:rFonts w:ascii="仿宋" w:hAnsi="仿宋" w:eastAsia="仿宋"/>
          <w:kern w:val="2"/>
          <w:sz w:val="32"/>
          <w:szCs w:val="32"/>
        </w:rPr>
      </w:pPr>
      <w:r>
        <w:rPr>
          <w:rFonts w:hint="eastAsia" w:ascii="仿宋" w:hAnsi="仿宋" w:eastAsia="仿宋"/>
          <w:kern w:val="2"/>
          <w:sz w:val="32"/>
          <w:szCs w:val="32"/>
        </w:rPr>
        <w:t>区住建局决算支出主要用于保障该部门机构正常运转、完成日常工作任务以及承担住建事业发展相关工作。 </w:t>
      </w:r>
    </w:p>
    <w:p w14:paraId="0D90066F">
      <w:pPr>
        <w:pStyle w:val="12"/>
        <w:widowControl/>
        <w:shd w:val="clear" w:color="auto" w:fill="FFFFFF"/>
        <w:spacing w:beforeAutospacing="0" w:afterAutospacing="0" w:line="315" w:lineRule="atLeast"/>
        <w:ind w:firstLine="640" w:firstLineChars="200"/>
        <w:rPr>
          <w:rFonts w:ascii="仿宋" w:hAnsi="仿宋" w:eastAsia="仿宋"/>
          <w:kern w:val="2"/>
          <w:sz w:val="32"/>
          <w:szCs w:val="32"/>
        </w:rPr>
      </w:pPr>
      <w:r>
        <w:rPr>
          <w:rFonts w:hint="eastAsia" w:ascii="仿宋" w:hAnsi="仿宋" w:eastAsia="仿宋"/>
          <w:kern w:val="2"/>
          <w:sz w:val="32"/>
          <w:szCs w:val="32"/>
        </w:rPr>
        <w:t>基本支出，是用于保障区住建局机关、下属事业单位等机构正常运转的日常支出，包括基本工资、津贴补贴等人员经费以及办公费、印刷费、水电费、办公设备购置等日常公用经费。</w:t>
      </w:r>
    </w:p>
    <w:p w14:paraId="54336F3C">
      <w:pPr>
        <w:pStyle w:val="12"/>
        <w:widowControl/>
        <w:shd w:val="clear" w:color="auto" w:fill="FFFFFF"/>
        <w:spacing w:beforeAutospacing="0" w:afterAutospacing="0" w:line="315" w:lineRule="atLeast"/>
        <w:ind w:firstLine="640" w:firstLineChars="200"/>
        <w:rPr>
          <w:rFonts w:ascii="仿宋" w:hAnsi="仿宋" w:eastAsia="仿宋"/>
          <w:kern w:val="2"/>
          <w:sz w:val="32"/>
          <w:szCs w:val="32"/>
        </w:rPr>
      </w:pPr>
      <w:r>
        <w:rPr>
          <w:rFonts w:hint="eastAsia" w:ascii="仿宋" w:hAnsi="仿宋" w:eastAsia="仿宋"/>
          <w:kern w:val="2"/>
          <w:sz w:val="32"/>
          <w:szCs w:val="32"/>
        </w:rPr>
        <w:t>项目支出，是用于保障区住建局机关、下属事业单位等机构为完成特定的行政工作任务或事业发展目标，用于专项业务工作的经费支出。</w:t>
      </w:r>
    </w:p>
    <w:p w14:paraId="35B03216">
      <w:pPr>
        <w:pStyle w:val="12"/>
        <w:widowControl/>
        <w:shd w:val="clear" w:color="auto" w:fill="FFFFFF"/>
        <w:spacing w:beforeAutospacing="0" w:afterAutospacing="0" w:line="315" w:lineRule="atLeast"/>
        <w:ind w:firstLine="640" w:firstLineChars="200"/>
        <w:rPr>
          <w:rFonts w:ascii="仿宋" w:hAnsi="仿宋" w:eastAsia="仿宋"/>
          <w:kern w:val="2"/>
          <w:sz w:val="32"/>
          <w:szCs w:val="32"/>
        </w:rPr>
      </w:pPr>
      <w:r>
        <w:rPr>
          <w:rFonts w:hint="eastAsia" w:ascii="仿宋" w:hAnsi="仿宋" w:eastAsia="仿宋"/>
          <w:kern w:val="2"/>
          <w:sz w:val="32"/>
          <w:szCs w:val="32"/>
        </w:rPr>
        <w:t>按支出功能分类主要用于以下方面:</w:t>
      </w:r>
    </w:p>
    <w:p w14:paraId="2E58676B">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（一）城乡社区支出，主要用于机关及下属事业单位人员工资、日常运转以及为完成特定行政工作任务和事业发展目标而安排的年度项目支出。</w:t>
      </w:r>
    </w:p>
    <w:p w14:paraId="238411AC">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（二）社会保障和就业支出，主要用于机关及下属事业单位离退休人员支出和单位基本养老保险缴费支出。</w:t>
      </w:r>
    </w:p>
    <w:p w14:paraId="5722C188">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（三）医疗卫生与计划生育支出，主要用于机关及下属事业单位按照规定标准为职工缴纳的基本医疗保险及公务员医疗补助等支出。</w:t>
      </w:r>
    </w:p>
    <w:p w14:paraId="4CD61F86">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（四）住房保障支出，主要用于区住建局机关及下属事业单位按照规定标准为职工发放的住房补贴支。</w:t>
      </w:r>
    </w:p>
    <w:p w14:paraId="52407D29">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 （五）农林水支出，主要用于彝家新寨建设项目、幸福美丽新村、水土保持支出。</w:t>
      </w:r>
    </w:p>
    <w:p w14:paraId="394CE1AD">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 2、项目资金管理情况</w:t>
      </w:r>
    </w:p>
    <w:p w14:paraId="4D380FF0">
      <w:pPr>
        <w:pStyle w:val="12"/>
        <w:widowControl/>
        <w:shd w:val="clear" w:color="auto" w:fill="FFFFFF"/>
        <w:spacing w:beforeAutospacing="0" w:afterAutospacing="0" w:line="315" w:lineRule="atLeast"/>
        <w:ind w:firstLine="640" w:firstLineChars="200"/>
        <w:rPr>
          <w:rFonts w:ascii="仿宋" w:hAnsi="仿宋" w:eastAsia="仿宋"/>
          <w:kern w:val="2"/>
          <w:sz w:val="32"/>
          <w:szCs w:val="32"/>
        </w:rPr>
      </w:pPr>
      <w:r>
        <w:rPr>
          <w:rFonts w:hint="eastAsia" w:ascii="仿宋" w:hAnsi="仿宋" w:eastAsia="仿宋"/>
          <w:kern w:val="2"/>
          <w:sz w:val="32"/>
          <w:szCs w:val="32"/>
        </w:rPr>
        <w:t>项目签订完善相关施工合同；应该纳入政府采购目录均纳入区政府统一采购。资金管理实行专款专用，依据工程进度及时拨付资金。</w:t>
      </w:r>
    </w:p>
    <w:p w14:paraId="70956671">
      <w:pPr>
        <w:pStyle w:val="12"/>
        <w:widowControl/>
        <w:shd w:val="clear" w:color="auto" w:fill="FFFFFF"/>
        <w:spacing w:beforeAutospacing="0" w:afterAutospacing="0" w:line="315" w:lineRule="atLeast"/>
        <w:ind w:firstLine="640" w:firstLineChars="200"/>
        <w:rPr>
          <w:rFonts w:ascii="仿宋" w:hAnsi="仿宋" w:eastAsia="仿宋"/>
          <w:kern w:val="2"/>
          <w:sz w:val="32"/>
          <w:szCs w:val="32"/>
        </w:rPr>
      </w:pPr>
      <w:r>
        <w:rPr>
          <w:rFonts w:hint="eastAsia" w:ascii="仿宋" w:hAnsi="仿宋" w:eastAsia="仿宋"/>
          <w:kern w:val="2"/>
          <w:sz w:val="32"/>
          <w:szCs w:val="32"/>
        </w:rPr>
        <w:t>3、绩效目标完成情况</w:t>
      </w:r>
    </w:p>
    <w:p w14:paraId="49B1BDD3">
      <w:pPr>
        <w:spacing w:line="560" w:lineRule="exact"/>
        <w:ind w:firstLine="640" w:firstLineChars="200"/>
        <w:rPr>
          <w:rFonts w:ascii="仿宋" w:hAnsi="仿宋" w:eastAsia="仿宋"/>
          <w:sz w:val="32"/>
          <w:szCs w:val="32"/>
        </w:rPr>
      </w:pPr>
      <w:r>
        <w:rPr>
          <w:rFonts w:hint="eastAsia" w:ascii="仿宋" w:hAnsi="仿宋" w:eastAsia="仿宋"/>
          <w:sz w:val="32"/>
          <w:szCs w:val="32"/>
        </w:rPr>
        <w:t>市政重点工程建设目标：</w:t>
      </w:r>
    </w:p>
    <w:p w14:paraId="4C7359F3">
      <w:pPr>
        <w:spacing w:line="560" w:lineRule="exact"/>
        <w:ind w:firstLine="640" w:firstLineChars="200"/>
        <w:rPr>
          <w:rFonts w:ascii="仿宋" w:hAnsi="仿宋" w:eastAsia="仿宋"/>
          <w:sz w:val="32"/>
          <w:szCs w:val="32"/>
        </w:rPr>
      </w:pPr>
      <w:r>
        <w:rPr>
          <w:rFonts w:ascii="仿宋" w:hAnsi="仿宋" w:eastAsia="仿宋"/>
          <w:sz w:val="32"/>
          <w:szCs w:val="32"/>
        </w:rPr>
        <w:t>着力夯实城市发展基础，提升城市承载能力</w:t>
      </w:r>
      <w:r>
        <w:rPr>
          <w:rFonts w:hint="eastAsia" w:ascii="仿宋" w:hAnsi="仿宋" w:eastAsia="仿宋"/>
          <w:sz w:val="32"/>
          <w:szCs w:val="32"/>
        </w:rPr>
        <w:t>：火车南站站前基础设施项目、火车南站“商贸城”市政道路配套工程正在如火如荼建设中，其中总发路北段一期工程即将完工；浣沙路、总发路南段、站前南站、站前巷、站前路等5个项目前期工作加快推进；四号地块二期基础设施建设项目建设已全面铺开，四号地块片区污水管网及排洪管道已同步启动设计工作；下沙路、花城大道后段已启动规划设计及前期手续办理工作；普达一期道路工程按目标计划推进，累计完成总工程量的32%；莲花枢纽经济区、干坝塘行政中心区、普达阳光康养度假区3个新开发片区的供气、供电、供水管线已与新建道路同步设计、同步实施；</w:t>
      </w:r>
    </w:p>
    <w:p w14:paraId="21225E0A">
      <w:pPr>
        <w:spacing w:line="560" w:lineRule="exact"/>
        <w:ind w:firstLine="640" w:firstLineChars="200"/>
        <w:rPr>
          <w:rFonts w:ascii="仿宋" w:hAnsi="仿宋" w:eastAsia="仿宋"/>
          <w:sz w:val="32"/>
          <w:szCs w:val="32"/>
        </w:rPr>
      </w:pPr>
      <w:r>
        <w:rPr>
          <w:rFonts w:hint="eastAsia" w:ascii="仿宋" w:hAnsi="仿宋" w:eastAsia="仿宋"/>
          <w:sz w:val="32"/>
          <w:szCs w:val="32"/>
        </w:rPr>
        <w:t>着力改善城市生态环境，美化净化城市空间：已完成“水中央”湿地公园项目立项，正在进行勘察设计工作，预计明年初全面启动项目建设；已完成宝灵文化公园初步概念性规划方案编制工作；普达花海景观一期升级工程、下普达水库工程已基本完工，预计明年春节前实现蓄水；普达公共绿化二期工程正加快推进。农村人居环境改善显著，我区被成功评为全省农村生活污水治理试点县和全省人居环境示范县，目前已确定100个农村聚居点为污水治理试点，2018年计划实施60个农村聚居点农村生活污水治理“千村示范工程”项目31个，现已全面开工建设，预计明年1月完成项目主体验收。全力做好中央、省环保督察整改工作，完成城区新建污水管网3.679公里，改建污水管网3.11公里，促使城市市容逐步美化，城市环境逐步改善；</w:t>
      </w:r>
    </w:p>
    <w:p w14:paraId="0DF1D9EC">
      <w:pPr>
        <w:spacing w:line="560" w:lineRule="exact"/>
        <w:ind w:firstLine="640" w:firstLineChars="200"/>
        <w:rPr>
          <w:rFonts w:ascii="仿宋" w:hAnsi="仿宋" w:eastAsia="仿宋"/>
          <w:sz w:val="32"/>
          <w:szCs w:val="32"/>
        </w:rPr>
      </w:pPr>
      <w:r>
        <w:rPr>
          <w:rFonts w:hint="eastAsia" w:ascii="仿宋" w:hAnsi="仿宋" w:eastAsia="仿宋"/>
          <w:sz w:val="32"/>
          <w:szCs w:val="32"/>
        </w:rPr>
        <w:t>着力改善城乡人居环境，提升居民幸福指数：进一步用足用活用好棚改政策，着力整理包装火车南站片区、四十九中央商务区等城市重要开发建设板块征地拆迁安置纳入棚改，成功争取到672户棚改任务，实际实施总改造户数951户，全部采用货币化安置方式，申请国开行贷款资金5.8亿元，截</w:t>
      </w:r>
      <w:r>
        <w:rPr>
          <w:rFonts w:hint="eastAsia" w:ascii="仿宋" w:hAnsi="仿宋" w:eastAsia="仿宋"/>
          <w:sz w:val="32"/>
          <w:szCs w:val="32"/>
          <w:lang w:eastAsia="zh-CN"/>
        </w:rPr>
        <w:t>至</w:t>
      </w:r>
      <w:r>
        <w:rPr>
          <w:rFonts w:hint="eastAsia" w:ascii="仿宋" w:hAnsi="仿宋" w:eastAsia="仿宋"/>
          <w:sz w:val="32"/>
          <w:szCs w:val="32"/>
        </w:rPr>
        <w:t>目前累计完成签约753户，市级目标任务完成率112%。同时，加快实施2017年棚改报账工作，现已完成报账2016户，已使用资金4.7亿元。着力解决中低收入家庭住房困难，对待分配的274套公共租赁住房房源进行了清理，启动了2018年度公共租赁住房工作。缓解中低收入人群租房压力，全年按月发放公共租赁住房补贴66户、84375元。着力改善城乡人居环境，顺利启动林业大院综合整治、机械化施工处家属区综合整治二期工程等两个老旧小区改造项目，现已基本完工；完成141户农村危房改造、49户土坯房改造项目，启动了厕所革命项目，新建公厕33座，总投资517万元，现已竣工21座，在建7座，预计明年1月全面竣工，完成验收；</w:t>
      </w:r>
    </w:p>
    <w:p w14:paraId="0B6967F5">
      <w:pPr>
        <w:spacing w:line="560" w:lineRule="exact"/>
        <w:ind w:firstLine="640" w:firstLineChars="200"/>
        <w:rPr>
          <w:rFonts w:ascii="仿宋" w:hAnsi="仿宋" w:eastAsia="仿宋"/>
          <w:sz w:val="32"/>
          <w:szCs w:val="32"/>
        </w:rPr>
      </w:pPr>
      <w:r>
        <w:rPr>
          <w:rFonts w:hint="eastAsia" w:ascii="仿宋" w:hAnsi="仿宋" w:eastAsia="仿宋"/>
          <w:sz w:val="32"/>
          <w:szCs w:val="32"/>
        </w:rPr>
        <w:t>着力加强村镇建设管理，推进城乡统筹发展：坚持规划引领，统筹优化乡村布局，完成了前进镇总体规划、大龙潭乡、中坝乡总体规划和控制性详细规划编制及《攀枝花市仁和区新村建设总体规划》修编工作。大力实施乡村振兴战略，大田镇、同德镇成功申报四川省“百镇建设试点”，针对大田镇、同德镇，整合“幸福美丽新村”“人居环境治理”“脱贫攻坚”“农村危房改造”及“厕所革命”落实项目17个，落实项目资金521.9万元，目前各项目有序推进。大力实施特色小镇建设和传统村落保护工作，组织编制了《平地葡萄酒康养文旅小镇策划方案及概念性规划》，成立了特色小镇建设领导小组，制定了《平地特色小镇建设项目2018年实施方案》，启动了平地特色小镇建设项目15个，总投资3600万元，现已全部完工，平地镇迤沙拉村成功入选为第一批四川最美古村落。</w:t>
      </w:r>
    </w:p>
    <w:p w14:paraId="454A92AD">
      <w:pPr>
        <w:spacing w:line="560" w:lineRule="exact"/>
        <w:ind w:firstLine="640" w:firstLineChars="200"/>
        <w:rPr>
          <w:rFonts w:ascii="仿宋" w:hAnsi="仿宋" w:eastAsia="仿宋"/>
          <w:sz w:val="32"/>
          <w:szCs w:val="32"/>
        </w:rPr>
      </w:pPr>
      <w:r>
        <w:rPr>
          <w:rFonts w:hint="eastAsia" w:ascii="仿宋" w:hAnsi="仿宋" w:eastAsia="仿宋"/>
          <w:sz w:val="32"/>
          <w:szCs w:val="32"/>
        </w:rPr>
        <w:t>着力稳定房地产市场，促进经济高质量发展：辖区31个房地产开发项目，累计房屋施工面积约334万㎡，同比增长59%；新开工房地产项目12个115万㎡，同比增长18.55%。16个项目分26批次办理预售，预售面积66.22万㎡，同比增长163%；网签销售新建商品住宅3700套37万㎡，同比增长33%，完成目标任务2000套的185%，实现销售收入20亿元，销售均价5500元/㎡。包抓领导积极主动作为，切实解决房地产市场突出问题，香榭丽都项目已实现交房，鹭栖花园项目已启动破产清算，波尔卡城邦项目正在办理不动产权证，起辰.和瑞广场、柠檬城等项目涉稳问题正在逐步化解。全年回复涉及物业管理纠纷方面信访、投诉件300余件，接待投诉、咨询人员300余人，会同属地政府、街办、社区到现场处理物业管理纠纷120余次，组织并参与涉及物业管理纠纷的协调会70余次，有效遏制越级走访、集访等问题，营造了我区和谐稳定的发展环境。完成芙蓉花城等12个项目的前期物业招投标、备案工作，指导和润小区、上海花园等小区业委会工作，促使仁和小区物业管理水平不断提升，小区自治管理更加有序。</w:t>
      </w:r>
    </w:p>
    <w:p w14:paraId="6009CAA0">
      <w:pPr>
        <w:spacing w:line="560" w:lineRule="exact"/>
        <w:ind w:firstLine="640" w:firstLineChars="200"/>
        <w:rPr>
          <w:rFonts w:ascii="仿宋" w:hAnsi="仿宋" w:eastAsia="仿宋"/>
          <w:sz w:val="32"/>
          <w:szCs w:val="32"/>
        </w:rPr>
      </w:pPr>
      <w:r>
        <w:rPr>
          <w:rFonts w:hint="eastAsia" w:ascii="仿宋" w:hAnsi="仿宋" w:eastAsia="仿宋"/>
          <w:sz w:val="32"/>
          <w:szCs w:val="32"/>
        </w:rPr>
        <w:t>着力创新行业管理机制，优化城市营商环境：认真贯彻落实“放管服”工作，承接市级下沉事项11项。积极推进“最多跑一次”改革，招标控制价备案、施工监理合同备案全部实现网上申报，在申请材料齐全、符合法定要求的情况下合同备案实现即时办结，施工许可审批时限由缩短为2个工作日内限时办结，提速50%以上。重视建筑企业在我区的发展，组织相关职能股室逐一深入辖区建筑企业走访座谈，共商建筑业发展大计，及时协调解决企业在生产经营等方面存在的困难问题，形成了《仁和区促进建筑业发展实施意见》，提出鼓励建筑业发展的建议和意见，今年新增纳入统计口径建筑企业4家，预计完成建筑业总产值15亿元。重视建筑市场管理，对11家未办理施工许可擅自施工的企业进行立案查处，对1家企业违法发包立案查处，对8家施工现场扬尘控制不到位的施工企业进行立案查处，累计罚款153万元。积极维护农民工合法权益，扎实开展支付工程款及农民工工资专项检查，收取29个项目农民工工资保障金4837万元，民工工资保险1656万元，新开工及续建的33个建设项目全部开设民工工资专户并签订了农民工工资托管协议，在建筑领域推行实名制管理，领地、银泰、九号公馆、金科、华芝等项目已安装建筑工人实名系统。</w:t>
      </w:r>
    </w:p>
    <w:p w14:paraId="5BE7479F">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着力强化质量安全监管，打造标准化建筑工地：借助中央、省环保督察整改契机，全力打造标准化建筑工地，制定了《仁和区房屋建设和市政基础设施工程文明施工标准化实施方案》，认真开展建筑工地扬尘治理、噪音污染、文明施工标准化等专项治理行动，签订建筑施工现场扬尘治理承诺书30份，处理建筑工地夜间施工噪音污染投诉130条。对全区67个在建项目、293个单位工程开展工程质量安全提升行动，加大对施工过程重点环节、重要部位和关键工序的抽查力度，全力确保建筑工程质量安全，全年对25个新建项目下达了质量安全监督计划，完成了10个项目，44个单位工程，25万平米的主体结构验收；完成了11个房屋建筑项目，49个单位工程，18.5万平米及市政工程桥梁1座，运动场3个，场坪工程1个的竣工验收；完成工程质量监督报告29份；编制工程质量监督报告27份，工程质量监督交底17余次，考评监理单位4家（一个季度1家），受理工程质量投诉案件25件，所有案件基本得到妥善处理，针对质量安全存在问题较多的建设项目，我局向各责任单位下发了限期整改通知单188份，停工整改通知单133份。 </w:t>
      </w:r>
    </w:p>
    <w:p w14:paraId="4C570C1B">
      <w:pPr>
        <w:spacing w:line="560" w:lineRule="exact"/>
        <w:ind w:firstLine="640" w:firstLineChars="200"/>
        <w:rPr>
          <w:rFonts w:ascii="仿宋" w:hAnsi="仿宋" w:eastAsia="仿宋"/>
          <w:sz w:val="32"/>
          <w:szCs w:val="32"/>
        </w:rPr>
      </w:pPr>
      <w:r>
        <w:rPr>
          <w:rFonts w:hint="eastAsia" w:ascii="仿宋" w:hAnsi="仿宋" w:eastAsia="仿宋"/>
          <w:sz w:val="32"/>
          <w:szCs w:val="32"/>
        </w:rPr>
        <w:t>着力开展脱贫攻坚工作，助力打赢脱贫攻坚战：高度重视脱贫攻坚工作，对我局负责帮扶的平地镇平地村76户建档立卡贫困户（5户精准识别户）工作任务进行了分解，建立健全了贫困户信息档案，研究制订了切实可行的帮扶方案和帮扶措施。我们带队入户走访10余次，为贫困户宣讲国家扶贫政策及传十九大精神，送去慰问金、慰问品共计3万余元，安排相关业务股室专业技术人员对贫困户农房重建、标准化羊圈建设等进行现场指导，进一步增强了贫困户脱贫信心。在全区扶贫日组织全体党员、干部职工积极为贫困村捐款2600元；主动联系辖区企业四川天府银行和攀枝花市华芝投资集团有限公司参与我区脱贫攻坚工作，为帮扶村捐赠10万元的种植肥料、种苗、牲畜及农房改造费用，用于解决农户春耕生产问题和改善农户住房条件；同时，积极联系有意愿参与脱贫攻坚工作的建筑企业攀枝花鑫悦建筑工程有限公司为贫困户李倪芳修建厨房和厕所，改善农户生活条件。</w:t>
      </w:r>
    </w:p>
    <w:p w14:paraId="35DB3FDD">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从经济效益上看，各项目的实施使城市规划更加合理，配套设施更加完善，道路硬化，小区排污管网接入城市污水管网，认真解决群众关心的热点难点问题，为市民创造良好的生活与工作环境，从而方便了广大人民群众生活需要。</w:t>
      </w:r>
    </w:p>
    <w:p w14:paraId="5D17A96B">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从社会效益上看，通过各项目实施，使生活环境改善、配套设施完善、各道路、景观得到提升，不断改善城区建设水平，改善城乡建设质量景观，使城乡结合部的山、水、田、林、路、宅等得到综合治理与提升，进一步实现了人与自然的和谐。同时围绕产业特色突出、经济实力较强、人口集聚度高、设施配套齐全、生态环境优美的总体要求，切实推进新型城镇化建设，充分发挥重点镇的引领示范作用，进一步做好农村危房改造的争取和监管工作，优化投资环境，使全区老百姓直接感受幸福美好生活。</w:t>
      </w:r>
    </w:p>
    <w:p w14:paraId="7972FC2D">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四、财务管理情况</w:t>
      </w:r>
    </w:p>
    <w:p w14:paraId="7FA7F765">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制定了《仁和区住房和城乡建设局财务管理制度》，财务人员严格按照财务制度办事。财务人员掌握会计制度和相关法规、费用开支范围和标准，分清资金渠道，专款专用。严格按照会计制度，填制会计凭证、登记会计帐薄、进行会计核算、加强财务管理。对违反财务制度的收支不予办理，并积极做好维护财经纪律的宣传工作。</w:t>
      </w:r>
    </w:p>
    <w:p w14:paraId="55FEB04F">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 四、评价结论及建议</w:t>
      </w:r>
    </w:p>
    <w:p w14:paraId="18CA3BED">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  （一）评价结论</w:t>
      </w:r>
    </w:p>
    <w:p w14:paraId="5F615D9E">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我局在各项目实施过程中，建立健全相关制度、机制，严格执行，推进各项工作的落实。项目资金严格审批制度，真正做到了专款专用，确保项目资金的有效利用。总体来说项目审核严格，管理到位，完成及时，社会效果良好。</w:t>
      </w:r>
    </w:p>
    <w:p w14:paraId="682A29FB">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评价结论为良。</w:t>
      </w:r>
    </w:p>
    <w:p w14:paraId="06F4B749">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（二）存在问题及改进建议</w:t>
      </w:r>
    </w:p>
    <w:p w14:paraId="47EC1F72">
      <w:pPr>
        <w:pStyle w:val="12"/>
        <w:widowControl/>
        <w:shd w:val="clear" w:color="auto" w:fill="FFFFFF"/>
        <w:spacing w:beforeAutospacing="0" w:afterAutospacing="0" w:line="315" w:lineRule="atLeast"/>
        <w:ind w:firstLine="480"/>
        <w:rPr>
          <w:rFonts w:ascii="仿宋" w:hAnsi="仿宋" w:eastAsia="仿宋"/>
          <w:kern w:val="2"/>
          <w:sz w:val="32"/>
          <w:szCs w:val="32"/>
        </w:rPr>
      </w:pPr>
      <w:r>
        <w:rPr>
          <w:rFonts w:hint="eastAsia" w:ascii="仿宋" w:hAnsi="仿宋" w:eastAsia="仿宋"/>
          <w:kern w:val="2"/>
          <w:sz w:val="32"/>
          <w:szCs w:val="32"/>
        </w:rPr>
        <w:t>今后我局将进一步贯彻落实中央八项规定，厉行节约，严格控制“三公”经费支出，建立长效机制。进一步规范落实国家专项资金的管理和使用，将通过项目为载体发挥巨大的社会价值，继续探索好的做法，抓好项目后续管理工作，不断惠民利民，争取把国家资金的有效价值发挥到最大化。</w:t>
      </w:r>
    </w:p>
    <w:p w14:paraId="000B045E">
      <w:pPr>
        <w:rPr>
          <w:rFonts w:ascii="仿宋" w:hAnsi="仿宋" w:eastAsia="仿宋"/>
          <w:sz w:val="32"/>
          <w:szCs w:val="32"/>
        </w:rPr>
      </w:pPr>
      <w:r>
        <w:rPr>
          <w:rFonts w:hint="eastAsia" w:ascii="仿宋" w:hAnsi="仿宋" w:eastAsia="仿宋"/>
          <w:sz w:val="32"/>
          <w:szCs w:val="32"/>
        </w:rPr>
        <w:t xml:space="preserve">                            2019年5月22日</w:t>
      </w:r>
    </w:p>
    <w:p w14:paraId="3A91D98D">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tbl>
      <w:tblPr>
        <w:tblStyle w:val="13"/>
        <w:tblW w:w="8894" w:type="dxa"/>
        <w:tblInd w:w="93" w:type="dxa"/>
        <w:tblLayout w:type="autofit"/>
        <w:tblCellMar>
          <w:top w:w="0" w:type="dxa"/>
          <w:left w:w="108" w:type="dxa"/>
          <w:bottom w:w="0" w:type="dxa"/>
          <w:right w:w="108" w:type="dxa"/>
        </w:tblCellMar>
      </w:tblPr>
      <w:tblGrid>
        <w:gridCol w:w="616"/>
        <w:gridCol w:w="736"/>
        <w:gridCol w:w="1747"/>
        <w:gridCol w:w="587"/>
        <w:gridCol w:w="2005"/>
        <w:gridCol w:w="3203"/>
      </w:tblGrid>
      <w:tr w14:paraId="586CCB4C">
        <w:tblPrEx>
          <w:tblCellMar>
            <w:top w:w="0" w:type="dxa"/>
            <w:left w:w="108" w:type="dxa"/>
            <w:bottom w:w="0" w:type="dxa"/>
            <w:right w:w="108" w:type="dxa"/>
          </w:tblCellMar>
        </w:tblPrEx>
        <w:trPr>
          <w:trHeight w:val="411" w:hRule="atLeast"/>
        </w:trPr>
        <w:tc>
          <w:tcPr>
            <w:tcW w:w="8893" w:type="dxa"/>
            <w:gridSpan w:val="6"/>
            <w:tcBorders>
              <w:top w:val="nil"/>
              <w:left w:val="nil"/>
              <w:bottom w:val="nil"/>
              <w:right w:val="nil"/>
            </w:tcBorders>
            <w:shd w:val="clear" w:color="auto" w:fill="auto"/>
            <w:vAlign w:val="center"/>
          </w:tcPr>
          <w:p w14:paraId="70268497">
            <w:pPr>
              <w:widowControl/>
              <w:jc w:val="center"/>
              <w:rPr>
                <w:rFonts w:ascii="宋体" w:hAnsi="宋体" w:cs="宋体"/>
                <w:b/>
                <w:bCs/>
                <w:kern w:val="0"/>
                <w:sz w:val="32"/>
                <w:szCs w:val="32"/>
              </w:rPr>
            </w:pPr>
            <w:r>
              <w:rPr>
                <w:rFonts w:hint="eastAsia" w:ascii="宋体" w:hAnsi="宋体" w:cs="宋体"/>
                <w:b/>
                <w:bCs/>
                <w:kern w:val="0"/>
                <w:sz w:val="32"/>
                <w:szCs w:val="32"/>
              </w:rPr>
              <w:t>仁和区区级部门支出绩效评价共性指标体系</w:t>
            </w:r>
          </w:p>
        </w:tc>
      </w:tr>
      <w:tr w14:paraId="2647B989">
        <w:tblPrEx>
          <w:tblCellMar>
            <w:top w:w="0" w:type="dxa"/>
            <w:left w:w="108" w:type="dxa"/>
            <w:bottom w:w="0" w:type="dxa"/>
            <w:right w:w="108" w:type="dxa"/>
          </w:tblCellMar>
        </w:tblPrEx>
        <w:trPr>
          <w:trHeight w:val="350" w:hRule="atLeast"/>
        </w:trPr>
        <w:tc>
          <w:tcPr>
            <w:tcW w:w="5691" w:type="dxa"/>
            <w:gridSpan w:val="5"/>
            <w:tcBorders>
              <w:top w:val="nil"/>
              <w:left w:val="nil"/>
              <w:bottom w:val="nil"/>
              <w:right w:val="nil"/>
            </w:tcBorders>
            <w:shd w:val="clear" w:color="auto" w:fill="auto"/>
            <w:noWrap/>
          </w:tcPr>
          <w:p w14:paraId="4DBCA731">
            <w:pPr>
              <w:widowControl/>
              <w:jc w:val="left"/>
              <w:rPr>
                <w:rFonts w:ascii="宋体" w:hAnsi="宋体" w:cs="宋体"/>
                <w:b/>
                <w:bCs/>
                <w:kern w:val="0"/>
                <w:sz w:val="24"/>
              </w:rPr>
            </w:pPr>
            <w:r>
              <w:rPr>
                <w:rFonts w:hint="eastAsia" w:ascii="宋体" w:hAnsi="宋体" w:cs="宋体"/>
                <w:b/>
                <w:bCs/>
                <w:kern w:val="0"/>
                <w:sz w:val="24"/>
              </w:rPr>
              <w:t>单位：仁和区住房和城乡建设局</w:t>
            </w:r>
          </w:p>
        </w:tc>
        <w:tc>
          <w:tcPr>
            <w:tcW w:w="3203" w:type="dxa"/>
            <w:tcBorders>
              <w:top w:val="nil"/>
              <w:left w:val="nil"/>
              <w:bottom w:val="nil"/>
              <w:right w:val="nil"/>
            </w:tcBorders>
            <w:shd w:val="clear" w:color="auto" w:fill="auto"/>
            <w:vAlign w:val="center"/>
          </w:tcPr>
          <w:p w14:paraId="0AF3664F">
            <w:pPr>
              <w:widowControl/>
              <w:jc w:val="center"/>
              <w:rPr>
                <w:rFonts w:ascii="宋体" w:hAnsi="宋体" w:cs="宋体"/>
                <w:b/>
                <w:bCs/>
                <w:kern w:val="0"/>
                <w:sz w:val="36"/>
                <w:szCs w:val="36"/>
              </w:rPr>
            </w:pPr>
          </w:p>
        </w:tc>
      </w:tr>
      <w:tr w14:paraId="6FECE0FE">
        <w:tblPrEx>
          <w:tblCellMar>
            <w:top w:w="0" w:type="dxa"/>
            <w:left w:w="108" w:type="dxa"/>
            <w:bottom w:w="0" w:type="dxa"/>
            <w:right w:w="108" w:type="dxa"/>
          </w:tblCellMar>
        </w:tblPrEx>
        <w:trPr>
          <w:trHeight w:val="531" w:hRule="atLeast"/>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6D6FDD69">
            <w:pPr>
              <w:widowControl/>
              <w:jc w:val="center"/>
              <w:rPr>
                <w:rFonts w:ascii="宋体" w:hAnsi="宋体" w:cs="宋体"/>
                <w:b/>
                <w:bCs/>
                <w:kern w:val="0"/>
                <w:sz w:val="20"/>
                <w:szCs w:val="20"/>
              </w:rPr>
            </w:pPr>
            <w:r>
              <w:rPr>
                <w:rFonts w:hint="eastAsia" w:ascii="宋体" w:hAnsi="宋体" w:cs="宋体"/>
                <w:b/>
                <w:bCs/>
                <w:kern w:val="0"/>
                <w:sz w:val="20"/>
                <w:szCs w:val="20"/>
              </w:rPr>
              <w:t>一级指标</w:t>
            </w:r>
          </w:p>
        </w:tc>
        <w:tc>
          <w:tcPr>
            <w:tcW w:w="736" w:type="dxa"/>
            <w:tcBorders>
              <w:top w:val="single" w:color="auto" w:sz="4" w:space="0"/>
              <w:left w:val="nil"/>
              <w:bottom w:val="single" w:color="auto" w:sz="4" w:space="0"/>
              <w:right w:val="single" w:color="auto" w:sz="4" w:space="0"/>
            </w:tcBorders>
            <w:shd w:val="clear" w:color="auto" w:fill="auto"/>
            <w:noWrap/>
            <w:vAlign w:val="center"/>
          </w:tcPr>
          <w:p w14:paraId="3CAD1F57">
            <w:pPr>
              <w:widowControl/>
              <w:jc w:val="center"/>
              <w:rPr>
                <w:rFonts w:ascii="宋体" w:hAnsi="宋体" w:cs="宋体"/>
                <w:b/>
                <w:bCs/>
                <w:kern w:val="0"/>
                <w:sz w:val="20"/>
                <w:szCs w:val="20"/>
              </w:rPr>
            </w:pPr>
            <w:r>
              <w:rPr>
                <w:rFonts w:hint="eastAsia" w:ascii="宋体" w:hAnsi="宋体" w:cs="宋体"/>
                <w:b/>
                <w:bCs/>
                <w:kern w:val="0"/>
                <w:sz w:val="20"/>
                <w:szCs w:val="20"/>
              </w:rPr>
              <w:t>二级指标</w:t>
            </w:r>
          </w:p>
        </w:tc>
        <w:tc>
          <w:tcPr>
            <w:tcW w:w="1747" w:type="dxa"/>
            <w:tcBorders>
              <w:top w:val="single" w:color="auto" w:sz="4" w:space="0"/>
              <w:left w:val="nil"/>
              <w:bottom w:val="single" w:color="auto" w:sz="4" w:space="0"/>
              <w:right w:val="single" w:color="auto" w:sz="4" w:space="0"/>
            </w:tcBorders>
            <w:shd w:val="clear" w:color="auto" w:fill="auto"/>
            <w:noWrap/>
            <w:vAlign w:val="center"/>
          </w:tcPr>
          <w:p w14:paraId="75A37834">
            <w:pPr>
              <w:widowControl/>
              <w:jc w:val="center"/>
              <w:rPr>
                <w:rFonts w:ascii="宋体" w:hAnsi="宋体" w:cs="宋体"/>
                <w:b/>
                <w:bCs/>
                <w:kern w:val="0"/>
                <w:sz w:val="20"/>
                <w:szCs w:val="20"/>
              </w:rPr>
            </w:pPr>
            <w:r>
              <w:rPr>
                <w:rFonts w:hint="eastAsia" w:ascii="宋体" w:hAnsi="宋体" w:cs="宋体"/>
                <w:b/>
                <w:bCs/>
                <w:kern w:val="0"/>
                <w:sz w:val="20"/>
                <w:szCs w:val="20"/>
              </w:rPr>
              <w:t>三级指标</w:t>
            </w:r>
          </w:p>
        </w:tc>
        <w:tc>
          <w:tcPr>
            <w:tcW w:w="587" w:type="dxa"/>
            <w:tcBorders>
              <w:top w:val="single" w:color="auto" w:sz="4" w:space="0"/>
              <w:left w:val="nil"/>
              <w:bottom w:val="single" w:color="auto" w:sz="4" w:space="0"/>
              <w:right w:val="single" w:color="auto" w:sz="4" w:space="0"/>
            </w:tcBorders>
            <w:shd w:val="clear" w:color="auto" w:fill="auto"/>
            <w:noWrap/>
            <w:vAlign w:val="center"/>
          </w:tcPr>
          <w:p w14:paraId="3445C623">
            <w:pPr>
              <w:widowControl/>
              <w:jc w:val="center"/>
              <w:rPr>
                <w:rFonts w:ascii="宋体" w:hAnsi="宋体" w:cs="宋体"/>
                <w:b/>
                <w:bCs/>
                <w:kern w:val="0"/>
                <w:sz w:val="20"/>
                <w:szCs w:val="20"/>
              </w:rPr>
            </w:pPr>
            <w:r>
              <w:rPr>
                <w:rFonts w:hint="eastAsia" w:ascii="宋体" w:hAnsi="宋体" w:cs="宋体"/>
                <w:b/>
                <w:bCs/>
                <w:kern w:val="0"/>
                <w:sz w:val="20"/>
                <w:szCs w:val="20"/>
              </w:rPr>
              <w:t>自评分</w:t>
            </w:r>
          </w:p>
        </w:tc>
        <w:tc>
          <w:tcPr>
            <w:tcW w:w="2035" w:type="dxa"/>
            <w:tcBorders>
              <w:top w:val="single" w:color="auto" w:sz="4" w:space="0"/>
              <w:left w:val="nil"/>
              <w:bottom w:val="single" w:color="auto" w:sz="4" w:space="0"/>
              <w:right w:val="single" w:color="auto" w:sz="4" w:space="0"/>
            </w:tcBorders>
            <w:shd w:val="clear" w:color="auto" w:fill="auto"/>
            <w:vAlign w:val="center"/>
          </w:tcPr>
          <w:p w14:paraId="0589DC84">
            <w:pPr>
              <w:widowControl/>
              <w:jc w:val="center"/>
              <w:rPr>
                <w:rFonts w:ascii="宋体" w:hAnsi="宋体" w:cs="宋体"/>
                <w:b/>
                <w:bCs/>
                <w:kern w:val="0"/>
                <w:sz w:val="20"/>
                <w:szCs w:val="20"/>
              </w:rPr>
            </w:pPr>
            <w:r>
              <w:rPr>
                <w:rFonts w:hint="eastAsia" w:ascii="宋体" w:hAnsi="宋体" w:cs="宋体"/>
                <w:b/>
                <w:bCs/>
                <w:kern w:val="0"/>
                <w:sz w:val="20"/>
                <w:szCs w:val="20"/>
              </w:rPr>
              <w:t>指标解释</w:t>
            </w:r>
          </w:p>
        </w:tc>
        <w:tc>
          <w:tcPr>
            <w:tcW w:w="3203" w:type="dxa"/>
            <w:tcBorders>
              <w:top w:val="single" w:color="auto" w:sz="4" w:space="0"/>
              <w:left w:val="nil"/>
              <w:bottom w:val="single" w:color="auto" w:sz="4" w:space="0"/>
              <w:right w:val="single" w:color="auto" w:sz="4" w:space="0"/>
            </w:tcBorders>
            <w:shd w:val="clear" w:color="auto" w:fill="auto"/>
            <w:vAlign w:val="center"/>
          </w:tcPr>
          <w:p w14:paraId="2279DD15">
            <w:pPr>
              <w:widowControl/>
              <w:jc w:val="center"/>
              <w:rPr>
                <w:rFonts w:ascii="宋体" w:hAnsi="宋体" w:cs="宋体"/>
                <w:b/>
                <w:bCs/>
                <w:kern w:val="0"/>
                <w:sz w:val="20"/>
                <w:szCs w:val="20"/>
              </w:rPr>
            </w:pPr>
            <w:r>
              <w:rPr>
                <w:rFonts w:hint="eastAsia" w:ascii="宋体" w:hAnsi="宋体" w:cs="宋体"/>
                <w:b/>
                <w:bCs/>
                <w:kern w:val="0"/>
                <w:sz w:val="20"/>
                <w:szCs w:val="20"/>
              </w:rPr>
              <w:t>备 注</w:t>
            </w:r>
          </w:p>
        </w:tc>
      </w:tr>
      <w:tr w14:paraId="342D50D0">
        <w:tblPrEx>
          <w:tblCellMar>
            <w:top w:w="0" w:type="dxa"/>
            <w:left w:w="108" w:type="dxa"/>
            <w:bottom w:w="0" w:type="dxa"/>
            <w:right w:w="108" w:type="dxa"/>
          </w:tblCellMar>
        </w:tblPrEx>
        <w:trPr>
          <w:trHeight w:val="531" w:hRule="atLeast"/>
        </w:trPr>
        <w:tc>
          <w:tcPr>
            <w:tcW w:w="586" w:type="dxa"/>
            <w:vMerge w:val="restart"/>
            <w:tcBorders>
              <w:top w:val="nil"/>
              <w:left w:val="single" w:color="auto" w:sz="4" w:space="0"/>
              <w:bottom w:val="nil"/>
              <w:right w:val="single" w:color="auto" w:sz="4" w:space="0"/>
            </w:tcBorders>
            <w:shd w:val="clear" w:color="auto" w:fill="auto"/>
            <w:vAlign w:val="center"/>
          </w:tcPr>
          <w:p w14:paraId="3AFC3912">
            <w:pPr>
              <w:widowControl/>
              <w:jc w:val="center"/>
              <w:rPr>
                <w:rFonts w:ascii="宋体" w:hAnsi="宋体" w:cs="宋体"/>
                <w:kern w:val="0"/>
                <w:sz w:val="20"/>
                <w:szCs w:val="20"/>
              </w:rPr>
            </w:pPr>
            <w:r>
              <w:rPr>
                <w:rFonts w:hint="eastAsia" w:ascii="宋体" w:hAnsi="宋体" w:cs="宋体"/>
                <w:kern w:val="0"/>
                <w:sz w:val="20"/>
                <w:szCs w:val="20"/>
              </w:rPr>
              <w:t>预决算编制（10分）</w:t>
            </w:r>
          </w:p>
        </w:tc>
        <w:tc>
          <w:tcPr>
            <w:tcW w:w="736" w:type="dxa"/>
            <w:vMerge w:val="restart"/>
            <w:tcBorders>
              <w:top w:val="nil"/>
              <w:left w:val="single" w:color="auto" w:sz="4" w:space="0"/>
              <w:bottom w:val="single" w:color="000000" w:sz="4" w:space="0"/>
              <w:right w:val="single" w:color="auto" w:sz="4" w:space="0"/>
            </w:tcBorders>
            <w:shd w:val="clear" w:color="auto" w:fill="auto"/>
            <w:vAlign w:val="center"/>
          </w:tcPr>
          <w:p w14:paraId="473A686F">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预算编制（5分）</w:t>
            </w:r>
          </w:p>
        </w:tc>
        <w:tc>
          <w:tcPr>
            <w:tcW w:w="1747" w:type="dxa"/>
            <w:tcBorders>
              <w:top w:val="nil"/>
              <w:left w:val="nil"/>
              <w:bottom w:val="single" w:color="auto" w:sz="4" w:space="0"/>
              <w:right w:val="single" w:color="auto" w:sz="4" w:space="0"/>
            </w:tcBorders>
            <w:shd w:val="clear" w:color="auto" w:fill="auto"/>
            <w:vAlign w:val="center"/>
          </w:tcPr>
          <w:p w14:paraId="1F9FE122">
            <w:pPr>
              <w:widowControl/>
              <w:jc w:val="left"/>
              <w:rPr>
                <w:rFonts w:ascii="宋体" w:hAnsi="宋体" w:cs="宋体"/>
                <w:kern w:val="0"/>
                <w:sz w:val="20"/>
                <w:szCs w:val="20"/>
              </w:rPr>
            </w:pPr>
            <w:r>
              <w:rPr>
                <w:rFonts w:hint="eastAsia" w:ascii="宋体" w:hAnsi="宋体" w:cs="宋体"/>
                <w:kern w:val="0"/>
                <w:sz w:val="20"/>
                <w:szCs w:val="20"/>
              </w:rPr>
              <w:t>报送时效（2分）</w:t>
            </w:r>
          </w:p>
        </w:tc>
        <w:tc>
          <w:tcPr>
            <w:tcW w:w="587" w:type="dxa"/>
            <w:tcBorders>
              <w:top w:val="nil"/>
              <w:left w:val="nil"/>
              <w:bottom w:val="single" w:color="auto" w:sz="4" w:space="0"/>
              <w:right w:val="single" w:color="auto" w:sz="4" w:space="0"/>
            </w:tcBorders>
            <w:shd w:val="clear" w:color="auto" w:fill="auto"/>
            <w:vAlign w:val="center"/>
          </w:tcPr>
          <w:p w14:paraId="26861E66">
            <w:pPr>
              <w:widowControl/>
              <w:jc w:val="center"/>
              <w:rPr>
                <w:rFonts w:ascii="宋体" w:hAnsi="宋体" w:cs="宋体"/>
                <w:kern w:val="0"/>
                <w:sz w:val="20"/>
                <w:szCs w:val="20"/>
              </w:rPr>
            </w:pPr>
            <w:r>
              <w:rPr>
                <w:rFonts w:hint="eastAsia" w:ascii="宋体" w:hAnsi="宋体" w:cs="宋体"/>
                <w:kern w:val="0"/>
                <w:sz w:val="20"/>
                <w:szCs w:val="20"/>
              </w:rPr>
              <w:t>2</w:t>
            </w:r>
          </w:p>
        </w:tc>
        <w:tc>
          <w:tcPr>
            <w:tcW w:w="2035" w:type="dxa"/>
            <w:tcBorders>
              <w:top w:val="nil"/>
              <w:left w:val="nil"/>
              <w:bottom w:val="single" w:color="auto" w:sz="4" w:space="0"/>
              <w:right w:val="single" w:color="auto" w:sz="4" w:space="0"/>
            </w:tcBorders>
            <w:shd w:val="clear" w:color="auto" w:fill="auto"/>
            <w:vAlign w:val="center"/>
          </w:tcPr>
          <w:p w14:paraId="23ADC0A7">
            <w:pPr>
              <w:widowControl/>
              <w:jc w:val="left"/>
              <w:rPr>
                <w:rFonts w:ascii="宋体" w:hAnsi="宋体" w:cs="宋体"/>
                <w:kern w:val="0"/>
                <w:sz w:val="20"/>
                <w:szCs w:val="20"/>
              </w:rPr>
            </w:pPr>
            <w:r>
              <w:rPr>
                <w:rFonts w:hint="eastAsia" w:ascii="宋体" w:hAnsi="宋体" w:cs="宋体"/>
                <w:kern w:val="0"/>
                <w:sz w:val="20"/>
                <w:szCs w:val="20"/>
              </w:rPr>
              <w:t>部门是否按照区级部门预算编制通知和有关要求，预算编制程序是否规范、按时报送。</w:t>
            </w:r>
          </w:p>
        </w:tc>
        <w:tc>
          <w:tcPr>
            <w:tcW w:w="3203" w:type="dxa"/>
            <w:tcBorders>
              <w:top w:val="nil"/>
              <w:left w:val="nil"/>
              <w:bottom w:val="single" w:color="auto" w:sz="4" w:space="0"/>
              <w:right w:val="single" w:color="auto" w:sz="4" w:space="0"/>
            </w:tcBorders>
            <w:shd w:val="clear" w:color="auto" w:fill="auto"/>
            <w:noWrap/>
            <w:vAlign w:val="center"/>
          </w:tcPr>
          <w:p w14:paraId="59F8F43F">
            <w:pPr>
              <w:widowControl/>
              <w:jc w:val="left"/>
              <w:rPr>
                <w:rFonts w:ascii="宋体" w:hAnsi="宋体" w:cs="宋体"/>
                <w:kern w:val="0"/>
                <w:sz w:val="20"/>
                <w:szCs w:val="20"/>
              </w:rPr>
            </w:pPr>
            <w:r>
              <w:rPr>
                <w:rFonts w:hint="eastAsia" w:ascii="宋体" w:hAnsi="宋体" w:cs="宋体"/>
                <w:kern w:val="0"/>
                <w:sz w:val="20"/>
                <w:szCs w:val="20"/>
              </w:rPr>
              <w:t>在规定时间内报送得2分，否则不得分。</w:t>
            </w:r>
          </w:p>
        </w:tc>
      </w:tr>
      <w:tr w14:paraId="272F77C1">
        <w:tblPrEx>
          <w:tblCellMar>
            <w:top w:w="0" w:type="dxa"/>
            <w:left w:w="108" w:type="dxa"/>
            <w:bottom w:w="0" w:type="dxa"/>
            <w:right w:w="108" w:type="dxa"/>
          </w:tblCellMar>
        </w:tblPrEx>
        <w:trPr>
          <w:trHeight w:val="945" w:hRule="atLeast"/>
        </w:trPr>
        <w:tc>
          <w:tcPr>
            <w:tcW w:w="586" w:type="dxa"/>
            <w:vMerge w:val="continue"/>
            <w:tcBorders>
              <w:top w:val="nil"/>
              <w:left w:val="single" w:color="auto" w:sz="4" w:space="0"/>
              <w:bottom w:val="nil"/>
              <w:right w:val="single" w:color="auto" w:sz="4" w:space="0"/>
            </w:tcBorders>
            <w:vAlign w:val="center"/>
          </w:tcPr>
          <w:p w14:paraId="780C63A5">
            <w:pPr>
              <w:widowControl/>
              <w:jc w:val="left"/>
              <w:rPr>
                <w:rFonts w:ascii="宋体" w:hAnsi="宋体" w:cs="宋体"/>
                <w:kern w:val="0"/>
                <w:sz w:val="20"/>
                <w:szCs w:val="20"/>
              </w:rPr>
            </w:pPr>
          </w:p>
        </w:tc>
        <w:tc>
          <w:tcPr>
            <w:tcW w:w="736" w:type="dxa"/>
            <w:vMerge w:val="continue"/>
            <w:tcBorders>
              <w:top w:val="nil"/>
              <w:left w:val="single" w:color="auto" w:sz="4" w:space="0"/>
              <w:bottom w:val="single" w:color="000000" w:sz="4" w:space="0"/>
              <w:right w:val="single" w:color="auto" w:sz="4" w:space="0"/>
            </w:tcBorders>
            <w:vAlign w:val="center"/>
          </w:tcPr>
          <w:p w14:paraId="5115C1BA">
            <w:pPr>
              <w:widowControl/>
              <w:jc w:val="left"/>
              <w:rPr>
                <w:rFonts w:ascii="宋体" w:hAnsi="宋体" w:cs="宋体"/>
                <w:color w:val="000000"/>
                <w:kern w:val="0"/>
                <w:sz w:val="20"/>
                <w:szCs w:val="20"/>
              </w:rPr>
            </w:pPr>
          </w:p>
        </w:tc>
        <w:tc>
          <w:tcPr>
            <w:tcW w:w="1747" w:type="dxa"/>
            <w:tcBorders>
              <w:top w:val="nil"/>
              <w:left w:val="nil"/>
              <w:bottom w:val="single" w:color="auto" w:sz="4" w:space="0"/>
              <w:right w:val="single" w:color="auto" w:sz="4" w:space="0"/>
            </w:tcBorders>
            <w:shd w:val="clear" w:color="auto" w:fill="auto"/>
            <w:vAlign w:val="center"/>
          </w:tcPr>
          <w:p w14:paraId="36961B26">
            <w:pPr>
              <w:widowControl/>
              <w:jc w:val="left"/>
              <w:rPr>
                <w:rFonts w:ascii="宋体" w:hAnsi="宋体" w:cs="宋体"/>
                <w:kern w:val="0"/>
                <w:sz w:val="20"/>
                <w:szCs w:val="20"/>
              </w:rPr>
            </w:pPr>
            <w:r>
              <w:rPr>
                <w:rFonts w:hint="eastAsia" w:ascii="宋体" w:hAnsi="宋体" w:cs="宋体"/>
                <w:kern w:val="0"/>
                <w:sz w:val="20"/>
                <w:szCs w:val="20"/>
              </w:rPr>
              <w:t>编制质量（3分）</w:t>
            </w:r>
          </w:p>
        </w:tc>
        <w:tc>
          <w:tcPr>
            <w:tcW w:w="587" w:type="dxa"/>
            <w:tcBorders>
              <w:top w:val="nil"/>
              <w:left w:val="nil"/>
              <w:bottom w:val="single" w:color="auto" w:sz="4" w:space="0"/>
              <w:right w:val="single" w:color="auto" w:sz="4" w:space="0"/>
            </w:tcBorders>
            <w:shd w:val="clear" w:color="auto" w:fill="auto"/>
            <w:vAlign w:val="center"/>
          </w:tcPr>
          <w:p w14:paraId="352D6E86">
            <w:pPr>
              <w:widowControl/>
              <w:jc w:val="center"/>
              <w:rPr>
                <w:rFonts w:ascii="宋体" w:hAnsi="宋体" w:cs="宋体"/>
                <w:kern w:val="0"/>
                <w:sz w:val="20"/>
                <w:szCs w:val="20"/>
              </w:rPr>
            </w:pPr>
            <w:r>
              <w:rPr>
                <w:rFonts w:hint="eastAsia" w:ascii="宋体" w:hAnsi="宋体" w:cs="宋体"/>
                <w:kern w:val="0"/>
                <w:sz w:val="20"/>
                <w:szCs w:val="20"/>
              </w:rPr>
              <w:t>3</w:t>
            </w:r>
          </w:p>
        </w:tc>
        <w:tc>
          <w:tcPr>
            <w:tcW w:w="2035" w:type="dxa"/>
            <w:tcBorders>
              <w:top w:val="nil"/>
              <w:left w:val="nil"/>
              <w:bottom w:val="single" w:color="auto" w:sz="4" w:space="0"/>
              <w:right w:val="single" w:color="auto" w:sz="4" w:space="0"/>
            </w:tcBorders>
            <w:shd w:val="clear" w:color="auto" w:fill="auto"/>
            <w:vAlign w:val="center"/>
          </w:tcPr>
          <w:p w14:paraId="5130EF97">
            <w:pPr>
              <w:widowControl/>
              <w:jc w:val="left"/>
              <w:rPr>
                <w:rFonts w:ascii="宋体" w:hAnsi="宋体" w:cs="宋体"/>
                <w:kern w:val="0"/>
                <w:sz w:val="20"/>
                <w:szCs w:val="20"/>
              </w:rPr>
            </w:pPr>
            <w:r>
              <w:rPr>
                <w:rFonts w:hint="eastAsia" w:ascii="宋体" w:hAnsi="宋体" w:cs="宋体"/>
                <w:kern w:val="0"/>
                <w:sz w:val="20"/>
                <w:szCs w:val="20"/>
              </w:rPr>
              <w:t>部门预算编制是否规范，科目使用是否正确，公用经费是否按照区级部门预算编制标准计算，并按单位需求细化经济科目。</w:t>
            </w:r>
          </w:p>
        </w:tc>
        <w:tc>
          <w:tcPr>
            <w:tcW w:w="3203" w:type="dxa"/>
            <w:tcBorders>
              <w:top w:val="nil"/>
              <w:left w:val="nil"/>
              <w:bottom w:val="single" w:color="auto" w:sz="4" w:space="0"/>
              <w:right w:val="single" w:color="auto" w:sz="4" w:space="0"/>
            </w:tcBorders>
            <w:shd w:val="clear" w:color="auto" w:fill="auto"/>
            <w:vAlign w:val="center"/>
          </w:tcPr>
          <w:p w14:paraId="6EC75ECD">
            <w:pPr>
              <w:widowControl/>
              <w:jc w:val="left"/>
              <w:rPr>
                <w:rFonts w:ascii="宋体" w:hAnsi="宋体" w:cs="宋体"/>
                <w:kern w:val="0"/>
                <w:sz w:val="20"/>
                <w:szCs w:val="20"/>
              </w:rPr>
            </w:pPr>
            <w:r>
              <w:rPr>
                <w:rFonts w:hint="eastAsia" w:ascii="宋体" w:hAnsi="宋体" w:cs="宋体"/>
                <w:kern w:val="0"/>
                <w:sz w:val="20"/>
                <w:szCs w:val="20"/>
              </w:rPr>
              <w:t>科目使用不正确一个扣1分，未按标准计算编制公用经费扣2分，经济科目细化偏差大，不合理的扣2分，扣分不超过5分。</w:t>
            </w:r>
          </w:p>
        </w:tc>
      </w:tr>
      <w:tr w14:paraId="4D2BF2EF">
        <w:tblPrEx>
          <w:tblCellMar>
            <w:top w:w="0" w:type="dxa"/>
            <w:left w:w="108" w:type="dxa"/>
            <w:bottom w:w="0" w:type="dxa"/>
            <w:right w:w="108" w:type="dxa"/>
          </w:tblCellMar>
        </w:tblPrEx>
        <w:trPr>
          <w:trHeight w:val="594" w:hRule="atLeast"/>
        </w:trPr>
        <w:tc>
          <w:tcPr>
            <w:tcW w:w="586" w:type="dxa"/>
            <w:vMerge w:val="continue"/>
            <w:tcBorders>
              <w:top w:val="nil"/>
              <w:left w:val="single" w:color="auto" w:sz="4" w:space="0"/>
              <w:bottom w:val="nil"/>
              <w:right w:val="single" w:color="auto" w:sz="4" w:space="0"/>
            </w:tcBorders>
            <w:vAlign w:val="center"/>
          </w:tcPr>
          <w:p w14:paraId="52846DAE">
            <w:pPr>
              <w:widowControl/>
              <w:jc w:val="left"/>
              <w:rPr>
                <w:rFonts w:ascii="宋体" w:hAnsi="宋体" w:cs="宋体"/>
                <w:kern w:val="0"/>
                <w:sz w:val="20"/>
                <w:szCs w:val="20"/>
              </w:rPr>
            </w:pPr>
          </w:p>
        </w:tc>
        <w:tc>
          <w:tcPr>
            <w:tcW w:w="736" w:type="dxa"/>
            <w:vMerge w:val="restart"/>
            <w:tcBorders>
              <w:top w:val="nil"/>
              <w:left w:val="single" w:color="auto" w:sz="4" w:space="0"/>
              <w:bottom w:val="single" w:color="auto" w:sz="4" w:space="0"/>
              <w:right w:val="single" w:color="auto" w:sz="4" w:space="0"/>
            </w:tcBorders>
            <w:shd w:val="clear" w:color="auto" w:fill="auto"/>
            <w:vAlign w:val="center"/>
          </w:tcPr>
          <w:p w14:paraId="0548A19D">
            <w:pPr>
              <w:widowControl/>
              <w:jc w:val="center"/>
              <w:rPr>
                <w:rFonts w:ascii="宋体" w:hAnsi="宋体" w:cs="宋体"/>
                <w:color w:val="000000"/>
                <w:kern w:val="0"/>
                <w:sz w:val="20"/>
                <w:szCs w:val="20"/>
              </w:rPr>
            </w:pPr>
            <w:r>
              <w:rPr>
                <w:rFonts w:hint="eastAsia" w:ascii="宋体" w:hAnsi="宋体" w:cs="宋体"/>
                <w:color w:val="000000"/>
                <w:kern w:val="0"/>
                <w:sz w:val="20"/>
                <w:szCs w:val="20"/>
              </w:rPr>
              <w:t>决算编制（5分）</w:t>
            </w:r>
          </w:p>
        </w:tc>
        <w:tc>
          <w:tcPr>
            <w:tcW w:w="1747" w:type="dxa"/>
            <w:tcBorders>
              <w:top w:val="nil"/>
              <w:left w:val="nil"/>
              <w:bottom w:val="single" w:color="auto" w:sz="4" w:space="0"/>
              <w:right w:val="single" w:color="auto" w:sz="4" w:space="0"/>
            </w:tcBorders>
            <w:shd w:val="clear" w:color="auto" w:fill="auto"/>
            <w:vAlign w:val="center"/>
          </w:tcPr>
          <w:p w14:paraId="46510A07">
            <w:pPr>
              <w:widowControl/>
              <w:jc w:val="left"/>
              <w:rPr>
                <w:rFonts w:ascii="宋体" w:hAnsi="宋体" w:cs="宋体"/>
                <w:kern w:val="0"/>
                <w:sz w:val="20"/>
                <w:szCs w:val="20"/>
              </w:rPr>
            </w:pPr>
            <w:r>
              <w:rPr>
                <w:rFonts w:hint="eastAsia" w:ascii="宋体" w:hAnsi="宋体" w:cs="宋体"/>
                <w:kern w:val="0"/>
                <w:sz w:val="20"/>
                <w:szCs w:val="20"/>
              </w:rPr>
              <w:t>报送时效（2分）</w:t>
            </w:r>
          </w:p>
        </w:tc>
        <w:tc>
          <w:tcPr>
            <w:tcW w:w="587" w:type="dxa"/>
            <w:tcBorders>
              <w:top w:val="nil"/>
              <w:left w:val="nil"/>
              <w:bottom w:val="single" w:color="auto" w:sz="4" w:space="0"/>
              <w:right w:val="single" w:color="auto" w:sz="4" w:space="0"/>
            </w:tcBorders>
            <w:shd w:val="clear" w:color="auto" w:fill="auto"/>
            <w:vAlign w:val="center"/>
          </w:tcPr>
          <w:p w14:paraId="2A041C80">
            <w:pPr>
              <w:widowControl/>
              <w:jc w:val="center"/>
              <w:rPr>
                <w:rFonts w:ascii="宋体" w:hAnsi="宋体" w:cs="宋体"/>
                <w:kern w:val="0"/>
                <w:sz w:val="20"/>
                <w:szCs w:val="20"/>
              </w:rPr>
            </w:pPr>
            <w:r>
              <w:rPr>
                <w:rFonts w:hint="eastAsia" w:ascii="宋体" w:hAnsi="宋体" w:cs="宋体"/>
                <w:kern w:val="0"/>
                <w:sz w:val="20"/>
                <w:szCs w:val="20"/>
              </w:rPr>
              <w:t>2</w:t>
            </w:r>
          </w:p>
        </w:tc>
        <w:tc>
          <w:tcPr>
            <w:tcW w:w="2035" w:type="dxa"/>
            <w:tcBorders>
              <w:top w:val="nil"/>
              <w:left w:val="nil"/>
              <w:bottom w:val="single" w:color="auto" w:sz="4" w:space="0"/>
              <w:right w:val="single" w:color="auto" w:sz="4" w:space="0"/>
            </w:tcBorders>
            <w:shd w:val="clear" w:color="auto" w:fill="auto"/>
            <w:vAlign w:val="center"/>
          </w:tcPr>
          <w:p w14:paraId="21E5950F">
            <w:pPr>
              <w:widowControl/>
              <w:jc w:val="left"/>
              <w:rPr>
                <w:rFonts w:ascii="宋体" w:hAnsi="宋体" w:cs="宋体"/>
                <w:kern w:val="0"/>
                <w:sz w:val="20"/>
                <w:szCs w:val="20"/>
              </w:rPr>
            </w:pPr>
            <w:r>
              <w:rPr>
                <w:rFonts w:hint="eastAsia" w:ascii="宋体" w:hAnsi="宋体" w:cs="宋体"/>
                <w:kern w:val="0"/>
                <w:sz w:val="20"/>
                <w:szCs w:val="20"/>
              </w:rPr>
              <w:t>部门是否按照区级部门决算编制通知和有关要求，决算编制程序是否规范、按时报送。</w:t>
            </w:r>
          </w:p>
        </w:tc>
        <w:tc>
          <w:tcPr>
            <w:tcW w:w="3203" w:type="dxa"/>
            <w:tcBorders>
              <w:top w:val="nil"/>
              <w:left w:val="nil"/>
              <w:bottom w:val="single" w:color="auto" w:sz="4" w:space="0"/>
              <w:right w:val="single" w:color="auto" w:sz="4" w:space="0"/>
            </w:tcBorders>
            <w:shd w:val="clear" w:color="auto" w:fill="auto"/>
            <w:vAlign w:val="center"/>
          </w:tcPr>
          <w:p w14:paraId="1F5C8F0F">
            <w:pPr>
              <w:widowControl/>
              <w:jc w:val="left"/>
              <w:rPr>
                <w:rFonts w:ascii="宋体" w:hAnsi="宋体" w:cs="宋体"/>
                <w:kern w:val="0"/>
                <w:sz w:val="20"/>
                <w:szCs w:val="20"/>
              </w:rPr>
            </w:pPr>
            <w:r>
              <w:rPr>
                <w:rFonts w:hint="eastAsia" w:ascii="宋体" w:hAnsi="宋体" w:cs="宋体"/>
                <w:kern w:val="0"/>
                <w:sz w:val="20"/>
                <w:szCs w:val="20"/>
              </w:rPr>
              <w:t>在规定时间内报送得2分，否则不得分。</w:t>
            </w:r>
          </w:p>
        </w:tc>
      </w:tr>
      <w:tr w14:paraId="084E0042">
        <w:tblPrEx>
          <w:tblCellMar>
            <w:top w:w="0" w:type="dxa"/>
            <w:left w:w="108" w:type="dxa"/>
            <w:bottom w:w="0" w:type="dxa"/>
            <w:right w:w="108" w:type="dxa"/>
          </w:tblCellMar>
        </w:tblPrEx>
        <w:trPr>
          <w:trHeight w:val="531" w:hRule="atLeast"/>
        </w:trPr>
        <w:tc>
          <w:tcPr>
            <w:tcW w:w="586" w:type="dxa"/>
            <w:vMerge w:val="continue"/>
            <w:tcBorders>
              <w:top w:val="nil"/>
              <w:left w:val="single" w:color="auto" w:sz="4" w:space="0"/>
              <w:bottom w:val="nil"/>
              <w:right w:val="single" w:color="auto" w:sz="4" w:space="0"/>
            </w:tcBorders>
            <w:vAlign w:val="center"/>
          </w:tcPr>
          <w:p w14:paraId="2B4220B0">
            <w:pPr>
              <w:widowControl/>
              <w:jc w:val="left"/>
              <w:rPr>
                <w:rFonts w:ascii="宋体" w:hAnsi="宋体" w:cs="宋体"/>
                <w:kern w:val="0"/>
                <w:sz w:val="20"/>
                <w:szCs w:val="20"/>
              </w:rPr>
            </w:pPr>
          </w:p>
        </w:tc>
        <w:tc>
          <w:tcPr>
            <w:tcW w:w="736" w:type="dxa"/>
            <w:vMerge w:val="continue"/>
            <w:tcBorders>
              <w:top w:val="nil"/>
              <w:left w:val="single" w:color="auto" w:sz="4" w:space="0"/>
              <w:bottom w:val="single" w:color="auto" w:sz="4" w:space="0"/>
              <w:right w:val="single" w:color="auto" w:sz="4" w:space="0"/>
            </w:tcBorders>
            <w:vAlign w:val="center"/>
          </w:tcPr>
          <w:p w14:paraId="20E865D3">
            <w:pPr>
              <w:widowControl/>
              <w:jc w:val="left"/>
              <w:rPr>
                <w:rFonts w:ascii="宋体" w:hAnsi="宋体" w:cs="宋体"/>
                <w:color w:val="000000"/>
                <w:kern w:val="0"/>
                <w:sz w:val="20"/>
                <w:szCs w:val="20"/>
              </w:rPr>
            </w:pPr>
          </w:p>
        </w:tc>
        <w:tc>
          <w:tcPr>
            <w:tcW w:w="1747" w:type="dxa"/>
            <w:tcBorders>
              <w:top w:val="nil"/>
              <w:left w:val="nil"/>
              <w:bottom w:val="single" w:color="auto" w:sz="4" w:space="0"/>
              <w:right w:val="single" w:color="auto" w:sz="4" w:space="0"/>
            </w:tcBorders>
            <w:shd w:val="clear" w:color="auto" w:fill="auto"/>
            <w:vAlign w:val="center"/>
          </w:tcPr>
          <w:p w14:paraId="4D5C86B3">
            <w:pPr>
              <w:widowControl/>
              <w:jc w:val="left"/>
              <w:rPr>
                <w:rFonts w:ascii="宋体" w:hAnsi="宋体" w:cs="宋体"/>
                <w:kern w:val="0"/>
                <w:sz w:val="20"/>
                <w:szCs w:val="20"/>
              </w:rPr>
            </w:pPr>
            <w:r>
              <w:rPr>
                <w:rFonts w:hint="eastAsia" w:ascii="宋体" w:hAnsi="宋体" w:cs="宋体"/>
                <w:kern w:val="0"/>
                <w:sz w:val="20"/>
                <w:szCs w:val="20"/>
              </w:rPr>
              <w:t>编制质量（3分）</w:t>
            </w:r>
          </w:p>
        </w:tc>
        <w:tc>
          <w:tcPr>
            <w:tcW w:w="587" w:type="dxa"/>
            <w:tcBorders>
              <w:top w:val="nil"/>
              <w:left w:val="nil"/>
              <w:bottom w:val="single" w:color="auto" w:sz="4" w:space="0"/>
              <w:right w:val="single" w:color="auto" w:sz="4" w:space="0"/>
            </w:tcBorders>
            <w:shd w:val="clear" w:color="auto" w:fill="auto"/>
            <w:vAlign w:val="center"/>
          </w:tcPr>
          <w:p w14:paraId="4DA429A3">
            <w:pPr>
              <w:widowControl/>
              <w:jc w:val="center"/>
              <w:rPr>
                <w:rFonts w:ascii="宋体" w:hAnsi="宋体" w:cs="宋体"/>
                <w:kern w:val="0"/>
                <w:sz w:val="20"/>
                <w:szCs w:val="20"/>
              </w:rPr>
            </w:pPr>
            <w:r>
              <w:rPr>
                <w:rFonts w:hint="eastAsia" w:ascii="宋体" w:hAnsi="宋体" w:cs="宋体"/>
                <w:kern w:val="0"/>
                <w:sz w:val="20"/>
                <w:szCs w:val="20"/>
              </w:rPr>
              <w:t>3</w:t>
            </w:r>
          </w:p>
        </w:tc>
        <w:tc>
          <w:tcPr>
            <w:tcW w:w="2035" w:type="dxa"/>
            <w:tcBorders>
              <w:top w:val="nil"/>
              <w:left w:val="nil"/>
              <w:bottom w:val="single" w:color="auto" w:sz="4" w:space="0"/>
              <w:right w:val="single" w:color="auto" w:sz="4" w:space="0"/>
            </w:tcBorders>
            <w:shd w:val="clear" w:color="auto" w:fill="auto"/>
            <w:vAlign w:val="center"/>
          </w:tcPr>
          <w:p w14:paraId="32FC32A3">
            <w:pPr>
              <w:widowControl/>
              <w:jc w:val="left"/>
              <w:rPr>
                <w:rFonts w:ascii="宋体" w:hAnsi="宋体" w:cs="宋体"/>
                <w:kern w:val="0"/>
                <w:sz w:val="20"/>
                <w:szCs w:val="20"/>
              </w:rPr>
            </w:pPr>
            <w:r>
              <w:rPr>
                <w:rFonts w:hint="eastAsia" w:ascii="宋体" w:hAnsi="宋体" w:cs="宋体"/>
                <w:kern w:val="0"/>
                <w:sz w:val="20"/>
                <w:szCs w:val="20"/>
              </w:rPr>
              <w:t>部门决算编制是否规范，无应编未编、错误列编、虚假混编等问题。</w:t>
            </w:r>
          </w:p>
        </w:tc>
        <w:tc>
          <w:tcPr>
            <w:tcW w:w="3203" w:type="dxa"/>
            <w:tcBorders>
              <w:top w:val="nil"/>
              <w:left w:val="nil"/>
              <w:bottom w:val="single" w:color="auto" w:sz="4" w:space="0"/>
              <w:right w:val="single" w:color="auto" w:sz="4" w:space="0"/>
            </w:tcBorders>
            <w:shd w:val="clear" w:color="auto" w:fill="auto"/>
            <w:vAlign w:val="center"/>
          </w:tcPr>
          <w:p w14:paraId="2870E23C">
            <w:pPr>
              <w:widowControl/>
              <w:jc w:val="left"/>
              <w:rPr>
                <w:rFonts w:ascii="宋体" w:hAnsi="宋体" w:cs="宋体"/>
                <w:kern w:val="0"/>
                <w:sz w:val="20"/>
                <w:szCs w:val="20"/>
              </w:rPr>
            </w:pPr>
            <w:r>
              <w:rPr>
                <w:rFonts w:hint="eastAsia" w:ascii="宋体" w:hAnsi="宋体" w:cs="宋体"/>
                <w:kern w:val="0"/>
                <w:sz w:val="20"/>
                <w:szCs w:val="20"/>
              </w:rPr>
              <w:t>发现问题，一次扣1分。扣分不超过5分。</w:t>
            </w:r>
          </w:p>
        </w:tc>
      </w:tr>
      <w:tr w14:paraId="1A1846C2">
        <w:tblPrEx>
          <w:tblCellMar>
            <w:top w:w="0" w:type="dxa"/>
            <w:left w:w="108" w:type="dxa"/>
            <w:bottom w:w="0" w:type="dxa"/>
            <w:right w:w="108" w:type="dxa"/>
          </w:tblCellMar>
        </w:tblPrEx>
        <w:trPr>
          <w:trHeight w:val="1234" w:hRule="atLeast"/>
        </w:trPr>
        <w:tc>
          <w:tcPr>
            <w:tcW w:w="58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4BD12DE">
            <w:pPr>
              <w:widowControl/>
              <w:jc w:val="center"/>
              <w:rPr>
                <w:rFonts w:ascii="宋体" w:hAnsi="宋体" w:cs="宋体"/>
                <w:kern w:val="0"/>
                <w:sz w:val="20"/>
                <w:szCs w:val="20"/>
              </w:rPr>
            </w:pPr>
            <w:r>
              <w:rPr>
                <w:rFonts w:hint="eastAsia" w:ascii="宋体" w:hAnsi="宋体" w:cs="宋体"/>
                <w:kern w:val="0"/>
                <w:sz w:val="20"/>
                <w:szCs w:val="20"/>
              </w:rPr>
              <w:t>预算执行（15分）</w:t>
            </w:r>
          </w:p>
        </w:tc>
        <w:tc>
          <w:tcPr>
            <w:tcW w:w="736" w:type="dxa"/>
            <w:tcBorders>
              <w:top w:val="nil"/>
              <w:left w:val="nil"/>
              <w:bottom w:val="nil"/>
              <w:right w:val="single" w:color="auto" w:sz="4" w:space="0"/>
            </w:tcBorders>
            <w:shd w:val="clear" w:color="auto" w:fill="auto"/>
            <w:vAlign w:val="center"/>
          </w:tcPr>
          <w:p w14:paraId="281C7F88">
            <w:pPr>
              <w:widowControl/>
              <w:jc w:val="center"/>
              <w:rPr>
                <w:rFonts w:ascii="宋体" w:hAnsi="宋体" w:cs="宋体"/>
                <w:kern w:val="0"/>
                <w:sz w:val="20"/>
                <w:szCs w:val="20"/>
              </w:rPr>
            </w:pPr>
            <w:r>
              <w:rPr>
                <w:rFonts w:hint="eastAsia" w:ascii="宋体" w:hAnsi="宋体" w:cs="宋体"/>
                <w:kern w:val="0"/>
                <w:sz w:val="20"/>
                <w:szCs w:val="20"/>
              </w:rPr>
              <w:t>执行进度（5分）</w:t>
            </w:r>
          </w:p>
        </w:tc>
        <w:tc>
          <w:tcPr>
            <w:tcW w:w="1747" w:type="dxa"/>
            <w:tcBorders>
              <w:top w:val="nil"/>
              <w:left w:val="nil"/>
              <w:bottom w:val="single" w:color="auto" w:sz="4" w:space="0"/>
              <w:right w:val="single" w:color="auto" w:sz="4" w:space="0"/>
            </w:tcBorders>
            <w:shd w:val="clear" w:color="auto" w:fill="auto"/>
            <w:vAlign w:val="center"/>
          </w:tcPr>
          <w:p w14:paraId="54A53147">
            <w:pPr>
              <w:widowControl/>
              <w:jc w:val="left"/>
              <w:rPr>
                <w:rFonts w:ascii="宋体" w:hAnsi="宋体" w:cs="宋体"/>
                <w:kern w:val="0"/>
                <w:sz w:val="20"/>
                <w:szCs w:val="20"/>
              </w:rPr>
            </w:pPr>
            <w:r>
              <w:rPr>
                <w:rFonts w:hint="eastAsia" w:ascii="宋体" w:hAnsi="宋体" w:cs="宋体"/>
                <w:kern w:val="0"/>
                <w:sz w:val="20"/>
                <w:szCs w:val="20"/>
              </w:rPr>
              <w:t>预算执行率（5分）</w:t>
            </w:r>
          </w:p>
        </w:tc>
        <w:tc>
          <w:tcPr>
            <w:tcW w:w="587" w:type="dxa"/>
            <w:tcBorders>
              <w:top w:val="nil"/>
              <w:left w:val="nil"/>
              <w:bottom w:val="single" w:color="auto" w:sz="4" w:space="0"/>
              <w:right w:val="single" w:color="auto" w:sz="4" w:space="0"/>
            </w:tcBorders>
            <w:shd w:val="clear" w:color="auto" w:fill="auto"/>
            <w:vAlign w:val="center"/>
          </w:tcPr>
          <w:p w14:paraId="3CBF00E3">
            <w:pPr>
              <w:widowControl/>
              <w:jc w:val="center"/>
              <w:rPr>
                <w:rFonts w:ascii="宋体" w:hAnsi="宋体" w:cs="宋体"/>
                <w:kern w:val="0"/>
                <w:sz w:val="20"/>
                <w:szCs w:val="20"/>
              </w:rPr>
            </w:pPr>
            <w:r>
              <w:rPr>
                <w:rFonts w:hint="eastAsia" w:ascii="宋体" w:hAnsi="宋体" w:cs="宋体"/>
                <w:kern w:val="0"/>
                <w:sz w:val="20"/>
                <w:szCs w:val="20"/>
              </w:rPr>
              <w:t>3</w:t>
            </w:r>
          </w:p>
        </w:tc>
        <w:tc>
          <w:tcPr>
            <w:tcW w:w="2035" w:type="dxa"/>
            <w:tcBorders>
              <w:top w:val="nil"/>
              <w:left w:val="nil"/>
              <w:bottom w:val="single" w:color="auto" w:sz="4" w:space="0"/>
              <w:right w:val="single" w:color="auto" w:sz="4" w:space="0"/>
            </w:tcBorders>
            <w:shd w:val="clear" w:color="auto" w:fill="auto"/>
            <w:vAlign w:val="center"/>
          </w:tcPr>
          <w:p w14:paraId="62CEF08D">
            <w:pPr>
              <w:widowControl/>
              <w:jc w:val="left"/>
              <w:rPr>
                <w:rFonts w:ascii="宋体" w:hAnsi="宋体" w:cs="宋体"/>
                <w:kern w:val="0"/>
                <w:sz w:val="20"/>
                <w:szCs w:val="20"/>
              </w:rPr>
            </w:pPr>
            <w:r>
              <w:rPr>
                <w:rFonts w:hint="eastAsia" w:ascii="宋体" w:hAnsi="宋体" w:cs="宋体"/>
                <w:kern w:val="0"/>
                <w:sz w:val="20"/>
                <w:szCs w:val="20"/>
              </w:rPr>
              <w:t>通过对部门整体预算执行数与预算数的比较，反映和评价部门预算的执行情况。</w:t>
            </w:r>
            <w:r>
              <w:rPr>
                <w:rFonts w:hint="eastAsia" w:ascii="宋体" w:hAnsi="宋体" w:cs="宋体"/>
                <w:kern w:val="0"/>
                <w:sz w:val="20"/>
                <w:szCs w:val="20"/>
              </w:rPr>
              <w:br w:type="textWrapping"/>
            </w:r>
            <w:r>
              <w:rPr>
                <w:rFonts w:hint="eastAsia" w:ascii="宋体" w:hAnsi="宋体" w:cs="宋体"/>
                <w:kern w:val="0"/>
                <w:sz w:val="20"/>
                <w:szCs w:val="20"/>
              </w:rPr>
              <w:t>预算执行率=部门全年实际支出÷（上年结余结转+本年部门预算安排+全年执行中追加追减）×100%。</w:t>
            </w:r>
          </w:p>
        </w:tc>
        <w:tc>
          <w:tcPr>
            <w:tcW w:w="3203" w:type="dxa"/>
            <w:tcBorders>
              <w:top w:val="nil"/>
              <w:left w:val="nil"/>
              <w:bottom w:val="single" w:color="auto" w:sz="4" w:space="0"/>
              <w:right w:val="single" w:color="auto" w:sz="4" w:space="0"/>
            </w:tcBorders>
            <w:shd w:val="clear" w:color="auto" w:fill="auto"/>
            <w:vAlign w:val="center"/>
          </w:tcPr>
          <w:p w14:paraId="1D8ED854">
            <w:pPr>
              <w:widowControl/>
              <w:jc w:val="left"/>
              <w:rPr>
                <w:rFonts w:ascii="宋体" w:hAnsi="宋体" w:cs="宋体"/>
                <w:kern w:val="0"/>
                <w:sz w:val="20"/>
                <w:szCs w:val="20"/>
              </w:rPr>
            </w:pPr>
            <w:r>
              <w:rPr>
                <w:rFonts w:hint="eastAsia" w:ascii="宋体" w:hAnsi="宋体" w:cs="宋体"/>
                <w:kern w:val="0"/>
                <w:sz w:val="20"/>
                <w:szCs w:val="20"/>
              </w:rPr>
              <w:t>全年预算执行率≥95%得5分，每下降5%扣0.5分，低于70%不得分。</w:t>
            </w:r>
          </w:p>
        </w:tc>
      </w:tr>
      <w:tr w14:paraId="370DA06A">
        <w:tblPrEx>
          <w:tblCellMar>
            <w:top w:w="0" w:type="dxa"/>
            <w:left w:w="108" w:type="dxa"/>
            <w:bottom w:w="0" w:type="dxa"/>
            <w:right w:w="108" w:type="dxa"/>
          </w:tblCellMar>
        </w:tblPrEx>
        <w:trPr>
          <w:trHeight w:val="1219" w:hRule="atLeast"/>
        </w:trPr>
        <w:tc>
          <w:tcPr>
            <w:tcW w:w="586" w:type="dxa"/>
            <w:vMerge w:val="continue"/>
            <w:tcBorders>
              <w:top w:val="single" w:color="auto" w:sz="4" w:space="0"/>
              <w:left w:val="single" w:color="auto" w:sz="4" w:space="0"/>
              <w:bottom w:val="single" w:color="000000" w:sz="4" w:space="0"/>
              <w:right w:val="single" w:color="auto" w:sz="4" w:space="0"/>
            </w:tcBorders>
            <w:vAlign w:val="center"/>
          </w:tcPr>
          <w:p w14:paraId="336B1CA2">
            <w:pPr>
              <w:widowControl/>
              <w:jc w:val="left"/>
              <w:rPr>
                <w:rFonts w:ascii="宋体" w:hAnsi="宋体" w:cs="宋体"/>
                <w:kern w:val="0"/>
                <w:sz w:val="20"/>
                <w:szCs w:val="20"/>
              </w:rPr>
            </w:pPr>
          </w:p>
        </w:tc>
        <w:tc>
          <w:tcPr>
            <w:tcW w:w="736" w:type="dxa"/>
            <w:tcBorders>
              <w:top w:val="single" w:color="auto" w:sz="4" w:space="0"/>
              <w:left w:val="nil"/>
              <w:bottom w:val="single" w:color="auto" w:sz="4" w:space="0"/>
              <w:right w:val="single" w:color="auto" w:sz="4" w:space="0"/>
            </w:tcBorders>
            <w:shd w:val="clear" w:color="auto" w:fill="auto"/>
            <w:vAlign w:val="center"/>
          </w:tcPr>
          <w:p w14:paraId="4B1293EA">
            <w:pPr>
              <w:widowControl/>
              <w:jc w:val="center"/>
              <w:rPr>
                <w:rFonts w:ascii="宋体" w:hAnsi="宋体" w:cs="宋体"/>
                <w:kern w:val="0"/>
                <w:sz w:val="20"/>
                <w:szCs w:val="20"/>
              </w:rPr>
            </w:pPr>
            <w:r>
              <w:rPr>
                <w:rFonts w:hint="eastAsia" w:ascii="宋体" w:hAnsi="宋体" w:cs="宋体"/>
                <w:kern w:val="0"/>
                <w:sz w:val="20"/>
                <w:szCs w:val="20"/>
              </w:rPr>
              <w:t>预算调整（3分）</w:t>
            </w:r>
          </w:p>
        </w:tc>
        <w:tc>
          <w:tcPr>
            <w:tcW w:w="1747" w:type="dxa"/>
            <w:tcBorders>
              <w:top w:val="nil"/>
              <w:left w:val="nil"/>
              <w:bottom w:val="single" w:color="auto" w:sz="4" w:space="0"/>
              <w:right w:val="single" w:color="auto" w:sz="4" w:space="0"/>
            </w:tcBorders>
            <w:shd w:val="clear" w:color="auto" w:fill="auto"/>
            <w:noWrap/>
            <w:vAlign w:val="center"/>
          </w:tcPr>
          <w:p w14:paraId="63F08E3B">
            <w:pPr>
              <w:widowControl/>
              <w:jc w:val="left"/>
              <w:rPr>
                <w:rFonts w:ascii="宋体" w:hAnsi="宋体" w:cs="宋体"/>
                <w:kern w:val="0"/>
                <w:sz w:val="20"/>
                <w:szCs w:val="20"/>
              </w:rPr>
            </w:pPr>
            <w:r>
              <w:rPr>
                <w:rFonts w:hint="eastAsia" w:ascii="宋体" w:hAnsi="宋体" w:cs="宋体"/>
                <w:kern w:val="0"/>
                <w:sz w:val="20"/>
                <w:szCs w:val="20"/>
              </w:rPr>
              <w:t>预算调整率（3分）</w:t>
            </w:r>
          </w:p>
        </w:tc>
        <w:tc>
          <w:tcPr>
            <w:tcW w:w="587" w:type="dxa"/>
            <w:tcBorders>
              <w:top w:val="nil"/>
              <w:left w:val="nil"/>
              <w:bottom w:val="nil"/>
              <w:right w:val="single" w:color="auto" w:sz="4" w:space="0"/>
            </w:tcBorders>
            <w:shd w:val="clear" w:color="auto" w:fill="auto"/>
            <w:noWrap/>
            <w:vAlign w:val="center"/>
          </w:tcPr>
          <w:p w14:paraId="3FD6B0EF">
            <w:pPr>
              <w:widowControl/>
              <w:jc w:val="center"/>
              <w:rPr>
                <w:rFonts w:ascii="宋体" w:hAnsi="宋体" w:cs="宋体"/>
                <w:kern w:val="0"/>
                <w:sz w:val="20"/>
                <w:szCs w:val="20"/>
              </w:rPr>
            </w:pPr>
            <w:r>
              <w:rPr>
                <w:rFonts w:hint="eastAsia" w:ascii="宋体" w:hAnsi="宋体" w:cs="宋体"/>
                <w:kern w:val="0"/>
                <w:sz w:val="20"/>
                <w:szCs w:val="20"/>
              </w:rPr>
              <w:t>1</w:t>
            </w:r>
          </w:p>
        </w:tc>
        <w:tc>
          <w:tcPr>
            <w:tcW w:w="2035" w:type="dxa"/>
            <w:tcBorders>
              <w:top w:val="nil"/>
              <w:left w:val="nil"/>
              <w:bottom w:val="nil"/>
              <w:right w:val="single" w:color="auto" w:sz="4" w:space="0"/>
            </w:tcBorders>
            <w:shd w:val="clear" w:color="auto" w:fill="auto"/>
            <w:vAlign w:val="center"/>
          </w:tcPr>
          <w:p w14:paraId="6960BB20">
            <w:pPr>
              <w:widowControl/>
              <w:jc w:val="left"/>
              <w:rPr>
                <w:rFonts w:ascii="宋体" w:hAnsi="宋体" w:cs="宋体"/>
                <w:kern w:val="0"/>
                <w:sz w:val="20"/>
                <w:szCs w:val="20"/>
              </w:rPr>
            </w:pPr>
            <w:r>
              <w:rPr>
                <w:rFonts w:hint="eastAsia" w:ascii="宋体" w:hAnsi="宋体" w:cs="宋体"/>
                <w:kern w:val="0"/>
                <w:sz w:val="20"/>
                <w:szCs w:val="20"/>
              </w:rPr>
              <w:t>预算调整率=（预算调整数/预算数）×100%。 预算调整数：部门（单位）在本-度内涉及预算的追加、追减或结构调整的资金总和（因落实国家政策，发生不可抗力、上级部门或本级党委政府临时交办而产生的调整除外）。</w:t>
            </w:r>
          </w:p>
        </w:tc>
        <w:tc>
          <w:tcPr>
            <w:tcW w:w="3203" w:type="dxa"/>
            <w:tcBorders>
              <w:top w:val="nil"/>
              <w:left w:val="nil"/>
              <w:bottom w:val="single" w:color="auto" w:sz="4" w:space="0"/>
              <w:right w:val="single" w:color="auto" w:sz="4" w:space="0"/>
            </w:tcBorders>
            <w:shd w:val="clear" w:color="auto" w:fill="auto"/>
            <w:vAlign w:val="center"/>
          </w:tcPr>
          <w:p w14:paraId="0E3D858D">
            <w:pPr>
              <w:widowControl/>
              <w:jc w:val="left"/>
              <w:rPr>
                <w:rFonts w:ascii="宋体" w:hAnsi="宋体" w:cs="宋体"/>
                <w:kern w:val="0"/>
                <w:sz w:val="20"/>
                <w:szCs w:val="20"/>
              </w:rPr>
            </w:pPr>
            <w:r>
              <w:rPr>
                <w:rFonts w:hint="eastAsia" w:ascii="宋体" w:hAnsi="宋体" w:cs="宋体"/>
                <w:kern w:val="0"/>
                <w:sz w:val="20"/>
                <w:szCs w:val="20"/>
              </w:rPr>
              <w:t>预算调整率=0，计3分； 0-10%（含），计2分； 10-20%（含），计1分； 20-30%（含），计0.5分； 大于30%不得分。</w:t>
            </w:r>
          </w:p>
        </w:tc>
      </w:tr>
      <w:tr w14:paraId="2AEF951D">
        <w:tblPrEx>
          <w:tblCellMar>
            <w:top w:w="0" w:type="dxa"/>
            <w:left w:w="108" w:type="dxa"/>
            <w:bottom w:w="0" w:type="dxa"/>
            <w:right w:w="108" w:type="dxa"/>
          </w:tblCellMar>
        </w:tblPrEx>
        <w:trPr>
          <w:trHeight w:val="290" w:hRule="atLeast"/>
        </w:trPr>
        <w:tc>
          <w:tcPr>
            <w:tcW w:w="586" w:type="dxa"/>
            <w:vMerge w:val="continue"/>
            <w:tcBorders>
              <w:top w:val="single" w:color="auto" w:sz="4" w:space="0"/>
              <w:left w:val="single" w:color="auto" w:sz="4" w:space="0"/>
              <w:bottom w:val="single" w:color="000000" w:sz="4" w:space="0"/>
              <w:right w:val="single" w:color="auto" w:sz="4" w:space="0"/>
            </w:tcBorders>
            <w:vAlign w:val="center"/>
          </w:tcPr>
          <w:p w14:paraId="2C5C820F">
            <w:pPr>
              <w:widowControl/>
              <w:jc w:val="left"/>
              <w:rPr>
                <w:rFonts w:ascii="宋体" w:hAnsi="宋体" w:cs="宋体"/>
                <w:kern w:val="0"/>
                <w:sz w:val="20"/>
                <w:szCs w:val="20"/>
              </w:rPr>
            </w:pPr>
          </w:p>
        </w:tc>
        <w:tc>
          <w:tcPr>
            <w:tcW w:w="736" w:type="dxa"/>
            <w:vMerge w:val="restart"/>
            <w:tcBorders>
              <w:top w:val="nil"/>
              <w:left w:val="single" w:color="auto" w:sz="4" w:space="0"/>
              <w:bottom w:val="single" w:color="000000" w:sz="4" w:space="0"/>
              <w:right w:val="single" w:color="auto" w:sz="4" w:space="0"/>
            </w:tcBorders>
            <w:shd w:val="clear" w:color="auto" w:fill="auto"/>
            <w:vAlign w:val="center"/>
          </w:tcPr>
          <w:p w14:paraId="187090E2">
            <w:pPr>
              <w:widowControl/>
              <w:jc w:val="center"/>
              <w:rPr>
                <w:rFonts w:ascii="宋体" w:hAnsi="宋体" w:cs="宋体"/>
                <w:kern w:val="0"/>
                <w:sz w:val="20"/>
                <w:szCs w:val="20"/>
              </w:rPr>
            </w:pPr>
            <w:r>
              <w:rPr>
                <w:rFonts w:hint="eastAsia" w:ascii="宋体" w:hAnsi="宋体" w:cs="宋体"/>
                <w:kern w:val="0"/>
                <w:sz w:val="20"/>
                <w:szCs w:val="20"/>
              </w:rPr>
              <w:t>行政成本（7分）</w:t>
            </w:r>
          </w:p>
        </w:tc>
        <w:tc>
          <w:tcPr>
            <w:tcW w:w="1747" w:type="dxa"/>
            <w:tcBorders>
              <w:top w:val="nil"/>
              <w:left w:val="nil"/>
              <w:bottom w:val="single" w:color="auto" w:sz="4" w:space="0"/>
              <w:right w:val="single" w:color="auto" w:sz="4" w:space="0"/>
            </w:tcBorders>
            <w:shd w:val="clear" w:color="auto" w:fill="auto"/>
            <w:noWrap/>
            <w:vAlign w:val="center"/>
          </w:tcPr>
          <w:p w14:paraId="1A5D272B">
            <w:pPr>
              <w:widowControl/>
              <w:jc w:val="left"/>
              <w:rPr>
                <w:rFonts w:ascii="宋体" w:hAnsi="宋体" w:cs="宋体"/>
                <w:kern w:val="0"/>
                <w:sz w:val="20"/>
                <w:szCs w:val="20"/>
              </w:rPr>
            </w:pPr>
            <w:r>
              <w:rPr>
                <w:rFonts w:hint="eastAsia" w:ascii="宋体" w:hAnsi="宋体" w:cs="宋体"/>
                <w:kern w:val="0"/>
                <w:sz w:val="20"/>
                <w:szCs w:val="20"/>
              </w:rPr>
              <w:t>节能降耗（3分）</w:t>
            </w:r>
          </w:p>
        </w:tc>
        <w:tc>
          <w:tcPr>
            <w:tcW w:w="587" w:type="dxa"/>
            <w:tcBorders>
              <w:top w:val="single" w:color="auto" w:sz="4" w:space="0"/>
              <w:left w:val="nil"/>
              <w:bottom w:val="single" w:color="auto" w:sz="4" w:space="0"/>
              <w:right w:val="single" w:color="auto" w:sz="4" w:space="0"/>
            </w:tcBorders>
            <w:shd w:val="clear" w:color="auto" w:fill="auto"/>
            <w:noWrap/>
            <w:vAlign w:val="center"/>
          </w:tcPr>
          <w:p w14:paraId="49A20877">
            <w:pPr>
              <w:widowControl/>
              <w:jc w:val="center"/>
              <w:rPr>
                <w:rFonts w:ascii="宋体" w:hAnsi="宋体" w:cs="宋体"/>
                <w:kern w:val="0"/>
                <w:sz w:val="20"/>
                <w:szCs w:val="20"/>
              </w:rPr>
            </w:pPr>
            <w:r>
              <w:rPr>
                <w:rFonts w:hint="eastAsia" w:ascii="宋体" w:hAnsi="宋体" w:cs="宋体"/>
                <w:kern w:val="0"/>
                <w:sz w:val="20"/>
                <w:szCs w:val="20"/>
              </w:rPr>
              <w:t>3</w:t>
            </w:r>
          </w:p>
        </w:tc>
        <w:tc>
          <w:tcPr>
            <w:tcW w:w="2035" w:type="dxa"/>
            <w:tcBorders>
              <w:top w:val="single" w:color="auto" w:sz="4" w:space="0"/>
              <w:left w:val="nil"/>
              <w:bottom w:val="single" w:color="auto" w:sz="4" w:space="0"/>
              <w:right w:val="single" w:color="auto" w:sz="4" w:space="0"/>
            </w:tcBorders>
            <w:shd w:val="clear" w:color="auto" w:fill="auto"/>
            <w:vAlign w:val="center"/>
          </w:tcPr>
          <w:p w14:paraId="1BDE9545">
            <w:pPr>
              <w:widowControl/>
              <w:jc w:val="left"/>
              <w:rPr>
                <w:rFonts w:ascii="宋体" w:hAnsi="宋体" w:cs="宋体"/>
                <w:kern w:val="0"/>
                <w:sz w:val="20"/>
                <w:szCs w:val="20"/>
              </w:rPr>
            </w:pPr>
            <w:r>
              <w:rPr>
                <w:rFonts w:hint="eastAsia" w:ascii="宋体" w:hAnsi="宋体" w:cs="宋体"/>
                <w:kern w:val="0"/>
                <w:sz w:val="20"/>
                <w:szCs w:val="20"/>
              </w:rPr>
              <w:t>根据机关事务管理局节能考核换算得分</w:t>
            </w:r>
          </w:p>
        </w:tc>
        <w:tc>
          <w:tcPr>
            <w:tcW w:w="3203" w:type="dxa"/>
            <w:tcBorders>
              <w:top w:val="nil"/>
              <w:left w:val="nil"/>
              <w:bottom w:val="single" w:color="auto" w:sz="4" w:space="0"/>
              <w:right w:val="single" w:color="auto" w:sz="4" w:space="0"/>
            </w:tcBorders>
            <w:shd w:val="clear" w:color="auto" w:fill="auto"/>
            <w:vAlign w:val="center"/>
          </w:tcPr>
          <w:p w14:paraId="5242AC88">
            <w:pPr>
              <w:widowControl/>
              <w:jc w:val="left"/>
              <w:rPr>
                <w:rFonts w:ascii="宋体" w:hAnsi="宋体" w:cs="宋体"/>
                <w:kern w:val="0"/>
                <w:sz w:val="20"/>
                <w:szCs w:val="20"/>
              </w:rPr>
            </w:pPr>
            <w:r>
              <w:rPr>
                <w:rFonts w:hint="eastAsia" w:ascii="宋体" w:hAnsi="宋体" w:cs="宋体"/>
                <w:kern w:val="0"/>
                <w:sz w:val="20"/>
                <w:szCs w:val="20"/>
              </w:rPr>
              <w:t>　</w:t>
            </w:r>
          </w:p>
        </w:tc>
      </w:tr>
      <w:tr w14:paraId="7E91010F">
        <w:tblPrEx>
          <w:tblCellMar>
            <w:top w:w="0" w:type="dxa"/>
            <w:left w:w="108" w:type="dxa"/>
            <w:bottom w:w="0" w:type="dxa"/>
            <w:right w:w="108" w:type="dxa"/>
          </w:tblCellMar>
        </w:tblPrEx>
        <w:trPr>
          <w:trHeight w:val="823" w:hRule="atLeast"/>
        </w:trPr>
        <w:tc>
          <w:tcPr>
            <w:tcW w:w="586" w:type="dxa"/>
            <w:vMerge w:val="continue"/>
            <w:tcBorders>
              <w:top w:val="single" w:color="auto" w:sz="4" w:space="0"/>
              <w:left w:val="single" w:color="auto" w:sz="4" w:space="0"/>
              <w:bottom w:val="single" w:color="000000" w:sz="4" w:space="0"/>
              <w:right w:val="single" w:color="auto" w:sz="4" w:space="0"/>
            </w:tcBorders>
            <w:vAlign w:val="center"/>
          </w:tcPr>
          <w:p w14:paraId="4399DCC8">
            <w:pPr>
              <w:widowControl/>
              <w:jc w:val="left"/>
              <w:rPr>
                <w:rFonts w:ascii="宋体" w:hAnsi="宋体" w:cs="宋体"/>
                <w:kern w:val="0"/>
                <w:sz w:val="20"/>
                <w:szCs w:val="20"/>
              </w:rPr>
            </w:pPr>
          </w:p>
        </w:tc>
        <w:tc>
          <w:tcPr>
            <w:tcW w:w="736" w:type="dxa"/>
            <w:vMerge w:val="continue"/>
            <w:tcBorders>
              <w:top w:val="nil"/>
              <w:left w:val="single" w:color="auto" w:sz="4" w:space="0"/>
              <w:bottom w:val="single" w:color="000000" w:sz="4" w:space="0"/>
              <w:right w:val="single" w:color="auto" w:sz="4" w:space="0"/>
            </w:tcBorders>
            <w:vAlign w:val="center"/>
          </w:tcPr>
          <w:p w14:paraId="5038F1C4">
            <w:pPr>
              <w:widowControl/>
              <w:jc w:val="left"/>
              <w:rPr>
                <w:rFonts w:ascii="宋体" w:hAnsi="宋体" w:cs="宋体"/>
                <w:kern w:val="0"/>
                <w:sz w:val="20"/>
                <w:szCs w:val="20"/>
              </w:rPr>
            </w:pPr>
          </w:p>
        </w:tc>
        <w:tc>
          <w:tcPr>
            <w:tcW w:w="1747" w:type="dxa"/>
            <w:tcBorders>
              <w:top w:val="nil"/>
              <w:left w:val="nil"/>
              <w:bottom w:val="single" w:color="auto" w:sz="4" w:space="0"/>
              <w:right w:val="single" w:color="auto" w:sz="4" w:space="0"/>
            </w:tcBorders>
            <w:shd w:val="clear" w:color="auto" w:fill="auto"/>
            <w:vAlign w:val="center"/>
          </w:tcPr>
          <w:p w14:paraId="4456DC4C">
            <w:pPr>
              <w:widowControl/>
              <w:jc w:val="left"/>
              <w:rPr>
                <w:rFonts w:ascii="宋体" w:hAnsi="宋体" w:cs="宋体"/>
                <w:color w:val="000000"/>
                <w:kern w:val="0"/>
                <w:sz w:val="20"/>
                <w:szCs w:val="20"/>
              </w:rPr>
            </w:pP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三公</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经费控制率（4分）</w:t>
            </w:r>
          </w:p>
        </w:tc>
        <w:tc>
          <w:tcPr>
            <w:tcW w:w="587" w:type="dxa"/>
            <w:tcBorders>
              <w:top w:val="nil"/>
              <w:left w:val="nil"/>
              <w:bottom w:val="single" w:color="auto" w:sz="4" w:space="0"/>
              <w:right w:val="single" w:color="auto" w:sz="4" w:space="0"/>
            </w:tcBorders>
            <w:shd w:val="clear" w:color="auto" w:fill="auto"/>
            <w:vAlign w:val="center"/>
          </w:tcPr>
          <w:p w14:paraId="6DFFF82A">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035" w:type="dxa"/>
            <w:tcBorders>
              <w:top w:val="nil"/>
              <w:left w:val="nil"/>
              <w:bottom w:val="single" w:color="auto" w:sz="4" w:space="0"/>
              <w:right w:val="single" w:color="auto" w:sz="4" w:space="0"/>
            </w:tcBorders>
            <w:shd w:val="clear" w:color="auto" w:fill="auto"/>
            <w:vAlign w:val="center"/>
          </w:tcPr>
          <w:p w14:paraId="10765FAB">
            <w:pPr>
              <w:widowControl/>
              <w:jc w:val="left"/>
              <w:rPr>
                <w:rFonts w:ascii="宋体" w:hAnsi="宋体" w:cs="宋体"/>
                <w:kern w:val="0"/>
                <w:sz w:val="20"/>
                <w:szCs w:val="20"/>
              </w:rPr>
            </w:pPr>
            <w:r>
              <w:rPr>
                <w:rFonts w:hint="eastAsia" w:ascii="宋体" w:hAnsi="宋体" w:cs="宋体"/>
                <w:kern w:val="0"/>
                <w:sz w:val="20"/>
                <w:szCs w:val="20"/>
              </w:rPr>
              <w:t>以100%为标准。“三公”经费控制率≦100%，计4分； 每超过一个百分点扣1分，扣完为止。</w:t>
            </w:r>
          </w:p>
        </w:tc>
        <w:tc>
          <w:tcPr>
            <w:tcW w:w="3203" w:type="dxa"/>
            <w:tcBorders>
              <w:top w:val="nil"/>
              <w:left w:val="nil"/>
              <w:bottom w:val="single" w:color="auto" w:sz="4" w:space="0"/>
              <w:right w:val="single" w:color="auto" w:sz="4" w:space="0"/>
            </w:tcBorders>
            <w:shd w:val="clear" w:color="auto" w:fill="auto"/>
            <w:vAlign w:val="center"/>
          </w:tcPr>
          <w:p w14:paraId="474C645E">
            <w:pPr>
              <w:widowControl/>
              <w:jc w:val="left"/>
              <w:rPr>
                <w:rFonts w:ascii="宋体" w:hAnsi="宋体" w:cs="宋体"/>
                <w:kern w:val="0"/>
                <w:sz w:val="20"/>
                <w:szCs w:val="20"/>
              </w:rPr>
            </w:pPr>
            <w:r>
              <w:rPr>
                <w:rFonts w:hint="eastAsia" w:ascii="宋体" w:hAnsi="宋体" w:cs="宋体"/>
                <w:kern w:val="0"/>
                <w:sz w:val="20"/>
                <w:szCs w:val="20"/>
              </w:rPr>
              <w:t>“三公”经费控制率-（“三公”经费实际支出数/“三公”经费预算安排数）×100%。</w:t>
            </w:r>
          </w:p>
        </w:tc>
      </w:tr>
      <w:tr w14:paraId="6E717D07">
        <w:tblPrEx>
          <w:tblCellMar>
            <w:top w:w="0" w:type="dxa"/>
            <w:left w:w="108" w:type="dxa"/>
            <w:bottom w:w="0" w:type="dxa"/>
            <w:right w:w="108" w:type="dxa"/>
          </w:tblCellMar>
        </w:tblPrEx>
        <w:trPr>
          <w:trHeight w:val="488" w:hRule="atLeast"/>
        </w:trPr>
        <w:tc>
          <w:tcPr>
            <w:tcW w:w="586" w:type="dxa"/>
            <w:vMerge w:val="restart"/>
            <w:tcBorders>
              <w:top w:val="nil"/>
              <w:left w:val="single" w:color="auto" w:sz="4" w:space="0"/>
              <w:bottom w:val="single" w:color="auto" w:sz="4" w:space="0"/>
              <w:right w:val="single" w:color="auto" w:sz="4" w:space="0"/>
            </w:tcBorders>
            <w:shd w:val="clear" w:color="auto" w:fill="auto"/>
            <w:vAlign w:val="center"/>
          </w:tcPr>
          <w:p w14:paraId="047B64C8">
            <w:pPr>
              <w:widowControl/>
              <w:jc w:val="center"/>
              <w:rPr>
                <w:rFonts w:ascii="宋体" w:hAnsi="宋体" w:cs="宋体"/>
                <w:kern w:val="0"/>
                <w:sz w:val="20"/>
                <w:szCs w:val="20"/>
              </w:rPr>
            </w:pPr>
            <w:r>
              <w:rPr>
                <w:rFonts w:hint="eastAsia" w:ascii="宋体" w:hAnsi="宋体" w:cs="宋体"/>
                <w:kern w:val="0"/>
                <w:sz w:val="20"/>
                <w:szCs w:val="20"/>
              </w:rPr>
              <w:t>预算管理（50分）</w:t>
            </w:r>
          </w:p>
        </w:tc>
        <w:tc>
          <w:tcPr>
            <w:tcW w:w="736" w:type="dxa"/>
            <w:vMerge w:val="restart"/>
            <w:tcBorders>
              <w:top w:val="nil"/>
              <w:left w:val="single" w:color="auto" w:sz="4" w:space="0"/>
              <w:bottom w:val="single" w:color="000000" w:sz="4" w:space="0"/>
              <w:right w:val="single" w:color="auto" w:sz="4" w:space="0"/>
            </w:tcBorders>
            <w:shd w:val="clear" w:color="auto" w:fill="auto"/>
            <w:vAlign w:val="center"/>
          </w:tcPr>
          <w:p w14:paraId="7FE37450">
            <w:pPr>
              <w:widowControl/>
              <w:jc w:val="center"/>
              <w:rPr>
                <w:rFonts w:ascii="宋体" w:hAnsi="宋体" w:cs="宋体"/>
                <w:kern w:val="0"/>
                <w:sz w:val="20"/>
                <w:szCs w:val="20"/>
              </w:rPr>
            </w:pPr>
            <w:r>
              <w:rPr>
                <w:rFonts w:hint="eastAsia" w:ascii="宋体" w:hAnsi="宋体" w:cs="宋体"/>
                <w:kern w:val="0"/>
                <w:sz w:val="20"/>
                <w:szCs w:val="20"/>
              </w:rPr>
              <w:t>信息公开（5 分）</w:t>
            </w:r>
          </w:p>
        </w:tc>
        <w:tc>
          <w:tcPr>
            <w:tcW w:w="1747" w:type="dxa"/>
            <w:tcBorders>
              <w:top w:val="nil"/>
              <w:left w:val="nil"/>
              <w:bottom w:val="single" w:color="auto" w:sz="4" w:space="0"/>
              <w:right w:val="single" w:color="auto" w:sz="4" w:space="0"/>
            </w:tcBorders>
            <w:shd w:val="clear" w:color="auto" w:fill="auto"/>
            <w:noWrap/>
            <w:vAlign w:val="center"/>
          </w:tcPr>
          <w:p w14:paraId="3B4F6153">
            <w:pPr>
              <w:widowControl/>
              <w:jc w:val="left"/>
              <w:rPr>
                <w:rFonts w:ascii="宋体" w:hAnsi="宋体" w:cs="宋体"/>
                <w:color w:val="000000"/>
                <w:kern w:val="0"/>
                <w:sz w:val="20"/>
                <w:szCs w:val="20"/>
              </w:rPr>
            </w:pPr>
            <w:r>
              <w:rPr>
                <w:rFonts w:hint="eastAsia" w:ascii="宋体" w:hAnsi="宋体" w:cs="宋体"/>
                <w:color w:val="000000"/>
                <w:kern w:val="0"/>
                <w:sz w:val="20"/>
                <w:szCs w:val="20"/>
              </w:rPr>
              <w:t>公开时效（2分）</w:t>
            </w:r>
          </w:p>
        </w:tc>
        <w:tc>
          <w:tcPr>
            <w:tcW w:w="587" w:type="dxa"/>
            <w:tcBorders>
              <w:top w:val="nil"/>
              <w:left w:val="nil"/>
              <w:bottom w:val="single" w:color="auto" w:sz="4" w:space="0"/>
              <w:right w:val="single" w:color="auto" w:sz="4" w:space="0"/>
            </w:tcBorders>
            <w:shd w:val="clear" w:color="auto" w:fill="auto"/>
            <w:noWrap/>
            <w:vAlign w:val="center"/>
          </w:tcPr>
          <w:p w14:paraId="562338C3">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035" w:type="dxa"/>
            <w:tcBorders>
              <w:top w:val="nil"/>
              <w:left w:val="nil"/>
              <w:bottom w:val="single" w:color="auto" w:sz="4" w:space="0"/>
              <w:right w:val="single" w:color="auto" w:sz="4" w:space="0"/>
            </w:tcBorders>
            <w:shd w:val="clear" w:color="auto" w:fill="auto"/>
            <w:vAlign w:val="center"/>
          </w:tcPr>
          <w:p w14:paraId="44250E2E">
            <w:pPr>
              <w:widowControl/>
              <w:jc w:val="left"/>
              <w:rPr>
                <w:rFonts w:ascii="宋体" w:hAnsi="宋体" w:cs="宋体"/>
                <w:kern w:val="0"/>
                <w:sz w:val="20"/>
                <w:szCs w:val="20"/>
              </w:rPr>
            </w:pPr>
            <w:r>
              <w:rPr>
                <w:rFonts w:hint="eastAsia" w:ascii="宋体" w:hAnsi="宋体" w:cs="宋体"/>
                <w:kern w:val="0"/>
                <w:sz w:val="20"/>
                <w:szCs w:val="20"/>
              </w:rPr>
              <w:t>是否在区级政府门户网站上在规定时间内按时公开部门预算、决算、“三公”经费预算；</w:t>
            </w:r>
          </w:p>
        </w:tc>
        <w:tc>
          <w:tcPr>
            <w:tcW w:w="3203" w:type="dxa"/>
            <w:tcBorders>
              <w:top w:val="nil"/>
              <w:left w:val="nil"/>
              <w:bottom w:val="single" w:color="auto" w:sz="4" w:space="0"/>
              <w:right w:val="single" w:color="auto" w:sz="4" w:space="0"/>
            </w:tcBorders>
            <w:shd w:val="clear" w:color="auto" w:fill="auto"/>
            <w:vAlign w:val="center"/>
          </w:tcPr>
          <w:p w14:paraId="5DE1FE58">
            <w:pPr>
              <w:widowControl/>
              <w:jc w:val="left"/>
              <w:rPr>
                <w:rFonts w:ascii="宋体" w:hAnsi="宋体" w:cs="宋体"/>
                <w:kern w:val="0"/>
                <w:sz w:val="20"/>
                <w:szCs w:val="20"/>
              </w:rPr>
            </w:pPr>
            <w:r>
              <w:rPr>
                <w:rFonts w:hint="eastAsia" w:ascii="宋体" w:hAnsi="宋体" w:cs="宋体"/>
                <w:kern w:val="0"/>
                <w:sz w:val="20"/>
                <w:szCs w:val="20"/>
              </w:rPr>
              <w:t>未在规定时间内，在区级政府门户网站上进行公开不得分。</w:t>
            </w:r>
          </w:p>
        </w:tc>
      </w:tr>
      <w:tr w14:paraId="11BADB3E">
        <w:tblPrEx>
          <w:tblCellMar>
            <w:top w:w="0" w:type="dxa"/>
            <w:left w:w="108" w:type="dxa"/>
            <w:bottom w:w="0" w:type="dxa"/>
            <w:right w:w="108" w:type="dxa"/>
          </w:tblCellMar>
        </w:tblPrEx>
        <w:trPr>
          <w:trHeight w:val="869" w:hRule="atLeast"/>
        </w:trPr>
        <w:tc>
          <w:tcPr>
            <w:tcW w:w="586" w:type="dxa"/>
            <w:vMerge w:val="continue"/>
            <w:tcBorders>
              <w:top w:val="nil"/>
              <w:left w:val="single" w:color="auto" w:sz="4" w:space="0"/>
              <w:bottom w:val="single" w:color="auto" w:sz="4" w:space="0"/>
              <w:right w:val="single" w:color="auto" w:sz="4" w:space="0"/>
            </w:tcBorders>
            <w:vAlign w:val="center"/>
          </w:tcPr>
          <w:p w14:paraId="2EBE2528">
            <w:pPr>
              <w:widowControl/>
              <w:jc w:val="left"/>
              <w:rPr>
                <w:rFonts w:ascii="宋体" w:hAnsi="宋体" w:cs="宋体"/>
                <w:kern w:val="0"/>
                <w:sz w:val="20"/>
                <w:szCs w:val="20"/>
              </w:rPr>
            </w:pPr>
          </w:p>
        </w:tc>
        <w:tc>
          <w:tcPr>
            <w:tcW w:w="736" w:type="dxa"/>
            <w:vMerge w:val="continue"/>
            <w:tcBorders>
              <w:top w:val="nil"/>
              <w:left w:val="single" w:color="auto" w:sz="4" w:space="0"/>
              <w:bottom w:val="single" w:color="000000" w:sz="4" w:space="0"/>
              <w:right w:val="single" w:color="auto" w:sz="4" w:space="0"/>
            </w:tcBorders>
            <w:vAlign w:val="center"/>
          </w:tcPr>
          <w:p w14:paraId="78BC86A5">
            <w:pPr>
              <w:widowControl/>
              <w:jc w:val="left"/>
              <w:rPr>
                <w:rFonts w:ascii="宋体" w:hAnsi="宋体" w:cs="宋体"/>
                <w:kern w:val="0"/>
                <w:sz w:val="20"/>
                <w:szCs w:val="20"/>
              </w:rPr>
            </w:pPr>
          </w:p>
        </w:tc>
        <w:tc>
          <w:tcPr>
            <w:tcW w:w="1747" w:type="dxa"/>
            <w:tcBorders>
              <w:top w:val="nil"/>
              <w:left w:val="nil"/>
              <w:bottom w:val="single" w:color="auto" w:sz="4" w:space="0"/>
              <w:right w:val="single" w:color="auto" w:sz="4" w:space="0"/>
            </w:tcBorders>
            <w:shd w:val="clear" w:color="auto" w:fill="auto"/>
            <w:noWrap/>
            <w:vAlign w:val="center"/>
          </w:tcPr>
          <w:p w14:paraId="12E1C54D">
            <w:pPr>
              <w:widowControl/>
              <w:jc w:val="left"/>
              <w:rPr>
                <w:rFonts w:ascii="宋体" w:hAnsi="宋体" w:cs="宋体"/>
                <w:color w:val="000000"/>
                <w:kern w:val="0"/>
                <w:sz w:val="20"/>
                <w:szCs w:val="20"/>
              </w:rPr>
            </w:pPr>
            <w:r>
              <w:rPr>
                <w:rFonts w:hint="eastAsia" w:ascii="宋体" w:hAnsi="宋体" w:cs="宋体"/>
                <w:color w:val="000000"/>
                <w:kern w:val="0"/>
                <w:sz w:val="20"/>
                <w:szCs w:val="20"/>
              </w:rPr>
              <w:t>公开质量（3分）</w:t>
            </w:r>
          </w:p>
        </w:tc>
        <w:tc>
          <w:tcPr>
            <w:tcW w:w="587" w:type="dxa"/>
            <w:tcBorders>
              <w:top w:val="nil"/>
              <w:left w:val="nil"/>
              <w:bottom w:val="single" w:color="auto" w:sz="4" w:space="0"/>
              <w:right w:val="single" w:color="auto" w:sz="4" w:space="0"/>
            </w:tcBorders>
            <w:shd w:val="clear" w:color="auto" w:fill="auto"/>
            <w:noWrap/>
            <w:vAlign w:val="center"/>
          </w:tcPr>
          <w:p w14:paraId="3E8CF13E">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035" w:type="dxa"/>
            <w:tcBorders>
              <w:top w:val="nil"/>
              <w:left w:val="nil"/>
              <w:bottom w:val="single" w:color="auto" w:sz="4" w:space="0"/>
              <w:right w:val="single" w:color="auto" w:sz="4" w:space="0"/>
            </w:tcBorders>
            <w:shd w:val="clear" w:color="auto" w:fill="auto"/>
            <w:vAlign w:val="center"/>
          </w:tcPr>
          <w:p w14:paraId="53343745">
            <w:pPr>
              <w:widowControl/>
              <w:jc w:val="left"/>
              <w:rPr>
                <w:rFonts w:ascii="宋体" w:hAnsi="宋体" w:cs="宋体"/>
                <w:kern w:val="0"/>
                <w:sz w:val="20"/>
                <w:szCs w:val="20"/>
              </w:rPr>
            </w:pPr>
            <w:r>
              <w:rPr>
                <w:rFonts w:hint="eastAsia" w:ascii="宋体" w:hAnsi="宋体" w:cs="宋体"/>
                <w:kern w:val="0"/>
                <w:sz w:val="20"/>
                <w:szCs w:val="20"/>
              </w:rPr>
              <w:t>依照《攀枝花市仁和区推进预算公开实施方案》（攀仁委办〔2017〕172号）中“三、公开内容”要求来具体考核。</w:t>
            </w:r>
          </w:p>
        </w:tc>
        <w:tc>
          <w:tcPr>
            <w:tcW w:w="3203" w:type="dxa"/>
            <w:tcBorders>
              <w:top w:val="nil"/>
              <w:left w:val="nil"/>
              <w:bottom w:val="single" w:color="auto" w:sz="4" w:space="0"/>
              <w:right w:val="single" w:color="auto" w:sz="4" w:space="0"/>
            </w:tcBorders>
            <w:shd w:val="clear" w:color="auto" w:fill="auto"/>
            <w:vAlign w:val="center"/>
          </w:tcPr>
          <w:p w14:paraId="57A35A4F">
            <w:pPr>
              <w:widowControl/>
              <w:jc w:val="left"/>
              <w:rPr>
                <w:rFonts w:ascii="宋体" w:hAnsi="宋体" w:cs="宋体"/>
                <w:kern w:val="0"/>
                <w:sz w:val="20"/>
                <w:szCs w:val="20"/>
              </w:rPr>
            </w:pPr>
            <w:r>
              <w:rPr>
                <w:rFonts w:hint="eastAsia" w:ascii="宋体" w:hAnsi="宋体" w:cs="宋体"/>
                <w:kern w:val="0"/>
                <w:sz w:val="20"/>
                <w:szCs w:val="20"/>
              </w:rPr>
              <w:t>公开内容一项未达要求扣一分，扣分不超过3分。</w:t>
            </w:r>
          </w:p>
        </w:tc>
      </w:tr>
      <w:tr w14:paraId="581B5799">
        <w:tblPrEx>
          <w:tblCellMar>
            <w:top w:w="0" w:type="dxa"/>
            <w:left w:w="108" w:type="dxa"/>
            <w:bottom w:w="0" w:type="dxa"/>
            <w:right w:w="108" w:type="dxa"/>
          </w:tblCellMar>
        </w:tblPrEx>
        <w:trPr>
          <w:trHeight w:val="731" w:hRule="atLeast"/>
        </w:trPr>
        <w:tc>
          <w:tcPr>
            <w:tcW w:w="586" w:type="dxa"/>
            <w:vMerge w:val="continue"/>
            <w:tcBorders>
              <w:top w:val="nil"/>
              <w:left w:val="single" w:color="auto" w:sz="4" w:space="0"/>
              <w:bottom w:val="single" w:color="auto" w:sz="4" w:space="0"/>
              <w:right w:val="single" w:color="auto" w:sz="4" w:space="0"/>
            </w:tcBorders>
            <w:vAlign w:val="center"/>
          </w:tcPr>
          <w:p w14:paraId="6EEBDED4">
            <w:pPr>
              <w:widowControl/>
              <w:jc w:val="left"/>
              <w:rPr>
                <w:rFonts w:ascii="宋体" w:hAnsi="宋体" w:cs="宋体"/>
                <w:kern w:val="0"/>
                <w:sz w:val="20"/>
                <w:szCs w:val="20"/>
              </w:rPr>
            </w:pPr>
          </w:p>
        </w:tc>
        <w:tc>
          <w:tcPr>
            <w:tcW w:w="736" w:type="dxa"/>
            <w:tcBorders>
              <w:top w:val="nil"/>
              <w:left w:val="nil"/>
              <w:bottom w:val="single" w:color="auto" w:sz="4" w:space="0"/>
              <w:right w:val="single" w:color="auto" w:sz="4" w:space="0"/>
            </w:tcBorders>
            <w:shd w:val="clear" w:color="auto" w:fill="auto"/>
            <w:vAlign w:val="center"/>
          </w:tcPr>
          <w:p w14:paraId="508EA16B">
            <w:pPr>
              <w:widowControl/>
              <w:jc w:val="center"/>
              <w:rPr>
                <w:rFonts w:ascii="宋体" w:hAnsi="宋体" w:cs="宋体"/>
                <w:kern w:val="0"/>
                <w:sz w:val="20"/>
                <w:szCs w:val="20"/>
              </w:rPr>
            </w:pPr>
            <w:r>
              <w:rPr>
                <w:rFonts w:hint="eastAsia" w:ascii="宋体" w:hAnsi="宋体" w:cs="宋体"/>
                <w:kern w:val="0"/>
                <w:sz w:val="20"/>
                <w:szCs w:val="20"/>
              </w:rPr>
              <w:t>制度建设（5分）</w:t>
            </w:r>
          </w:p>
        </w:tc>
        <w:tc>
          <w:tcPr>
            <w:tcW w:w="1747" w:type="dxa"/>
            <w:tcBorders>
              <w:top w:val="nil"/>
              <w:left w:val="nil"/>
              <w:bottom w:val="single" w:color="auto" w:sz="4" w:space="0"/>
              <w:right w:val="single" w:color="auto" w:sz="4" w:space="0"/>
            </w:tcBorders>
            <w:shd w:val="clear" w:color="auto" w:fill="auto"/>
            <w:noWrap/>
            <w:vAlign w:val="center"/>
          </w:tcPr>
          <w:p w14:paraId="42BB01DB">
            <w:pPr>
              <w:widowControl/>
              <w:jc w:val="left"/>
              <w:rPr>
                <w:rFonts w:ascii="宋体" w:hAnsi="宋体" w:cs="宋体"/>
                <w:kern w:val="0"/>
                <w:sz w:val="20"/>
                <w:szCs w:val="20"/>
              </w:rPr>
            </w:pPr>
            <w:r>
              <w:rPr>
                <w:rFonts w:hint="eastAsia" w:ascii="宋体" w:hAnsi="宋体" w:cs="宋体"/>
                <w:kern w:val="0"/>
                <w:sz w:val="20"/>
                <w:szCs w:val="20"/>
              </w:rPr>
              <w:t>内控制度建设（5分）</w:t>
            </w:r>
          </w:p>
        </w:tc>
        <w:tc>
          <w:tcPr>
            <w:tcW w:w="587" w:type="dxa"/>
            <w:tcBorders>
              <w:top w:val="nil"/>
              <w:left w:val="nil"/>
              <w:bottom w:val="single" w:color="auto" w:sz="4" w:space="0"/>
              <w:right w:val="single" w:color="auto" w:sz="4" w:space="0"/>
            </w:tcBorders>
            <w:shd w:val="clear" w:color="auto" w:fill="auto"/>
            <w:noWrap/>
            <w:vAlign w:val="center"/>
          </w:tcPr>
          <w:p w14:paraId="4B1AAD16">
            <w:pPr>
              <w:widowControl/>
              <w:jc w:val="center"/>
              <w:rPr>
                <w:rFonts w:ascii="宋体" w:hAnsi="宋体" w:cs="宋体"/>
                <w:kern w:val="0"/>
                <w:sz w:val="20"/>
                <w:szCs w:val="20"/>
              </w:rPr>
            </w:pPr>
            <w:r>
              <w:rPr>
                <w:rFonts w:hint="eastAsia" w:ascii="宋体" w:hAnsi="宋体" w:cs="宋体"/>
                <w:kern w:val="0"/>
                <w:sz w:val="20"/>
                <w:szCs w:val="20"/>
              </w:rPr>
              <w:t>4</w:t>
            </w:r>
          </w:p>
        </w:tc>
        <w:tc>
          <w:tcPr>
            <w:tcW w:w="2035" w:type="dxa"/>
            <w:tcBorders>
              <w:top w:val="nil"/>
              <w:left w:val="nil"/>
              <w:bottom w:val="single" w:color="auto" w:sz="4" w:space="0"/>
              <w:right w:val="single" w:color="auto" w:sz="4" w:space="0"/>
            </w:tcBorders>
            <w:shd w:val="clear" w:color="auto" w:fill="auto"/>
            <w:vAlign w:val="center"/>
          </w:tcPr>
          <w:p w14:paraId="3D1D04EA">
            <w:pPr>
              <w:widowControl/>
              <w:jc w:val="left"/>
              <w:rPr>
                <w:rFonts w:ascii="宋体" w:hAnsi="宋体" w:cs="宋体"/>
                <w:kern w:val="0"/>
                <w:sz w:val="20"/>
                <w:szCs w:val="20"/>
              </w:rPr>
            </w:pPr>
            <w:r>
              <w:rPr>
                <w:rFonts w:hint="eastAsia" w:ascii="宋体" w:hAnsi="宋体" w:cs="宋体"/>
                <w:kern w:val="0"/>
                <w:sz w:val="20"/>
                <w:szCs w:val="20"/>
              </w:rPr>
              <w:t>按照行政事业单位内控制度要求建立健全内控制度，内控制度是否完善。</w:t>
            </w:r>
          </w:p>
        </w:tc>
        <w:tc>
          <w:tcPr>
            <w:tcW w:w="3203" w:type="dxa"/>
            <w:tcBorders>
              <w:top w:val="nil"/>
              <w:left w:val="nil"/>
              <w:bottom w:val="single" w:color="auto" w:sz="4" w:space="0"/>
              <w:right w:val="single" w:color="auto" w:sz="4" w:space="0"/>
            </w:tcBorders>
            <w:shd w:val="clear" w:color="auto" w:fill="auto"/>
            <w:vAlign w:val="center"/>
          </w:tcPr>
          <w:p w14:paraId="2D5CFE50">
            <w:pPr>
              <w:widowControl/>
              <w:jc w:val="left"/>
              <w:rPr>
                <w:rFonts w:ascii="宋体" w:hAnsi="宋体" w:cs="宋体"/>
                <w:kern w:val="0"/>
                <w:sz w:val="20"/>
                <w:szCs w:val="20"/>
              </w:rPr>
            </w:pPr>
            <w:r>
              <w:rPr>
                <w:rFonts w:hint="eastAsia" w:ascii="宋体" w:hAnsi="宋体" w:cs="宋体"/>
                <w:kern w:val="0"/>
                <w:sz w:val="20"/>
                <w:szCs w:val="20"/>
              </w:rPr>
              <w:t>按照单位上报的2017年行政事业单位内控报告得分换算，请财税法规股提供打分依据。</w:t>
            </w:r>
          </w:p>
        </w:tc>
      </w:tr>
      <w:tr w14:paraId="2A32C47A">
        <w:tblPrEx>
          <w:tblCellMar>
            <w:top w:w="0" w:type="dxa"/>
            <w:left w:w="108" w:type="dxa"/>
            <w:bottom w:w="0" w:type="dxa"/>
            <w:right w:w="108" w:type="dxa"/>
          </w:tblCellMar>
        </w:tblPrEx>
        <w:trPr>
          <w:trHeight w:val="1722" w:hRule="atLeast"/>
        </w:trPr>
        <w:tc>
          <w:tcPr>
            <w:tcW w:w="586" w:type="dxa"/>
            <w:vMerge w:val="continue"/>
            <w:tcBorders>
              <w:top w:val="nil"/>
              <w:left w:val="single" w:color="auto" w:sz="4" w:space="0"/>
              <w:bottom w:val="single" w:color="auto" w:sz="4" w:space="0"/>
              <w:right w:val="single" w:color="auto" w:sz="4" w:space="0"/>
            </w:tcBorders>
            <w:vAlign w:val="center"/>
          </w:tcPr>
          <w:p w14:paraId="33A53EA6">
            <w:pPr>
              <w:widowControl/>
              <w:jc w:val="left"/>
              <w:rPr>
                <w:rFonts w:ascii="宋体" w:hAnsi="宋体" w:cs="宋体"/>
                <w:kern w:val="0"/>
                <w:sz w:val="20"/>
                <w:szCs w:val="20"/>
              </w:rPr>
            </w:pPr>
          </w:p>
        </w:tc>
        <w:tc>
          <w:tcPr>
            <w:tcW w:w="736" w:type="dxa"/>
            <w:vMerge w:val="restart"/>
            <w:tcBorders>
              <w:top w:val="nil"/>
              <w:left w:val="single" w:color="auto" w:sz="4" w:space="0"/>
              <w:bottom w:val="single" w:color="000000" w:sz="4" w:space="0"/>
              <w:right w:val="single" w:color="auto" w:sz="4" w:space="0"/>
            </w:tcBorders>
            <w:shd w:val="clear" w:color="auto" w:fill="auto"/>
            <w:vAlign w:val="center"/>
          </w:tcPr>
          <w:p w14:paraId="1DA8A607">
            <w:pPr>
              <w:widowControl/>
              <w:jc w:val="center"/>
              <w:rPr>
                <w:rFonts w:ascii="宋体" w:hAnsi="宋体" w:cs="宋体"/>
                <w:kern w:val="0"/>
                <w:sz w:val="20"/>
                <w:szCs w:val="20"/>
              </w:rPr>
            </w:pPr>
            <w:r>
              <w:rPr>
                <w:rFonts w:hint="eastAsia" w:ascii="宋体" w:hAnsi="宋体" w:cs="宋体"/>
                <w:kern w:val="0"/>
                <w:sz w:val="20"/>
                <w:szCs w:val="20"/>
              </w:rPr>
              <w:t>财务管理（40分）</w:t>
            </w:r>
          </w:p>
        </w:tc>
        <w:tc>
          <w:tcPr>
            <w:tcW w:w="1747" w:type="dxa"/>
            <w:tcBorders>
              <w:top w:val="nil"/>
              <w:left w:val="nil"/>
              <w:bottom w:val="single" w:color="auto" w:sz="4" w:space="0"/>
              <w:right w:val="single" w:color="auto" w:sz="4" w:space="0"/>
            </w:tcBorders>
            <w:shd w:val="clear" w:color="auto" w:fill="auto"/>
            <w:vAlign w:val="center"/>
          </w:tcPr>
          <w:p w14:paraId="0542F6CA">
            <w:pPr>
              <w:widowControl/>
              <w:jc w:val="left"/>
              <w:rPr>
                <w:rFonts w:ascii="宋体" w:hAnsi="宋体" w:cs="宋体"/>
                <w:kern w:val="0"/>
                <w:sz w:val="20"/>
                <w:szCs w:val="20"/>
              </w:rPr>
            </w:pPr>
            <w:r>
              <w:rPr>
                <w:rFonts w:hint="eastAsia" w:ascii="宋体" w:hAnsi="宋体" w:cs="宋体"/>
                <w:kern w:val="0"/>
                <w:sz w:val="20"/>
                <w:szCs w:val="20"/>
              </w:rPr>
              <w:t>会计核算及管理（10分）</w:t>
            </w:r>
          </w:p>
        </w:tc>
        <w:tc>
          <w:tcPr>
            <w:tcW w:w="587" w:type="dxa"/>
            <w:tcBorders>
              <w:top w:val="nil"/>
              <w:left w:val="nil"/>
              <w:bottom w:val="single" w:color="auto" w:sz="4" w:space="0"/>
              <w:right w:val="single" w:color="auto" w:sz="4" w:space="0"/>
            </w:tcBorders>
            <w:shd w:val="clear" w:color="auto" w:fill="auto"/>
            <w:vAlign w:val="center"/>
          </w:tcPr>
          <w:p w14:paraId="2D01D868">
            <w:pPr>
              <w:widowControl/>
              <w:jc w:val="center"/>
              <w:rPr>
                <w:rFonts w:ascii="宋体" w:hAnsi="宋体" w:cs="宋体"/>
                <w:kern w:val="0"/>
                <w:sz w:val="20"/>
                <w:szCs w:val="20"/>
              </w:rPr>
            </w:pPr>
            <w:r>
              <w:rPr>
                <w:rFonts w:hint="eastAsia" w:ascii="宋体" w:hAnsi="宋体" w:cs="宋体"/>
                <w:kern w:val="0"/>
                <w:sz w:val="20"/>
                <w:szCs w:val="20"/>
              </w:rPr>
              <w:t>10</w:t>
            </w:r>
          </w:p>
        </w:tc>
        <w:tc>
          <w:tcPr>
            <w:tcW w:w="2035" w:type="dxa"/>
            <w:tcBorders>
              <w:top w:val="nil"/>
              <w:left w:val="nil"/>
              <w:bottom w:val="single" w:color="auto" w:sz="4" w:space="0"/>
              <w:right w:val="single" w:color="auto" w:sz="4" w:space="0"/>
            </w:tcBorders>
            <w:shd w:val="clear" w:color="auto" w:fill="auto"/>
            <w:vAlign w:val="center"/>
          </w:tcPr>
          <w:p w14:paraId="5A24587C">
            <w:pPr>
              <w:widowControl/>
              <w:jc w:val="left"/>
              <w:rPr>
                <w:rFonts w:ascii="宋体" w:hAnsi="宋体" w:cs="宋体"/>
                <w:kern w:val="0"/>
                <w:sz w:val="20"/>
                <w:szCs w:val="20"/>
              </w:rPr>
            </w:pPr>
            <w:r>
              <w:rPr>
                <w:rFonts w:hint="eastAsia" w:ascii="宋体" w:hAnsi="宋体" w:cs="宋体"/>
                <w:kern w:val="0"/>
                <w:sz w:val="20"/>
                <w:szCs w:val="20"/>
              </w:rPr>
              <w:t>会计账务处理是否及时；会计核算是否规范；资金是否专款专用，资金支付依据和开支标准是否合法合规。</w:t>
            </w:r>
          </w:p>
        </w:tc>
        <w:tc>
          <w:tcPr>
            <w:tcW w:w="3203" w:type="dxa"/>
            <w:tcBorders>
              <w:top w:val="nil"/>
              <w:left w:val="nil"/>
              <w:bottom w:val="single" w:color="auto" w:sz="4" w:space="0"/>
              <w:right w:val="single" w:color="auto" w:sz="4" w:space="0"/>
            </w:tcBorders>
            <w:shd w:val="clear" w:color="auto" w:fill="auto"/>
            <w:vAlign w:val="center"/>
          </w:tcPr>
          <w:p w14:paraId="58987CAA">
            <w:pPr>
              <w:widowControl/>
              <w:jc w:val="left"/>
              <w:rPr>
                <w:rFonts w:ascii="宋体" w:hAnsi="宋体" w:cs="宋体"/>
                <w:kern w:val="0"/>
                <w:sz w:val="20"/>
                <w:szCs w:val="20"/>
              </w:rPr>
            </w:pPr>
            <w:r>
              <w:rPr>
                <w:rFonts w:hint="eastAsia" w:ascii="宋体" w:hAnsi="宋体" w:cs="宋体"/>
                <w:kern w:val="0"/>
                <w:sz w:val="20"/>
                <w:szCs w:val="20"/>
              </w:rPr>
              <w:t>账务处理不及时扣2分；会计核算不规范一次扣1分；未专款专用发现一次扣1分；资金支付依据和开支标准不合规，一次扣0.5分。记账凭证和会计账簿未及时装订扣2分；装订不规范扣2分；归档保管不规范，扣1分。扣分不超过10分。</w:t>
            </w:r>
          </w:p>
        </w:tc>
      </w:tr>
      <w:tr w14:paraId="0EE12E5E">
        <w:tblPrEx>
          <w:tblCellMar>
            <w:top w:w="0" w:type="dxa"/>
            <w:left w:w="108" w:type="dxa"/>
            <w:bottom w:w="0" w:type="dxa"/>
            <w:right w:w="108" w:type="dxa"/>
          </w:tblCellMar>
        </w:tblPrEx>
        <w:trPr>
          <w:trHeight w:val="731" w:hRule="atLeast"/>
        </w:trPr>
        <w:tc>
          <w:tcPr>
            <w:tcW w:w="586" w:type="dxa"/>
            <w:vMerge w:val="continue"/>
            <w:tcBorders>
              <w:top w:val="nil"/>
              <w:left w:val="single" w:color="auto" w:sz="4" w:space="0"/>
              <w:bottom w:val="single" w:color="auto" w:sz="4" w:space="0"/>
              <w:right w:val="single" w:color="auto" w:sz="4" w:space="0"/>
            </w:tcBorders>
            <w:vAlign w:val="center"/>
          </w:tcPr>
          <w:p w14:paraId="00E8035A">
            <w:pPr>
              <w:widowControl/>
              <w:jc w:val="left"/>
              <w:rPr>
                <w:rFonts w:ascii="宋体" w:hAnsi="宋体" w:cs="宋体"/>
                <w:kern w:val="0"/>
                <w:sz w:val="20"/>
                <w:szCs w:val="20"/>
              </w:rPr>
            </w:pPr>
          </w:p>
        </w:tc>
        <w:tc>
          <w:tcPr>
            <w:tcW w:w="736" w:type="dxa"/>
            <w:vMerge w:val="continue"/>
            <w:tcBorders>
              <w:top w:val="nil"/>
              <w:left w:val="single" w:color="auto" w:sz="4" w:space="0"/>
              <w:bottom w:val="single" w:color="000000" w:sz="4" w:space="0"/>
              <w:right w:val="single" w:color="auto" w:sz="4" w:space="0"/>
            </w:tcBorders>
            <w:vAlign w:val="center"/>
          </w:tcPr>
          <w:p w14:paraId="3894D7A3">
            <w:pPr>
              <w:widowControl/>
              <w:jc w:val="left"/>
              <w:rPr>
                <w:rFonts w:ascii="宋体" w:hAnsi="宋体" w:cs="宋体"/>
                <w:kern w:val="0"/>
                <w:sz w:val="20"/>
                <w:szCs w:val="20"/>
              </w:rPr>
            </w:pPr>
          </w:p>
        </w:tc>
        <w:tc>
          <w:tcPr>
            <w:tcW w:w="1747" w:type="dxa"/>
            <w:tcBorders>
              <w:top w:val="nil"/>
              <w:left w:val="nil"/>
              <w:bottom w:val="single" w:color="auto" w:sz="4" w:space="0"/>
              <w:right w:val="single" w:color="auto" w:sz="4" w:space="0"/>
            </w:tcBorders>
            <w:shd w:val="clear" w:color="auto" w:fill="auto"/>
            <w:vAlign w:val="center"/>
          </w:tcPr>
          <w:p w14:paraId="129320FD">
            <w:pPr>
              <w:widowControl/>
              <w:jc w:val="left"/>
              <w:rPr>
                <w:rFonts w:ascii="宋体" w:hAnsi="宋体" w:cs="宋体"/>
                <w:kern w:val="0"/>
                <w:sz w:val="20"/>
                <w:szCs w:val="20"/>
              </w:rPr>
            </w:pPr>
            <w:r>
              <w:rPr>
                <w:rFonts w:hint="eastAsia" w:ascii="宋体" w:hAnsi="宋体" w:cs="宋体"/>
                <w:kern w:val="0"/>
                <w:sz w:val="20"/>
                <w:szCs w:val="20"/>
              </w:rPr>
              <w:t>政府采购（5分）</w:t>
            </w:r>
          </w:p>
        </w:tc>
        <w:tc>
          <w:tcPr>
            <w:tcW w:w="587" w:type="dxa"/>
            <w:tcBorders>
              <w:top w:val="nil"/>
              <w:left w:val="nil"/>
              <w:bottom w:val="single" w:color="auto" w:sz="4" w:space="0"/>
              <w:right w:val="single" w:color="auto" w:sz="4" w:space="0"/>
            </w:tcBorders>
            <w:shd w:val="clear" w:color="auto" w:fill="auto"/>
            <w:vAlign w:val="center"/>
          </w:tcPr>
          <w:p w14:paraId="70B34C63">
            <w:pPr>
              <w:widowControl/>
              <w:jc w:val="center"/>
              <w:rPr>
                <w:rFonts w:ascii="宋体" w:hAnsi="宋体" w:cs="宋体"/>
                <w:kern w:val="0"/>
                <w:sz w:val="20"/>
                <w:szCs w:val="20"/>
              </w:rPr>
            </w:pPr>
            <w:r>
              <w:rPr>
                <w:rFonts w:hint="eastAsia" w:ascii="宋体" w:hAnsi="宋体" w:cs="宋体"/>
                <w:kern w:val="0"/>
                <w:sz w:val="20"/>
                <w:szCs w:val="20"/>
              </w:rPr>
              <w:t>5</w:t>
            </w:r>
          </w:p>
        </w:tc>
        <w:tc>
          <w:tcPr>
            <w:tcW w:w="2035" w:type="dxa"/>
            <w:tcBorders>
              <w:top w:val="nil"/>
              <w:left w:val="nil"/>
              <w:bottom w:val="single" w:color="auto" w:sz="4" w:space="0"/>
              <w:right w:val="single" w:color="auto" w:sz="4" w:space="0"/>
            </w:tcBorders>
            <w:shd w:val="clear" w:color="auto" w:fill="auto"/>
            <w:vAlign w:val="center"/>
          </w:tcPr>
          <w:p w14:paraId="5C6A7A90">
            <w:pPr>
              <w:widowControl/>
              <w:jc w:val="left"/>
              <w:rPr>
                <w:rFonts w:ascii="宋体" w:hAnsi="宋体" w:cs="宋体"/>
                <w:kern w:val="0"/>
                <w:sz w:val="20"/>
                <w:szCs w:val="20"/>
              </w:rPr>
            </w:pPr>
            <w:r>
              <w:rPr>
                <w:rFonts w:hint="eastAsia" w:ascii="宋体" w:hAnsi="宋体" w:cs="宋体"/>
                <w:kern w:val="0"/>
                <w:sz w:val="20"/>
                <w:szCs w:val="20"/>
              </w:rPr>
              <w:t>是否按规定实施政府采购并符合法定程序。</w:t>
            </w:r>
          </w:p>
        </w:tc>
        <w:tc>
          <w:tcPr>
            <w:tcW w:w="3203" w:type="dxa"/>
            <w:tcBorders>
              <w:top w:val="nil"/>
              <w:left w:val="nil"/>
              <w:bottom w:val="single" w:color="auto" w:sz="4" w:space="0"/>
              <w:right w:val="single" w:color="auto" w:sz="4" w:space="0"/>
            </w:tcBorders>
            <w:shd w:val="clear" w:color="auto" w:fill="auto"/>
            <w:vAlign w:val="center"/>
          </w:tcPr>
          <w:p w14:paraId="54017579">
            <w:pPr>
              <w:widowControl/>
              <w:jc w:val="left"/>
              <w:rPr>
                <w:rFonts w:ascii="宋体" w:hAnsi="宋体" w:cs="宋体"/>
                <w:kern w:val="0"/>
                <w:sz w:val="20"/>
                <w:szCs w:val="20"/>
              </w:rPr>
            </w:pPr>
            <w:r>
              <w:rPr>
                <w:rFonts w:hint="eastAsia" w:ascii="宋体" w:hAnsi="宋体" w:cs="宋体"/>
                <w:kern w:val="0"/>
                <w:sz w:val="20"/>
                <w:szCs w:val="20"/>
              </w:rPr>
              <w:t>违反一次扣1分。扣分不超过5分。</w:t>
            </w:r>
          </w:p>
        </w:tc>
      </w:tr>
      <w:tr w14:paraId="7FE85CE3">
        <w:tblPrEx>
          <w:tblCellMar>
            <w:top w:w="0" w:type="dxa"/>
            <w:left w:w="108" w:type="dxa"/>
            <w:bottom w:w="0" w:type="dxa"/>
            <w:right w:w="108" w:type="dxa"/>
          </w:tblCellMar>
        </w:tblPrEx>
        <w:trPr>
          <w:trHeight w:val="838" w:hRule="atLeast"/>
        </w:trPr>
        <w:tc>
          <w:tcPr>
            <w:tcW w:w="586" w:type="dxa"/>
            <w:vMerge w:val="continue"/>
            <w:tcBorders>
              <w:top w:val="nil"/>
              <w:left w:val="single" w:color="auto" w:sz="4" w:space="0"/>
              <w:bottom w:val="single" w:color="auto" w:sz="4" w:space="0"/>
              <w:right w:val="single" w:color="auto" w:sz="4" w:space="0"/>
            </w:tcBorders>
            <w:vAlign w:val="center"/>
          </w:tcPr>
          <w:p w14:paraId="1A68F6A6">
            <w:pPr>
              <w:widowControl/>
              <w:jc w:val="left"/>
              <w:rPr>
                <w:rFonts w:ascii="宋体" w:hAnsi="宋体" w:cs="宋体"/>
                <w:kern w:val="0"/>
                <w:sz w:val="20"/>
                <w:szCs w:val="20"/>
              </w:rPr>
            </w:pPr>
          </w:p>
        </w:tc>
        <w:tc>
          <w:tcPr>
            <w:tcW w:w="736" w:type="dxa"/>
            <w:vMerge w:val="continue"/>
            <w:tcBorders>
              <w:top w:val="nil"/>
              <w:left w:val="single" w:color="auto" w:sz="4" w:space="0"/>
              <w:bottom w:val="single" w:color="000000" w:sz="4" w:space="0"/>
              <w:right w:val="single" w:color="auto" w:sz="4" w:space="0"/>
            </w:tcBorders>
            <w:vAlign w:val="center"/>
          </w:tcPr>
          <w:p w14:paraId="631199E0">
            <w:pPr>
              <w:widowControl/>
              <w:jc w:val="left"/>
              <w:rPr>
                <w:rFonts w:ascii="宋体" w:hAnsi="宋体" w:cs="宋体"/>
                <w:kern w:val="0"/>
                <w:sz w:val="20"/>
                <w:szCs w:val="20"/>
              </w:rPr>
            </w:pPr>
          </w:p>
        </w:tc>
        <w:tc>
          <w:tcPr>
            <w:tcW w:w="1747" w:type="dxa"/>
            <w:tcBorders>
              <w:top w:val="nil"/>
              <w:left w:val="nil"/>
              <w:bottom w:val="single" w:color="auto" w:sz="4" w:space="0"/>
              <w:right w:val="single" w:color="auto" w:sz="4" w:space="0"/>
            </w:tcBorders>
            <w:shd w:val="clear" w:color="auto" w:fill="auto"/>
            <w:noWrap/>
            <w:vAlign w:val="center"/>
          </w:tcPr>
          <w:p w14:paraId="195CCF43">
            <w:pPr>
              <w:widowControl/>
              <w:jc w:val="left"/>
              <w:rPr>
                <w:rFonts w:ascii="宋体" w:hAnsi="宋体" w:cs="宋体"/>
                <w:kern w:val="0"/>
                <w:sz w:val="20"/>
                <w:szCs w:val="20"/>
              </w:rPr>
            </w:pPr>
            <w:r>
              <w:rPr>
                <w:rFonts w:hint="eastAsia" w:ascii="宋体" w:hAnsi="宋体" w:cs="宋体"/>
                <w:kern w:val="0"/>
                <w:sz w:val="20"/>
                <w:szCs w:val="20"/>
              </w:rPr>
              <w:t>资金支付（10分）</w:t>
            </w:r>
          </w:p>
        </w:tc>
        <w:tc>
          <w:tcPr>
            <w:tcW w:w="587" w:type="dxa"/>
            <w:tcBorders>
              <w:top w:val="nil"/>
              <w:left w:val="nil"/>
              <w:bottom w:val="single" w:color="auto" w:sz="4" w:space="0"/>
              <w:right w:val="single" w:color="auto" w:sz="4" w:space="0"/>
            </w:tcBorders>
            <w:shd w:val="clear" w:color="auto" w:fill="auto"/>
            <w:noWrap/>
            <w:vAlign w:val="center"/>
          </w:tcPr>
          <w:p w14:paraId="785677C6">
            <w:pPr>
              <w:widowControl/>
              <w:jc w:val="center"/>
              <w:rPr>
                <w:rFonts w:ascii="宋体" w:hAnsi="宋体" w:cs="宋体"/>
                <w:kern w:val="0"/>
                <w:sz w:val="20"/>
                <w:szCs w:val="20"/>
              </w:rPr>
            </w:pPr>
            <w:r>
              <w:rPr>
                <w:rFonts w:hint="eastAsia" w:ascii="宋体" w:hAnsi="宋体" w:cs="宋体"/>
                <w:kern w:val="0"/>
                <w:sz w:val="20"/>
                <w:szCs w:val="20"/>
              </w:rPr>
              <w:t>5</w:t>
            </w:r>
          </w:p>
        </w:tc>
        <w:tc>
          <w:tcPr>
            <w:tcW w:w="2035" w:type="dxa"/>
            <w:tcBorders>
              <w:top w:val="nil"/>
              <w:left w:val="nil"/>
              <w:bottom w:val="single" w:color="auto" w:sz="4" w:space="0"/>
              <w:right w:val="single" w:color="auto" w:sz="4" w:space="0"/>
            </w:tcBorders>
            <w:shd w:val="clear" w:color="auto" w:fill="auto"/>
            <w:vAlign w:val="center"/>
          </w:tcPr>
          <w:p w14:paraId="2DA7AA16">
            <w:pPr>
              <w:widowControl/>
              <w:jc w:val="left"/>
              <w:rPr>
                <w:rFonts w:ascii="宋体" w:hAnsi="宋体" w:cs="宋体"/>
                <w:kern w:val="0"/>
                <w:sz w:val="20"/>
                <w:szCs w:val="20"/>
              </w:rPr>
            </w:pPr>
            <w:r>
              <w:rPr>
                <w:rFonts w:hint="eastAsia" w:ascii="宋体" w:hAnsi="宋体" w:cs="宋体"/>
                <w:kern w:val="0"/>
                <w:sz w:val="20"/>
                <w:szCs w:val="20"/>
              </w:rPr>
              <w:t>现金支付是否符合相关规定；规定使用公务卡支付的款项是否按照规定使用公务卡支付。</w:t>
            </w:r>
          </w:p>
        </w:tc>
        <w:tc>
          <w:tcPr>
            <w:tcW w:w="3203" w:type="dxa"/>
            <w:tcBorders>
              <w:top w:val="nil"/>
              <w:left w:val="nil"/>
              <w:bottom w:val="single" w:color="auto" w:sz="4" w:space="0"/>
              <w:right w:val="single" w:color="auto" w:sz="4" w:space="0"/>
            </w:tcBorders>
            <w:shd w:val="clear" w:color="auto" w:fill="auto"/>
            <w:vAlign w:val="center"/>
          </w:tcPr>
          <w:p w14:paraId="2754EFFC">
            <w:pPr>
              <w:widowControl/>
              <w:jc w:val="left"/>
              <w:rPr>
                <w:rFonts w:ascii="宋体" w:hAnsi="宋体" w:cs="宋体"/>
                <w:kern w:val="0"/>
                <w:sz w:val="20"/>
                <w:szCs w:val="20"/>
              </w:rPr>
            </w:pPr>
            <w:r>
              <w:rPr>
                <w:rFonts w:hint="eastAsia" w:ascii="宋体" w:hAnsi="宋体" w:cs="宋体"/>
                <w:kern w:val="0"/>
                <w:sz w:val="20"/>
                <w:szCs w:val="20"/>
              </w:rPr>
              <w:t>现金支付不符合规定一次扣0.5分；未按规定使用公务卡支付一次扣0.5分。扣分不超过10分</w:t>
            </w:r>
          </w:p>
        </w:tc>
      </w:tr>
      <w:tr w14:paraId="7E3E9A41">
        <w:tblPrEx>
          <w:tblCellMar>
            <w:top w:w="0" w:type="dxa"/>
            <w:left w:w="108" w:type="dxa"/>
            <w:bottom w:w="0" w:type="dxa"/>
            <w:right w:w="108" w:type="dxa"/>
          </w:tblCellMar>
        </w:tblPrEx>
        <w:trPr>
          <w:trHeight w:val="1524" w:hRule="atLeast"/>
        </w:trPr>
        <w:tc>
          <w:tcPr>
            <w:tcW w:w="586" w:type="dxa"/>
            <w:vMerge w:val="continue"/>
            <w:tcBorders>
              <w:top w:val="nil"/>
              <w:left w:val="single" w:color="auto" w:sz="4" w:space="0"/>
              <w:bottom w:val="single" w:color="auto" w:sz="4" w:space="0"/>
              <w:right w:val="single" w:color="auto" w:sz="4" w:space="0"/>
            </w:tcBorders>
            <w:vAlign w:val="center"/>
          </w:tcPr>
          <w:p w14:paraId="41E03AC5">
            <w:pPr>
              <w:widowControl/>
              <w:jc w:val="left"/>
              <w:rPr>
                <w:rFonts w:ascii="宋体" w:hAnsi="宋体" w:cs="宋体"/>
                <w:kern w:val="0"/>
                <w:sz w:val="20"/>
                <w:szCs w:val="20"/>
              </w:rPr>
            </w:pPr>
          </w:p>
        </w:tc>
        <w:tc>
          <w:tcPr>
            <w:tcW w:w="736" w:type="dxa"/>
            <w:vMerge w:val="continue"/>
            <w:tcBorders>
              <w:top w:val="nil"/>
              <w:left w:val="single" w:color="auto" w:sz="4" w:space="0"/>
              <w:bottom w:val="single" w:color="000000" w:sz="4" w:space="0"/>
              <w:right w:val="single" w:color="auto" w:sz="4" w:space="0"/>
            </w:tcBorders>
            <w:vAlign w:val="center"/>
          </w:tcPr>
          <w:p w14:paraId="2C414126">
            <w:pPr>
              <w:widowControl/>
              <w:jc w:val="left"/>
              <w:rPr>
                <w:rFonts w:ascii="宋体" w:hAnsi="宋体" w:cs="宋体"/>
                <w:kern w:val="0"/>
                <w:sz w:val="20"/>
                <w:szCs w:val="20"/>
              </w:rPr>
            </w:pPr>
          </w:p>
        </w:tc>
        <w:tc>
          <w:tcPr>
            <w:tcW w:w="1747" w:type="dxa"/>
            <w:tcBorders>
              <w:top w:val="nil"/>
              <w:left w:val="nil"/>
              <w:bottom w:val="single" w:color="auto" w:sz="4" w:space="0"/>
              <w:right w:val="single" w:color="auto" w:sz="4" w:space="0"/>
            </w:tcBorders>
            <w:shd w:val="clear" w:color="auto" w:fill="auto"/>
            <w:vAlign w:val="center"/>
          </w:tcPr>
          <w:p w14:paraId="090597D8">
            <w:pPr>
              <w:widowControl/>
              <w:jc w:val="left"/>
              <w:rPr>
                <w:rFonts w:ascii="宋体" w:hAnsi="宋体" w:cs="宋体"/>
                <w:kern w:val="0"/>
                <w:sz w:val="20"/>
                <w:szCs w:val="20"/>
              </w:rPr>
            </w:pPr>
            <w:r>
              <w:rPr>
                <w:rFonts w:hint="eastAsia" w:ascii="宋体" w:hAnsi="宋体" w:cs="宋体"/>
                <w:kern w:val="0"/>
                <w:sz w:val="20"/>
                <w:szCs w:val="20"/>
              </w:rPr>
              <w:t>资金使用合规性（10分）</w:t>
            </w:r>
          </w:p>
        </w:tc>
        <w:tc>
          <w:tcPr>
            <w:tcW w:w="587" w:type="dxa"/>
            <w:tcBorders>
              <w:top w:val="nil"/>
              <w:left w:val="nil"/>
              <w:bottom w:val="single" w:color="auto" w:sz="4" w:space="0"/>
              <w:right w:val="single" w:color="auto" w:sz="4" w:space="0"/>
            </w:tcBorders>
            <w:shd w:val="clear" w:color="auto" w:fill="auto"/>
            <w:vAlign w:val="center"/>
          </w:tcPr>
          <w:p w14:paraId="073B86E2">
            <w:pPr>
              <w:widowControl/>
              <w:jc w:val="center"/>
              <w:rPr>
                <w:rFonts w:ascii="宋体" w:hAnsi="宋体" w:cs="宋体"/>
                <w:kern w:val="0"/>
                <w:sz w:val="20"/>
                <w:szCs w:val="20"/>
              </w:rPr>
            </w:pPr>
            <w:r>
              <w:rPr>
                <w:rFonts w:hint="eastAsia" w:ascii="宋体" w:hAnsi="宋体" w:cs="宋体"/>
                <w:kern w:val="0"/>
                <w:sz w:val="20"/>
                <w:szCs w:val="20"/>
              </w:rPr>
              <w:t>9</w:t>
            </w:r>
          </w:p>
        </w:tc>
        <w:tc>
          <w:tcPr>
            <w:tcW w:w="2035" w:type="dxa"/>
            <w:tcBorders>
              <w:top w:val="nil"/>
              <w:left w:val="nil"/>
              <w:bottom w:val="single" w:color="auto" w:sz="4" w:space="0"/>
              <w:right w:val="single" w:color="auto" w:sz="4" w:space="0"/>
            </w:tcBorders>
            <w:shd w:val="clear" w:color="auto" w:fill="auto"/>
            <w:vAlign w:val="center"/>
          </w:tcPr>
          <w:p w14:paraId="538053B9">
            <w:pPr>
              <w:widowControl/>
              <w:jc w:val="left"/>
              <w:rPr>
                <w:rFonts w:ascii="宋体" w:hAnsi="宋体" w:cs="宋体"/>
                <w:kern w:val="0"/>
                <w:sz w:val="20"/>
                <w:szCs w:val="20"/>
              </w:rPr>
            </w:pPr>
            <w:r>
              <w:rPr>
                <w:rFonts w:hint="eastAsia" w:ascii="宋体" w:hAnsi="宋体" w:cs="宋体"/>
                <w:kern w:val="0"/>
                <w:sz w:val="20"/>
                <w:szCs w:val="20"/>
              </w:rPr>
              <w:t>①支出符合国家财经法规和财务管理制度规定以及有关专项资金管理办法的规定； ②资金拨付有完整的审批程序和手续； ③支出符合部门预算批复的用途；  ④资金使用无截留、挤占、挪用、虚列支出等情况。 以上情况每出现一例不符合要求的扣1分，扣完为止。</w:t>
            </w:r>
          </w:p>
        </w:tc>
        <w:tc>
          <w:tcPr>
            <w:tcW w:w="3203" w:type="dxa"/>
            <w:tcBorders>
              <w:top w:val="nil"/>
              <w:left w:val="nil"/>
              <w:bottom w:val="single" w:color="auto" w:sz="4" w:space="0"/>
              <w:right w:val="single" w:color="auto" w:sz="4" w:space="0"/>
            </w:tcBorders>
            <w:shd w:val="clear" w:color="auto" w:fill="auto"/>
            <w:vAlign w:val="center"/>
          </w:tcPr>
          <w:p w14:paraId="70A91AB7">
            <w:pPr>
              <w:widowControl/>
              <w:jc w:val="left"/>
              <w:rPr>
                <w:rFonts w:ascii="宋体" w:hAnsi="宋体" w:cs="宋体"/>
                <w:kern w:val="0"/>
                <w:sz w:val="20"/>
                <w:szCs w:val="20"/>
              </w:rPr>
            </w:pPr>
            <w:r>
              <w:rPr>
                <w:rFonts w:hint="eastAsia" w:ascii="宋体" w:hAnsi="宋体" w:cs="宋体"/>
                <w:kern w:val="0"/>
                <w:sz w:val="20"/>
                <w:szCs w:val="20"/>
              </w:rPr>
              <w:t>部门（单位）使用预算资金是否符合相关的预算财务管理制度的规定，用以反映和考核部门（单位）预算资金的规范运行情况。</w:t>
            </w:r>
          </w:p>
        </w:tc>
      </w:tr>
      <w:tr w14:paraId="6C07137A">
        <w:tblPrEx>
          <w:tblCellMar>
            <w:top w:w="0" w:type="dxa"/>
            <w:left w:w="108" w:type="dxa"/>
            <w:bottom w:w="0" w:type="dxa"/>
            <w:right w:w="108" w:type="dxa"/>
          </w:tblCellMar>
        </w:tblPrEx>
        <w:trPr>
          <w:trHeight w:val="1234" w:hRule="atLeast"/>
        </w:trPr>
        <w:tc>
          <w:tcPr>
            <w:tcW w:w="586" w:type="dxa"/>
            <w:vMerge w:val="continue"/>
            <w:tcBorders>
              <w:top w:val="nil"/>
              <w:left w:val="single" w:color="auto" w:sz="4" w:space="0"/>
              <w:bottom w:val="single" w:color="auto" w:sz="4" w:space="0"/>
              <w:right w:val="single" w:color="auto" w:sz="4" w:space="0"/>
            </w:tcBorders>
            <w:vAlign w:val="center"/>
          </w:tcPr>
          <w:p w14:paraId="4867F852">
            <w:pPr>
              <w:widowControl/>
              <w:jc w:val="left"/>
              <w:rPr>
                <w:rFonts w:ascii="宋体" w:hAnsi="宋体" w:cs="宋体"/>
                <w:kern w:val="0"/>
                <w:sz w:val="20"/>
                <w:szCs w:val="20"/>
              </w:rPr>
            </w:pPr>
          </w:p>
        </w:tc>
        <w:tc>
          <w:tcPr>
            <w:tcW w:w="736" w:type="dxa"/>
            <w:vMerge w:val="continue"/>
            <w:tcBorders>
              <w:top w:val="nil"/>
              <w:left w:val="single" w:color="auto" w:sz="4" w:space="0"/>
              <w:bottom w:val="single" w:color="000000" w:sz="4" w:space="0"/>
              <w:right w:val="single" w:color="auto" w:sz="4" w:space="0"/>
            </w:tcBorders>
            <w:vAlign w:val="center"/>
          </w:tcPr>
          <w:p w14:paraId="36073F3A">
            <w:pPr>
              <w:widowControl/>
              <w:jc w:val="left"/>
              <w:rPr>
                <w:rFonts w:ascii="宋体" w:hAnsi="宋体" w:cs="宋体"/>
                <w:kern w:val="0"/>
                <w:sz w:val="20"/>
                <w:szCs w:val="20"/>
              </w:rPr>
            </w:pPr>
          </w:p>
        </w:tc>
        <w:tc>
          <w:tcPr>
            <w:tcW w:w="1747" w:type="dxa"/>
            <w:tcBorders>
              <w:top w:val="nil"/>
              <w:left w:val="nil"/>
              <w:bottom w:val="nil"/>
              <w:right w:val="single" w:color="auto" w:sz="4" w:space="0"/>
            </w:tcBorders>
            <w:shd w:val="clear" w:color="auto" w:fill="auto"/>
            <w:vAlign w:val="center"/>
          </w:tcPr>
          <w:p w14:paraId="02E64EF6">
            <w:pPr>
              <w:widowControl/>
              <w:jc w:val="left"/>
              <w:rPr>
                <w:rFonts w:ascii="宋体" w:hAnsi="宋体" w:cs="宋体"/>
                <w:kern w:val="0"/>
                <w:sz w:val="20"/>
                <w:szCs w:val="20"/>
              </w:rPr>
            </w:pPr>
            <w:r>
              <w:rPr>
                <w:rFonts w:hint="eastAsia" w:ascii="宋体" w:hAnsi="宋体" w:cs="宋体"/>
                <w:kern w:val="0"/>
                <w:sz w:val="20"/>
                <w:szCs w:val="20"/>
              </w:rPr>
              <w:t>资产管理安全性（5分）</w:t>
            </w:r>
          </w:p>
        </w:tc>
        <w:tc>
          <w:tcPr>
            <w:tcW w:w="587" w:type="dxa"/>
            <w:tcBorders>
              <w:top w:val="nil"/>
              <w:left w:val="nil"/>
              <w:bottom w:val="nil"/>
              <w:right w:val="single" w:color="auto" w:sz="4" w:space="0"/>
            </w:tcBorders>
            <w:shd w:val="clear" w:color="auto" w:fill="auto"/>
            <w:vAlign w:val="center"/>
          </w:tcPr>
          <w:p w14:paraId="22AD42DE">
            <w:pPr>
              <w:widowControl/>
              <w:jc w:val="center"/>
              <w:rPr>
                <w:rFonts w:ascii="宋体" w:hAnsi="宋体" w:cs="宋体"/>
                <w:kern w:val="0"/>
                <w:sz w:val="20"/>
                <w:szCs w:val="20"/>
              </w:rPr>
            </w:pPr>
            <w:r>
              <w:rPr>
                <w:rFonts w:hint="eastAsia" w:ascii="宋体" w:hAnsi="宋体" w:cs="宋体"/>
                <w:kern w:val="0"/>
                <w:sz w:val="20"/>
                <w:szCs w:val="20"/>
              </w:rPr>
              <w:t>5</w:t>
            </w:r>
          </w:p>
        </w:tc>
        <w:tc>
          <w:tcPr>
            <w:tcW w:w="2035" w:type="dxa"/>
            <w:tcBorders>
              <w:top w:val="nil"/>
              <w:left w:val="nil"/>
              <w:bottom w:val="single" w:color="auto" w:sz="4" w:space="0"/>
              <w:right w:val="single" w:color="auto" w:sz="4" w:space="0"/>
            </w:tcBorders>
            <w:shd w:val="clear" w:color="auto" w:fill="auto"/>
            <w:vAlign w:val="center"/>
          </w:tcPr>
          <w:p w14:paraId="5A09CEAB">
            <w:pPr>
              <w:widowControl/>
              <w:jc w:val="left"/>
              <w:rPr>
                <w:rFonts w:ascii="宋体" w:hAnsi="宋体" w:cs="宋体"/>
                <w:kern w:val="0"/>
                <w:sz w:val="20"/>
                <w:szCs w:val="20"/>
              </w:rPr>
            </w:pPr>
            <w:r>
              <w:rPr>
                <w:rFonts w:hint="eastAsia" w:ascii="宋体" w:hAnsi="宋体" w:cs="宋体"/>
                <w:kern w:val="0"/>
                <w:sz w:val="20"/>
                <w:szCs w:val="20"/>
              </w:rPr>
              <w:t>①资产保存完整； ②资产配置合理； ③资产处置规范； ④资产账务管理合规，帐实相符； ⑤资产有偿使用及处置收入及时足额上缴； 以上情况每出现一例不符合有关要求的扣1分，扣完为止。</w:t>
            </w:r>
          </w:p>
        </w:tc>
        <w:tc>
          <w:tcPr>
            <w:tcW w:w="3203" w:type="dxa"/>
            <w:tcBorders>
              <w:top w:val="nil"/>
              <w:left w:val="nil"/>
              <w:bottom w:val="single" w:color="auto" w:sz="4" w:space="0"/>
              <w:right w:val="single" w:color="auto" w:sz="4" w:space="0"/>
            </w:tcBorders>
            <w:shd w:val="clear" w:color="auto" w:fill="auto"/>
            <w:vAlign w:val="center"/>
          </w:tcPr>
          <w:p w14:paraId="4B8F4531">
            <w:pPr>
              <w:widowControl/>
              <w:jc w:val="left"/>
              <w:rPr>
                <w:rFonts w:ascii="宋体" w:hAnsi="宋体" w:cs="宋体"/>
                <w:kern w:val="0"/>
                <w:sz w:val="20"/>
                <w:szCs w:val="20"/>
              </w:rPr>
            </w:pPr>
            <w:r>
              <w:rPr>
                <w:rFonts w:hint="eastAsia" w:ascii="宋体" w:hAnsi="宋体" w:cs="宋体"/>
                <w:kern w:val="0"/>
                <w:sz w:val="20"/>
                <w:szCs w:val="20"/>
              </w:rPr>
              <w:t>部门（单位）的资产是否保存完整，使用合规、配置合理、处置规范、收入及时足额上缴，用以反映和考核部门（单位）资产安全运行情况</w:t>
            </w:r>
          </w:p>
        </w:tc>
      </w:tr>
      <w:tr w14:paraId="1616EA00">
        <w:tblPrEx>
          <w:tblCellMar>
            <w:top w:w="0" w:type="dxa"/>
            <w:left w:w="108" w:type="dxa"/>
            <w:bottom w:w="0" w:type="dxa"/>
            <w:right w:w="108" w:type="dxa"/>
          </w:tblCellMar>
        </w:tblPrEx>
        <w:trPr>
          <w:trHeight w:val="549" w:hRule="atLeast"/>
        </w:trPr>
        <w:tc>
          <w:tcPr>
            <w:tcW w:w="586" w:type="dxa"/>
            <w:vMerge w:val="restart"/>
            <w:tcBorders>
              <w:top w:val="nil"/>
              <w:left w:val="single" w:color="auto" w:sz="4" w:space="0"/>
              <w:bottom w:val="single" w:color="000000" w:sz="4" w:space="0"/>
              <w:right w:val="single" w:color="auto" w:sz="4" w:space="0"/>
            </w:tcBorders>
            <w:shd w:val="clear" w:color="auto" w:fill="auto"/>
            <w:vAlign w:val="center"/>
          </w:tcPr>
          <w:p w14:paraId="218EE48D">
            <w:pPr>
              <w:widowControl/>
              <w:jc w:val="center"/>
              <w:rPr>
                <w:rFonts w:ascii="宋体" w:hAnsi="宋体" w:cs="宋体"/>
                <w:kern w:val="0"/>
                <w:sz w:val="20"/>
                <w:szCs w:val="20"/>
              </w:rPr>
            </w:pPr>
            <w:r>
              <w:rPr>
                <w:rFonts w:hint="eastAsia" w:ascii="宋体" w:hAnsi="宋体" w:cs="宋体"/>
                <w:kern w:val="0"/>
                <w:sz w:val="20"/>
                <w:szCs w:val="20"/>
              </w:rPr>
              <w:t>支出绩效（25</w:t>
            </w:r>
            <w:r>
              <w:rPr>
                <w:rFonts w:hint="eastAsia" w:ascii="宋体" w:hAnsi="宋体" w:cs="宋体"/>
                <w:color w:val="000000"/>
                <w:kern w:val="0"/>
                <w:sz w:val="20"/>
                <w:szCs w:val="20"/>
              </w:rPr>
              <w:t>分</w:t>
            </w:r>
            <w:r>
              <w:rPr>
                <w:rFonts w:hint="eastAsia" w:ascii="宋体" w:hAnsi="宋体" w:cs="宋体"/>
                <w:kern w:val="0"/>
                <w:sz w:val="20"/>
                <w:szCs w:val="20"/>
              </w:rPr>
              <w:t>）</w:t>
            </w:r>
          </w:p>
        </w:tc>
        <w:tc>
          <w:tcPr>
            <w:tcW w:w="736" w:type="dxa"/>
            <w:vMerge w:val="restart"/>
            <w:tcBorders>
              <w:top w:val="nil"/>
              <w:left w:val="single" w:color="auto" w:sz="4" w:space="0"/>
              <w:bottom w:val="single" w:color="000000" w:sz="4" w:space="0"/>
              <w:right w:val="single" w:color="auto" w:sz="4" w:space="0"/>
            </w:tcBorders>
            <w:shd w:val="clear" w:color="auto" w:fill="auto"/>
            <w:vAlign w:val="center"/>
          </w:tcPr>
          <w:p w14:paraId="376EDCBF">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绩效评价（25分）</w:t>
            </w:r>
          </w:p>
        </w:tc>
        <w:tc>
          <w:tcPr>
            <w:tcW w:w="1747" w:type="dxa"/>
            <w:tcBorders>
              <w:top w:val="single" w:color="auto" w:sz="4" w:space="0"/>
              <w:left w:val="nil"/>
              <w:bottom w:val="single" w:color="auto" w:sz="4" w:space="0"/>
              <w:right w:val="single" w:color="auto" w:sz="4" w:space="0"/>
            </w:tcBorders>
            <w:shd w:val="clear" w:color="auto" w:fill="auto"/>
            <w:noWrap/>
            <w:vAlign w:val="center"/>
          </w:tcPr>
          <w:p w14:paraId="45B2ADF4">
            <w:pPr>
              <w:widowControl/>
              <w:jc w:val="left"/>
              <w:rPr>
                <w:rFonts w:ascii="宋体" w:hAnsi="宋体" w:cs="宋体"/>
                <w:kern w:val="0"/>
                <w:sz w:val="20"/>
                <w:szCs w:val="20"/>
              </w:rPr>
            </w:pPr>
            <w:r>
              <w:rPr>
                <w:rFonts w:hint="eastAsia" w:ascii="宋体" w:hAnsi="宋体" w:cs="宋体"/>
                <w:kern w:val="0"/>
                <w:sz w:val="20"/>
                <w:szCs w:val="20"/>
              </w:rPr>
              <w:t>绩效自评（5</w:t>
            </w:r>
            <w:r>
              <w:rPr>
                <w:rFonts w:hint="eastAsia" w:ascii="宋体" w:hAnsi="宋体" w:cs="宋体"/>
                <w:color w:val="000000"/>
                <w:kern w:val="0"/>
                <w:sz w:val="20"/>
                <w:szCs w:val="20"/>
              </w:rPr>
              <w:t>分）</w:t>
            </w:r>
          </w:p>
        </w:tc>
        <w:tc>
          <w:tcPr>
            <w:tcW w:w="587" w:type="dxa"/>
            <w:tcBorders>
              <w:top w:val="single" w:color="auto" w:sz="4" w:space="0"/>
              <w:left w:val="nil"/>
              <w:bottom w:val="single" w:color="auto" w:sz="4" w:space="0"/>
              <w:right w:val="single" w:color="auto" w:sz="4" w:space="0"/>
            </w:tcBorders>
            <w:shd w:val="clear" w:color="auto" w:fill="auto"/>
            <w:noWrap/>
            <w:vAlign w:val="center"/>
          </w:tcPr>
          <w:p w14:paraId="06771FCC">
            <w:pPr>
              <w:widowControl/>
              <w:jc w:val="center"/>
              <w:rPr>
                <w:rFonts w:ascii="宋体" w:hAnsi="宋体" w:cs="宋体"/>
                <w:kern w:val="0"/>
                <w:sz w:val="20"/>
                <w:szCs w:val="20"/>
              </w:rPr>
            </w:pPr>
            <w:r>
              <w:rPr>
                <w:rFonts w:hint="eastAsia" w:ascii="宋体" w:hAnsi="宋体" w:cs="宋体"/>
                <w:kern w:val="0"/>
                <w:sz w:val="20"/>
                <w:szCs w:val="20"/>
              </w:rPr>
              <w:t>4</w:t>
            </w:r>
          </w:p>
        </w:tc>
        <w:tc>
          <w:tcPr>
            <w:tcW w:w="2035" w:type="dxa"/>
            <w:tcBorders>
              <w:top w:val="nil"/>
              <w:left w:val="nil"/>
              <w:bottom w:val="single" w:color="auto" w:sz="4" w:space="0"/>
              <w:right w:val="single" w:color="auto" w:sz="4" w:space="0"/>
            </w:tcBorders>
            <w:shd w:val="clear" w:color="auto" w:fill="auto"/>
            <w:vAlign w:val="center"/>
          </w:tcPr>
          <w:p w14:paraId="0BC8598C">
            <w:pPr>
              <w:widowControl/>
              <w:jc w:val="left"/>
              <w:rPr>
                <w:rFonts w:ascii="宋体" w:hAnsi="宋体" w:cs="宋体"/>
                <w:kern w:val="0"/>
                <w:sz w:val="20"/>
                <w:szCs w:val="20"/>
              </w:rPr>
            </w:pPr>
            <w:r>
              <w:rPr>
                <w:rFonts w:hint="eastAsia" w:ascii="宋体" w:hAnsi="宋体" w:cs="宋体"/>
                <w:kern w:val="0"/>
                <w:sz w:val="20"/>
                <w:szCs w:val="20"/>
              </w:rPr>
              <w:t>单位部门预算绩效评价自评工作开展情况</w:t>
            </w:r>
          </w:p>
        </w:tc>
        <w:tc>
          <w:tcPr>
            <w:tcW w:w="3203" w:type="dxa"/>
            <w:tcBorders>
              <w:top w:val="nil"/>
              <w:left w:val="nil"/>
              <w:bottom w:val="single" w:color="auto" w:sz="4" w:space="0"/>
              <w:right w:val="single" w:color="auto" w:sz="4" w:space="0"/>
            </w:tcBorders>
            <w:shd w:val="clear" w:color="auto" w:fill="auto"/>
            <w:vAlign w:val="center"/>
          </w:tcPr>
          <w:p w14:paraId="792A6EB3">
            <w:pPr>
              <w:widowControl/>
              <w:jc w:val="left"/>
              <w:rPr>
                <w:rFonts w:ascii="宋体" w:hAnsi="宋体" w:cs="宋体"/>
                <w:kern w:val="0"/>
                <w:sz w:val="20"/>
                <w:szCs w:val="20"/>
              </w:rPr>
            </w:pPr>
            <w:r>
              <w:rPr>
                <w:rFonts w:hint="eastAsia" w:ascii="宋体" w:hAnsi="宋体" w:cs="宋体"/>
                <w:kern w:val="0"/>
                <w:sz w:val="20"/>
                <w:szCs w:val="20"/>
              </w:rPr>
              <w:t>　</w:t>
            </w:r>
          </w:p>
        </w:tc>
      </w:tr>
      <w:tr w14:paraId="22C58196">
        <w:tblPrEx>
          <w:tblCellMar>
            <w:top w:w="0" w:type="dxa"/>
            <w:left w:w="108" w:type="dxa"/>
            <w:bottom w:w="0" w:type="dxa"/>
            <w:right w:w="108" w:type="dxa"/>
          </w:tblCellMar>
        </w:tblPrEx>
        <w:trPr>
          <w:trHeight w:val="1006" w:hRule="atLeast"/>
        </w:trPr>
        <w:tc>
          <w:tcPr>
            <w:tcW w:w="586" w:type="dxa"/>
            <w:vMerge w:val="continue"/>
            <w:tcBorders>
              <w:top w:val="nil"/>
              <w:left w:val="single" w:color="auto" w:sz="4" w:space="0"/>
              <w:bottom w:val="single" w:color="000000" w:sz="4" w:space="0"/>
              <w:right w:val="single" w:color="auto" w:sz="4" w:space="0"/>
            </w:tcBorders>
            <w:vAlign w:val="center"/>
          </w:tcPr>
          <w:p w14:paraId="37AC0B74">
            <w:pPr>
              <w:widowControl/>
              <w:jc w:val="left"/>
              <w:rPr>
                <w:rFonts w:ascii="宋体" w:hAnsi="宋体" w:cs="宋体"/>
                <w:kern w:val="0"/>
                <w:sz w:val="20"/>
                <w:szCs w:val="20"/>
              </w:rPr>
            </w:pPr>
          </w:p>
        </w:tc>
        <w:tc>
          <w:tcPr>
            <w:tcW w:w="736" w:type="dxa"/>
            <w:vMerge w:val="continue"/>
            <w:tcBorders>
              <w:top w:val="nil"/>
              <w:left w:val="single" w:color="auto" w:sz="4" w:space="0"/>
              <w:bottom w:val="single" w:color="000000" w:sz="4" w:space="0"/>
              <w:right w:val="single" w:color="auto" w:sz="4" w:space="0"/>
            </w:tcBorders>
            <w:vAlign w:val="center"/>
          </w:tcPr>
          <w:p w14:paraId="58F564DC">
            <w:pPr>
              <w:widowControl/>
              <w:jc w:val="left"/>
              <w:rPr>
                <w:rFonts w:ascii="宋体" w:hAnsi="宋体" w:cs="宋体"/>
                <w:color w:val="000000"/>
                <w:kern w:val="0"/>
                <w:sz w:val="20"/>
                <w:szCs w:val="20"/>
              </w:rPr>
            </w:pPr>
          </w:p>
        </w:tc>
        <w:tc>
          <w:tcPr>
            <w:tcW w:w="1747" w:type="dxa"/>
            <w:tcBorders>
              <w:top w:val="nil"/>
              <w:left w:val="nil"/>
              <w:bottom w:val="single" w:color="auto" w:sz="4" w:space="0"/>
              <w:right w:val="single" w:color="auto" w:sz="4" w:space="0"/>
            </w:tcBorders>
            <w:shd w:val="clear" w:color="auto" w:fill="auto"/>
            <w:noWrap/>
            <w:vAlign w:val="center"/>
          </w:tcPr>
          <w:p w14:paraId="7DADB998">
            <w:pPr>
              <w:widowControl/>
              <w:jc w:val="left"/>
              <w:rPr>
                <w:rFonts w:ascii="宋体" w:hAnsi="宋体" w:cs="宋体"/>
                <w:kern w:val="0"/>
                <w:sz w:val="20"/>
                <w:szCs w:val="20"/>
              </w:rPr>
            </w:pPr>
            <w:r>
              <w:rPr>
                <w:rFonts w:hint="eastAsia" w:ascii="宋体" w:hAnsi="宋体" w:cs="宋体"/>
                <w:kern w:val="0"/>
                <w:sz w:val="20"/>
                <w:szCs w:val="20"/>
              </w:rPr>
              <w:t>绩效考核（20</w:t>
            </w:r>
            <w:r>
              <w:rPr>
                <w:rFonts w:hint="eastAsia" w:ascii="宋体" w:hAnsi="宋体" w:cs="宋体"/>
                <w:color w:val="000000"/>
                <w:kern w:val="0"/>
                <w:sz w:val="20"/>
                <w:szCs w:val="20"/>
              </w:rPr>
              <w:t>分）</w:t>
            </w:r>
          </w:p>
        </w:tc>
        <w:tc>
          <w:tcPr>
            <w:tcW w:w="587" w:type="dxa"/>
            <w:tcBorders>
              <w:top w:val="nil"/>
              <w:left w:val="nil"/>
              <w:bottom w:val="single" w:color="auto" w:sz="4" w:space="0"/>
              <w:right w:val="single" w:color="auto" w:sz="4" w:space="0"/>
            </w:tcBorders>
            <w:shd w:val="clear" w:color="auto" w:fill="auto"/>
            <w:noWrap/>
            <w:vAlign w:val="center"/>
          </w:tcPr>
          <w:p w14:paraId="6502B933">
            <w:pPr>
              <w:widowControl/>
              <w:jc w:val="center"/>
              <w:rPr>
                <w:rFonts w:ascii="宋体" w:hAnsi="宋体" w:cs="宋体"/>
                <w:kern w:val="0"/>
                <w:sz w:val="20"/>
                <w:szCs w:val="20"/>
              </w:rPr>
            </w:pPr>
            <w:r>
              <w:rPr>
                <w:rFonts w:hint="eastAsia" w:ascii="宋体" w:hAnsi="宋体" w:cs="宋体"/>
                <w:kern w:val="0"/>
                <w:sz w:val="20"/>
                <w:szCs w:val="20"/>
              </w:rPr>
              <w:t>20</w:t>
            </w:r>
          </w:p>
        </w:tc>
        <w:tc>
          <w:tcPr>
            <w:tcW w:w="2035" w:type="dxa"/>
            <w:tcBorders>
              <w:top w:val="nil"/>
              <w:left w:val="nil"/>
              <w:bottom w:val="single" w:color="auto" w:sz="4" w:space="0"/>
              <w:right w:val="single" w:color="auto" w:sz="4" w:space="0"/>
            </w:tcBorders>
            <w:shd w:val="clear" w:color="auto" w:fill="auto"/>
            <w:vAlign w:val="center"/>
          </w:tcPr>
          <w:p w14:paraId="6968783F">
            <w:pPr>
              <w:widowControl/>
              <w:jc w:val="left"/>
              <w:rPr>
                <w:rFonts w:ascii="宋体" w:hAnsi="宋体" w:cs="宋体"/>
                <w:kern w:val="0"/>
                <w:sz w:val="20"/>
                <w:szCs w:val="20"/>
              </w:rPr>
            </w:pPr>
            <w:r>
              <w:rPr>
                <w:rFonts w:hint="eastAsia" w:ascii="宋体" w:hAnsi="宋体" w:cs="宋体"/>
                <w:kern w:val="0"/>
                <w:sz w:val="20"/>
                <w:szCs w:val="20"/>
              </w:rPr>
              <w:t>财政部门对单位进行绩效考评工作，包括项目决策、项目完成、项目管理、项目效果三个方面</w:t>
            </w:r>
          </w:p>
        </w:tc>
        <w:tc>
          <w:tcPr>
            <w:tcW w:w="3203" w:type="dxa"/>
            <w:tcBorders>
              <w:top w:val="nil"/>
              <w:left w:val="nil"/>
              <w:bottom w:val="single" w:color="auto" w:sz="4" w:space="0"/>
              <w:right w:val="single" w:color="auto" w:sz="4" w:space="0"/>
            </w:tcBorders>
            <w:shd w:val="clear" w:color="auto" w:fill="auto"/>
            <w:vAlign w:val="center"/>
          </w:tcPr>
          <w:p w14:paraId="6D46044B">
            <w:pPr>
              <w:widowControl/>
              <w:jc w:val="left"/>
              <w:rPr>
                <w:rFonts w:ascii="宋体" w:hAnsi="宋体" w:cs="宋体"/>
                <w:kern w:val="0"/>
                <w:sz w:val="20"/>
                <w:szCs w:val="20"/>
              </w:rPr>
            </w:pPr>
            <w:r>
              <w:rPr>
                <w:rFonts w:hint="eastAsia" w:ascii="宋体" w:hAnsi="宋体" w:cs="宋体"/>
                <w:kern w:val="0"/>
                <w:sz w:val="20"/>
                <w:szCs w:val="20"/>
              </w:rPr>
              <w:t>可参照项目支出绩效评价指标体系开展评价，并对专项预算项目支出绩效作出说明。</w:t>
            </w:r>
          </w:p>
        </w:tc>
      </w:tr>
      <w:tr w14:paraId="00DCD647">
        <w:tblPrEx>
          <w:tblCellMar>
            <w:top w:w="0" w:type="dxa"/>
            <w:left w:w="108" w:type="dxa"/>
            <w:bottom w:w="0" w:type="dxa"/>
            <w:right w:w="108" w:type="dxa"/>
          </w:tblCellMar>
        </w:tblPrEx>
        <w:trPr>
          <w:trHeight w:val="531" w:hRule="atLeast"/>
        </w:trPr>
        <w:tc>
          <w:tcPr>
            <w:tcW w:w="586" w:type="dxa"/>
            <w:tcBorders>
              <w:top w:val="nil"/>
              <w:left w:val="single" w:color="auto" w:sz="4" w:space="0"/>
              <w:bottom w:val="single" w:color="auto" w:sz="4" w:space="0"/>
              <w:right w:val="single" w:color="auto" w:sz="4" w:space="0"/>
            </w:tcBorders>
            <w:shd w:val="clear" w:color="auto" w:fill="auto"/>
            <w:vAlign w:val="center"/>
          </w:tcPr>
          <w:p w14:paraId="569D92B1">
            <w:pPr>
              <w:widowControl/>
              <w:jc w:val="center"/>
              <w:rPr>
                <w:rFonts w:ascii="宋体" w:hAnsi="宋体" w:cs="宋体"/>
                <w:kern w:val="0"/>
                <w:sz w:val="24"/>
              </w:rPr>
            </w:pPr>
            <w:r>
              <w:rPr>
                <w:rFonts w:hint="eastAsia" w:ascii="宋体" w:hAnsi="宋体" w:cs="宋体"/>
                <w:kern w:val="0"/>
                <w:sz w:val="24"/>
              </w:rPr>
              <w:t>　</w:t>
            </w:r>
          </w:p>
        </w:tc>
        <w:tc>
          <w:tcPr>
            <w:tcW w:w="736" w:type="dxa"/>
            <w:tcBorders>
              <w:top w:val="nil"/>
              <w:left w:val="nil"/>
              <w:bottom w:val="single" w:color="auto" w:sz="4" w:space="0"/>
              <w:right w:val="single" w:color="auto" w:sz="4" w:space="0"/>
            </w:tcBorders>
            <w:shd w:val="clear" w:color="auto" w:fill="auto"/>
            <w:noWrap/>
            <w:vAlign w:val="center"/>
          </w:tcPr>
          <w:p w14:paraId="56FD4BA3">
            <w:pPr>
              <w:widowControl/>
              <w:jc w:val="center"/>
              <w:rPr>
                <w:rFonts w:ascii="宋体" w:hAnsi="宋体" w:cs="宋体"/>
                <w:kern w:val="0"/>
                <w:sz w:val="24"/>
              </w:rPr>
            </w:pPr>
            <w:r>
              <w:rPr>
                <w:rFonts w:hint="eastAsia" w:ascii="宋体" w:hAnsi="宋体" w:cs="宋体"/>
                <w:kern w:val="0"/>
                <w:sz w:val="24"/>
              </w:rPr>
              <w:t>合计</w:t>
            </w:r>
          </w:p>
        </w:tc>
        <w:tc>
          <w:tcPr>
            <w:tcW w:w="1747" w:type="dxa"/>
            <w:tcBorders>
              <w:top w:val="nil"/>
              <w:left w:val="nil"/>
              <w:bottom w:val="single" w:color="auto" w:sz="4" w:space="0"/>
              <w:right w:val="single" w:color="auto" w:sz="4" w:space="0"/>
            </w:tcBorders>
            <w:shd w:val="clear" w:color="auto" w:fill="auto"/>
            <w:noWrap/>
            <w:vAlign w:val="center"/>
          </w:tcPr>
          <w:p w14:paraId="1F036B30">
            <w:pPr>
              <w:widowControl/>
              <w:jc w:val="center"/>
              <w:rPr>
                <w:rFonts w:ascii="宋体" w:hAnsi="宋体" w:cs="宋体"/>
                <w:kern w:val="0"/>
                <w:sz w:val="24"/>
              </w:rPr>
            </w:pPr>
            <w:r>
              <w:rPr>
                <w:rFonts w:hint="eastAsia" w:ascii="宋体" w:hAnsi="宋体" w:cs="宋体"/>
                <w:kern w:val="0"/>
                <w:sz w:val="24"/>
              </w:rPr>
              <w:t>　</w:t>
            </w:r>
          </w:p>
        </w:tc>
        <w:tc>
          <w:tcPr>
            <w:tcW w:w="587" w:type="dxa"/>
            <w:tcBorders>
              <w:top w:val="nil"/>
              <w:left w:val="nil"/>
              <w:bottom w:val="single" w:color="auto" w:sz="4" w:space="0"/>
              <w:right w:val="single" w:color="auto" w:sz="4" w:space="0"/>
            </w:tcBorders>
            <w:shd w:val="clear" w:color="auto" w:fill="auto"/>
            <w:noWrap/>
            <w:vAlign w:val="center"/>
          </w:tcPr>
          <w:p w14:paraId="561D70AD">
            <w:pPr>
              <w:widowControl/>
              <w:jc w:val="center"/>
              <w:rPr>
                <w:rFonts w:ascii="宋体" w:hAnsi="宋体" w:cs="宋体"/>
                <w:kern w:val="0"/>
                <w:sz w:val="24"/>
              </w:rPr>
            </w:pPr>
            <w:r>
              <w:rPr>
                <w:rFonts w:hint="eastAsia" w:ascii="宋体" w:hAnsi="宋体" w:cs="宋体"/>
                <w:kern w:val="0"/>
                <w:sz w:val="24"/>
              </w:rPr>
              <w:t>88</w:t>
            </w:r>
          </w:p>
        </w:tc>
        <w:tc>
          <w:tcPr>
            <w:tcW w:w="2035" w:type="dxa"/>
            <w:tcBorders>
              <w:top w:val="nil"/>
              <w:left w:val="nil"/>
              <w:bottom w:val="single" w:color="auto" w:sz="4" w:space="0"/>
              <w:right w:val="single" w:color="auto" w:sz="4" w:space="0"/>
            </w:tcBorders>
            <w:shd w:val="clear" w:color="auto" w:fill="auto"/>
            <w:vAlign w:val="center"/>
          </w:tcPr>
          <w:p w14:paraId="2B3E7734">
            <w:pPr>
              <w:widowControl/>
              <w:jc w:val="center"/>
              <w:rPr>
                <w:rFonts w:ascii="宋体" w:hAnsi="宋体" w:cs="宋体"/>
                <w:kern w:val="0"/>
                <w:sz w:val="24"/>
              </w:rPr>
            </w:pPr>
            <w:r>
              <w:rPr>
                <w:rFonts w:hint="eastAsia" w:ascii="宋体" w:hAnsi="宋体" w:cs="宋体"/>
                <w:kern w:val="0"/>
                <w:sz w:val="24"/>
              </w:rPr>
              <w:t>　</w:t>
            </w:r>
          </w:p>
        </w:tc>
        <w:tc>
          <w:tcPr>
            <w:tcW w:w="3203" w:type="dxa"/>
            <w:tcBorders>
              <w:top w:val="nil"/>
              <w:left w:val="nil"/>
              <w:bottom w:val="single" w:color="auto" w:sz="4" w:space="0"/>
              <w:right w:val="single" w:color="auto" w:sz="4" w:space="0"/>
            </w:tcBorders>
            <w:shd w:val="clear" w:color="auto" w:fill="auto"/>
            <w:vAlign w:val="center"/>
          </w:tcPr>
          <w:p w14:paraId="40A8505D">
            <w:pPr>
              <w:widowControl/>
              <w:jc w:val="center"/>
              <w:rPr>
                <w:rFonts w:ascii="宋体" w:hAnsi="宋体" w:cs="宋体"/>
                <w:kern w:val="0"/>
                <w:sz w:val="16"/>
                <w:szCs w:val="16"/>
              </w:rPr>
            </w:pPr>
            <w:r>
              <w:rPr>
                <w:rFonts w:hint="eastAsia" w:ascii="宋体" w:hAnsi="宋体" w:cs="宋体"/>
                <w:kern w:val="0"/>
                <w:sz w:val="16"/>
                <w:szCs w:val="16"/>
              </w:rPr>
              <w:t>　</w:t>
            </w:r>
          </w:p>
        </w:tc>
      </w:tr>
    </w:tbl>
    <w:p w14:paraId="4EED4A93">
      <w:pPr>
        <w:widowControl/>
        <w:jc w:val="left"/>
        <w:rPr>
          <w:rFonts w:ascii="仿宋_GB2312" w:hAnsi="仿宋_GB2312" w:eastAsia="仿宋_GB2312" w:cs="仿宋_GB2312"/>
          <w:sz w:val="32"/>
          <w:szCs w:val="32"/>
        </w:rPr>
      </w:pPr>
    </w:p>
    <w:p w14:paraId="10814C1E">
      <w:pPr>
        <w:widowControl/>
        <w:jc w:val="left"/>
        <w:rPr>
          <w:rFonts w:ascii="仿宋_GB2312" w:hAnsi="仿宋_GB2312" w:eastAsia="仿宋_GB2312" w:cs="仿宋_GB2312"/>
          <w:sz w:val="32"/>
          <w:szCs w:val="32"/>
        </w:rPr>
      </w:pPr>
    </w:p>
    <w:p w14:paraId="30F8BE8C">
      <w:pPr>
        <w:widowControl/>
        <w:jc w:val="left"/>
        <w:rPr>
          <w:rFonts w:ascii="仿宋_GB2312" w:hAnsi="仿宋_GB2312" w:eastAsia="仿宋_GB2312" w:cs="仿宋_GB2312"/>
          <w:sz w:val="32"/>
          <w:szCs w:val="32"/>
        </w:rPr>
      </w:pPr>
    </w:p>
    <w:p w14:paraId="637FEF9A">
      <w:pPr>
        <w:spacing w:line="600" w:lineRule="exact"/>
        <w:jc w:val="center"/>
        <w:outlineLvl w:val="0"/>
        <w:rPr>
          <w:rStyle w:val="25"/>
          <w:rFonts w:ascii="黑体" w:hAnsi="黑体" w:eastAsia="黑体"/>
          <w:b w:val="0"/>
        </w:rPr>
      </w:pPr>
      <w:bookmarkStart w:id="61"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61"/>
    </w:p>
    <w:p w14:paraId="1B216FCA">
      <w:pPr>
        <w:spacing w:line="600" w:lineRule="exact"/>
        <w:jc w:val="center"/>
        <w:outlineLvl w:val="0"/>
        <w:rPr>
          <w:rFonts w:ascii="仿宋" w:hAnsi="仿宋" w:eastAsia="仿宋"/>
          <w:b/>
          <w:color w:val="000000"/>
          <w:sz w:val="44"/>
          <w:szCs w:val="44"/>
        </w:rPr>
      </w:pPr>
    </w:p>
    <w:p w14:paraId="3FCEB37D">
      <w:pPr>
        <w:pStyle w:val="3"/>
        <w:rPr>
          <w:rFonts w:ascii="仿宋" w:hAnsi="仿宋" w:eastAsia="仿宋"/>
          <w:color w:val="000000"/>
        </w:rPr>
      </w:pPr>
      <w:bookmarkStart w:id="62"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2"/>
    </w:p>
    <w:p w14:paraId="4B02DC22">
      <w:pPr>
        <w:pStyle w:val="3"/>
        <w:rPr>
          <w:rFonts w:ascii="仿宋" w:hAnsi="仿宋" w:eastAsia="仿宋"/>
          <w:color w:val="000000"/>
        </w:rPr>
      </w:pPr>
      <w:bookmarkStart w:id="63"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3"/>
    </w:p>
    <w:p w14:paraId="0CA79BA5">
      <w:pPr>
        <w:pStyle w:val="3"/>
        <w:rPr>
          <w:rFonts w:ascii="仿宋" w:hAnsi="仿宋" w:eastAsia="仿宋"/>
          <w:color w:val="000000"/>
        </w:rPr>
      </w:pPr>
      <w:bookmarkStart w:id="64"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4"/>
    </w:p>
    <w:p w14:paraId="3C6B31CE">
      <w:pPr>
        <w:pStyle w:val="3"/>
        <w:rPr>
          <w:rFonts w:ascii="仿宋" w:hAnsi="仿宋" w:eastAsia="仿宋"/>
          <w:b w:val="0"/>
          <w:color w:val="000000"/>
        </w:rPr>
      </w:pPr>
      <w:bookmarkStart w:id="65"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5"/>
    </w:p>
    <w:p w14:paraId="76EF835A">
      <w:pPr>
        <w:pStyle w:val="3"/>
        <w:rPr>
          <w:rFonts w:ascii="仿宋" w:hAnsi="仿宋" w:eastAsia="仿宋"/>
          <w:color w:val="000000"/>
        </w:rPr>
      </w:pPr>
      <w:bookmarkStart w:id="66"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6"/>
    </w:p>
    <w:p w14:paraId="1AA1172D">
      <w:pPr>
        <w:pStyle w:val="3"/>
        <w:rPr>
          <w:rFonts w:ascii="仿宋" w:hAnsi="仿宋" w:eastAsia="仿宋"/>
          <w:color w:val="000000"/>
        </w:rPr>
      </w:pPr>
      <w:bookmarkStart w:id="67"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7"/>
    </w:p>
    <w:p w14:paraId="68BF78E5">
      <w:pPr>
        <w:pStyle w:val="3"/>
        <w:rPr>
          <w:rFonts w:ascii="仿宋" w:hAnsi="仿宋" w:eastAsia="仿宋"/>
          <w:color w:val="000000"/>
        </w:rPr>
      </w:pPr>
      <w:bookmarkStart w:id="68"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8"/>
    </w:p>
    <w:p w14:paraId="3DB99733">
      <w:pPr>
        <w:pStyle w:val="3"/>
        <w:rPr>
          <w:rFonts w:ascii="仿宋" w:hAnsi="仿宋" w:eastAsia="仿宋"/>
          <w:color w:val="000000"/>
        </w:rPr>
      </w:pPr>
      <w:bookmarkStart w:id="69"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9"/>
    </w:p>
    <w:p w14:paraId="65E79AC8">
      <w:pPr>
        <w:pStyle w:val="3"/>
        <w:rPr>
          <w:rFonts w:ascii="仿宋" w:hAnsi="仿宋" w:eastAsia="仿宋"/>
          <w:color w:val="000000"/>
        </w:rPr>
      </w:pPr>
      <w:bookmarkStart w:id="70"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70"/>
    </w:p>
    <w:p w14:paraId="7F539CF9">
      <w:pPr>
        <w:pStyle w:val="3"/>
        <w:rPr>
          <w:rFonts w:ascii="仿宋" w:hAnsi="仿宋" w:eastAsia="仿宋"/>
          <w:color w:val="000000"/>
        </w:rPr>
      </w:pPr>
      <w:bookmarkStart w:id="71"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1"/>
    </w:p>
    <w:p w14:paraId="35E66DDF">
      <w:pPr>
        <w:pStyle w:val="3"/>
        <w:rPr>
          <w:rFonts w:ascii="仿宋" w:hAnsi="仿宋" w:eastAsia="仿宋"/>
          <w:color w:val="000000"/>
        </w:rPr>
      </w:pPr>
      <w:bookmarkStart w:id="72"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2"/>
    </w:p>
    <w:p w14:paraId="6254A511">
      <w:pPr>
        <w:pStyle w:val="3"/>
        <w:rPr>
          <w:rFonts w:ascii="仿宋" w:hAnsi="仿宋" w:eastAsia="仿宋"/>
          <w:color w:val="000000"/>
        </w:rPr>
      </w:pPr>
      <w:bookmarkStart w:id="73"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3"/>
    </w:p>
    <w:p w14:paraId="54068EF3">
      <w:pPr>
        <w:pStyle w:val="3"/>
        <w:rPr>
          <w:rFonts w:ascii="仿宋" w:hAnsi="仿宋" w:eastAsia="仿宋"/>
          <w:color w:val="000000" w:themeColor="text1"/>
        </w:rPr>
      </w:pPr>
      <w:bookmarkStart w:id="74"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14:paraId="45FAC704">
        <w:pPr>
          <w:pStyle w:val="8"/>
          <w:jc w:val="center"/>
        </w:pPr>
        <w:r>
          <w:fldChar w:fldCharType="begin"/>
        </w:r>
        <w:r>
          <w:instrText xml:space="preserve">PAGE   \* MERGEFORMAT</w:instrText>
        </w:r>
        <w:r>
          <w:fldChar w:fldCharType="separate"/>
        </w:r>
        <w:r>
          <w:rPr>
            <w:lang w:val="zh-CN"/>
          </w:rPr>
          <w:t>18</w:t>
        </w:r>
        <w:r>
          <w:rPr>
            <w:lang w:val="zh-CN"/>
          </w:rPr>
          <w:fldChar w:fldCharType="end"/>
        </w:r>
      </w:p>
    </w:sdtContent>
  </w:sdt>
  <w:p w14:paraId="20F6432D">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943DD">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F5F5175"/>
    <w:multiLevelType w:val="singleLevel"/>
    <w:tmpl w:val="2F5F5175"/>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6487A"/>
    <w:rsid w:val="00065F8F"/>
    <w:rsid w:val="000768F2"/>
    <w:rsid w:val="00083CC9"/>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203EF"/>
    <w:rsid w:val="00122E82"/>
    <w:rsid w:val="0014729F"/>
    <w:rsid w:val="00157BAB"/>
    <w:rsid w:val="001654D1"/>
    <w:rsid w:val="0018106D"/>
    <w:rsid w:val="001877A7"/>
    <w:rsid w:val="00191536"/>
    <w:rsid w:val="00196687"/>
    <w:rsid w:val="001A26D4"/>
    <w:rsid w:val="001C0962"/>
    <w:rsid w:val="001D7531"/>
    <w:rsid w:val="001E737D"/>
    <w:rsid w:val="001F0592"/>
    <w:rsid w:val="001F4563"/>
    <w:rsid w:val="001F7506"/>
    <w:rsid w:val="002006CD"/>
    <w:rsid w:val="00202B36"/>
    <w:rsid w:val="00204B7A"/>
    <w:rsid w:val="0021101A"/>
    <w:rsid w:val="00220536"/>
    <w:rsid w:val="00224462"/>
    <w:rsid w:val="00235629"/>
    <w:rsid w:val="00260C38"/>
    <w:rsid w:val="002616C0"/>
    <w:rsid w:val="002662AA"/>
    <w:rsid w:val="00280496"/>
    <w:rsid w:val="00295495"/>
    <w:rsid w:val="002B2613"/>
    <w:rsid w:val="002D5646"/>
    <w:rsid w:val="002F1818"/>
    <w:rsid w:val="002F567B"/>
    <w:rsid w:val="002F7EA0"/>
    <w:rsid w:val="003216A9"/>
    <w:rsid w:val="00360BEE"/>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15BBC"/>
    <w:rsid w:val="004223DE"/>
    <w:rsid w:val="00434489"/>
    <w:rsid w:val="0043600D"/>
    <w:rsid w:val="00437085"/>
    <w:rsid w:val="00443880"/>
    <w:rsid w:val="004464F4"/>
    <w:rsid w:val="00464244"/>
    <w:rsid w:val="00471401"/>
    <w:rsid w:val="00473F31"/>
    <w:rsid w:val="0048263A"/>
    <w:rsid w:val="00487E5D"/>
    <w:rsid w:val="00496DC8"/>
    <w:rsid w:val="004A711F"/>
    <w:rsid w:val="004B199D"/>
    <w:rsid w:val="004B3B7A"/>
    <w:rsid w:val="004B4690"/>
    <w:rsid w:val="004B5739"/>
    <w:rsid w:val="004E0A2D"/>
    <w:rsid w:val="004E206B"/>
    <w:rsid w:val="004E6DF7"/>
    <w:rsid w:val="004F0FBD"/>
    <w:rsid w:val="00505A47"/>
    <w:rsid w:val="00512FDA"/>
    <w:rsid w:val="00520DA0"/>
    <w:rsid w:val="00546DE3"/>
    <w:rsid w:val="005664BB"/>
    <w:rsid w:val="0057481D"/>
    <w:rsid w:val="0058486E"/>
    <w:rsid w:val="005D1C8B"/>
    <w:rsid w:val="005D37C1"/>
    <w:rsid w:val="005D5CED"/>
    <w:rsid w:val="005F1A4C"/>
    <w:rsid w:val="00605688"/>
    <w:rsid w:val="006070AF"/>
    <w:rsid w:val="00607E6C"/>
    <w:rsid w:val="006101B1"/>
    <w:rsid w:val="00614E44"/>
    <w:rsid w:val="00622830"/>
    <w:rsid w:val="00630AEF"/>
    <w:rsid w:val="006325F8"/>
    <w:rsid w:val="00634C9A"/>
    <w:rsid w:val="006440E4"/>
    <w:rsid w:val="00657D4E"/>
    <w:rsid w:val="0066343B"/>
    <w:rsid w:val="00664777"/>
    <w:rsid w:val="006748A4"/>
    <w:rsid w:val="00674F56"/>
    <w:rsid w:val="00683E73"/>
    <w:rsid w:val="00696563"/>
    <w:rsid w:val="006A3141"/>
    <w:rsid w:val="006A5E34"/>
    <w:rsid w:val="006B2422"/>
    <w:rsid w:val="006B2B9A"/>
    <w:rsid w:val="006C1937"/>
    <w:rsid w:val="006F020C"/>
    <w:rsid w:val="007127B7"/>
    <w:rsid w:val="007416B6"/>
    <w:rsid w:val="00746F48"/>
    <w:rsid w:val="0075404D"/>
    <w:rsid w:val="007556EB"/>
    <w:rsid w:val="0076182A"/>
    <w:rsid w:val="00767B7E"/>
    <w:rsid w:val="007756C6"/>
    <w:rsid w:val="007770C3"/>
    <w:rsid w:val="00783A2F"/>
    <w:rsid w:val="00784D24"/>
    <w:rsid w:val="00785FBA"/>
    <w:rsid w:val="00786E4A"/>
    <w:rsid w:val="007875EB"/>
    <w:rsid w:val="0079426B"/>
    <w:rsid w:val="00797A96"/>
    <w:rsid w:val="007B7A67"/>
    <w:rsid w:val="007D312A"/>
    <w:rsid w:val="007D3F19"/>
    <w:rsid w:val="007E23B0"/>
    <w:rsid w:val="007F1991"/>
    <w:rsid w:val="007F2C2F"/>
    <w:rsid w:val="007F55FC"/>
    <w:rsid w:val="007F5665"/>
    <w:rsid w:val="00800112"/>
    <w:rsid w:val="008047CD"/>
    <w:rsid w:val="008253BB"/>
    <w:rsid w:val="0083199B"/>
    <w:rsid w:val="0083706E"/>
    <w:rsid w:val="00841D89"/>
    <w:rsid w:val="008423A5"/>
    <w:rsid w:val="00850625"/>
    <w:rsid w:val="00853718"/>
    <w:rsid w:val="00855221"/>
    <w:rsid w:val="00860645"/>
    <w:rsid w:val="00864053"/>
    <w:rsid w:val="00871F71"/>
    <w:rsid w:val="00885AF4"/>
    <w:rsid w:val="008939CD"/>
    <w:rsid w:val="008B768C"/>
    <w:rsid w:val="008C4DB1"/>
    <w:rsid w:val="008C4EAF"/>
    <w:rsid w:val="008C5176"/>
    <w:rsid w:val="008C7FD0"/>
    <w:rsid w:val="008D2F21"/>
    <w:rsid w:val="008E1DE7"/>
    <w:rsid w:val="008E1DF7"/>
    <w:rsid w:val="008E707C"/>
    <w:rsid w:val="00900B08"/>
    <w:rsid w:val="00902155"/>
    <w:rsid w:val="00902FA3"/>
    <w:rsid w:val="00923564"/>
    <w:rsid w:val="0092392E"/>
    <w:rsid w:val="009315F9"/>
    <w:rsid w:val="00936BB9"/>
    <w:rsid w:val="00946945"/>
    <w:rsid w:val="00951248"/>
    <w:rsid w:val="0095152F"/>
    <w:rsid w:val="00954C49"/>
    <w:rsid w:val="0096122A"/>
    <w:rsid w:val="0097099F"/>
    <w:rsid w:val="00971997"/>
    <w:rsid w:val="00971FFC"/>
    <w:rsid w:val="0098660A"/>
    <w:rsid w:val="009931C3"/>
    <w:rsid w:val="009B2C43"/>
    <w:rsid w:val="009B4EAE"/>
    <w:rsid w:val="009B7573"/>
    <w:rsid w:val="009C21E3"/>
    <w:rsid w:val="009C22F4"/>
    <w:rsid w:val="009C2E98"/>
    <w:rsid w:val="009D3447"/>
    <w:rsid w:val="009D4711"/>
    <w:rsid w:val="009F1185"/>
    <w:rsid w:val="009F18CD"/>
    <w:rsid w:val="009F2A13"/>
    <w:rsid w:val="009F4973"/>
    <w:rsid w:val="00A04EB0"/>
    <w:rsid w:val="00A13CC1"/>
    <w:rsid w:val="00A16847"/>
    <w:rsid w:val="00A237D8"/>
    <w:rsid w:val="00A268C4"/>
    <w:rsid w:val="00A307CD"/>
    <w:rsid w:val="00A40A00"/>
    <w:rsid w:val="00A4142F"/>
    <w:rsid w:val="00A56DF2"/>
    <w:rsid w:val="00A67AB5"/>
    <w:rsid w:val="00A75325"/>
    <w:rsid w:val="00A91760"/>
    <w:rsid w:val="00A93B00"/>
    <w:rsid w:val="00A93C21"/>
    <w:rsid w:val="00AB14FA"/>
    <w:rsid w:val="00AB2A9C"/>
    <w:rsid w:val="00AC3C6A"/>
    <w:rsid w:val="00AD016E"/>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3649"/>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248"/>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049E5"/>
    <w:rsid w:val="00D178BE"/>
    <w:rsid w:val="00D205B5"/>
    <w:rsid w:val="00D20620"/>
    <w:rsid w:val="00D26091"/>
    <w:rsid w:val="00D34E7C"/>
    <w:rsid w:val="00D35489"/>
    <w:rsid w:val="00D51276"/>
    <w:rsid w:val="00D652BB"/>
    <w:rsid w:val="00D7035F"/>
    <w:rsid w:val="00DA65AC"/>
    <w:rsid w:val="00DB1913"/>
    <w:rsid w:val="00DC410D"/>
    <w:rsid w:val="00DC68CA"/>
    <w:rsid w:val="00DC7CBA"/>
    <w:rsid w:val="00DD73B7"/>
    <w:rsid w:val="00DE0D82"/>
    <w:rsid w:val="00DF28BC"/>
    <w:rsid w:val="00DF34B9"/>
    <w:rsid w:val="00E01053"/>
    <w:rsid w:val="00E02611"/>
    <w:rsid w:val="00E03EF1"/>
    <w:rsid w:val="00E07ACF"/>
    <w:rsid w:val="00E331A1"/>
    <w:rsid w:val="00E33202"/>
    <w:rsid w:val="00E336A9"/>
    <w:rsid w:val="00E50624"/>
    <w:rsid w:val="00E568DF"/>
    <w:rsid w:val="00E64269"/>
    <w:rsid w:val="00E82267"/>
    <w:rsid w:val="00E8777A"/>
    <w:rsid w:val="00EA010F"/>
    <w:rsid w:val="00ED1B63"/>
    <w:rsid w:val="00ED3C1F"/>
    <w:rsid w:val="00ED4085"/>
    <w:rsid w:val="00ED420E"/>
    <w:rsid w:val="00EE2F57"/>
    <w:rsid w:val="00EF4C34"/>
    <w:rsid w:val="00EF77C6"/>
    <w:rsid w:val="00F05438"/>
    <w:rsid w:val="00F1361C"/>
    <w:rsid w:val="00F160C7"/>
    <w:rsid w:val="00F32517"/>
    <w:rsid w:val="00F36D8F"/>
    <w:rsid w:val="00F417B1"/>
    <w:rsid w:val="00F602DF"/>
    <w:rsid w:val="00F81FD9"/>
    <w:rsid w:val="00F841AA"/>
    <w:rsid w:val="00FA23E8"/>
    <w:rsid w:val="00FA2941"/>
    <w:rsid w:val="00FD3CC1"/>
    <w:rsid w:val="00FF1E02"/>
    <w:rsid w:val="00FF30B4"/>
    <w:rsid w:val="10C055FF"/>
    <w:rsid w:val="16BB723D"/>
    <w:rsid w:val="240371BF"/>
    <w:rsid w:val="29FD04D3"/>
    <w:rsid w:val="319F7F4E"/>
    <w:rsid w:val="4CED1A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autoRedefine/>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autoRedefine/>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autoRedefine/>
    <w:unhideWhenUsed/>
    <w:qFormat/>
    <w:uiPriority w:val="39"/>
    <w:pPr>
      <w:tabs>
        <w:tab w:val="right" w:leader="dot" w:pos="8296"/>
      </w:tabs>
      <w:ind w:left="420" w:leftChars="200"/>
    </w:pPr>
  </w:style>
  <w:style w:type="paragraph" w:styleId="12">
    <w:name w:val="Normal (Web)"/>
    <w:basedOn w:val="1"/>
    <w:qFormat/>
    <w:uiPriority w:val="0"/>
    <w:pPr>
      <w:spacing w:beforeAutospacing="1" w:afterAutospacing="1"/>
      <w:jc w:val="left"/>
    </w:pPr>
    <w:rPr>
      <w:rFonts w:asciiTheme="minorHAnsi" w:hAnsiTheme="minorHAnsi" w:eastAsiaTheme="minorEastAsia"/>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Workbook8.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220241614279"/>
          <c:y val="0.028057561770296"/>
          <c:w val="0.845779758385721"/>
          <c:h val="0.685235586930944"/>
        </c:manualLayout>
      </c:layout>
      <c:barChart>
        <c:barDir val="col"/>
        <c:grouping val="stacked"/>
        <c:varyColors val="0"/>
        <c:ser>
          <c:idx val="0"/>
          <c:order val="0"/>
          <c:tx>
            <c:strRef>
              <c:f>Sheet1!$B$1</c:f>
              <c:strCache>
                <c:ptCount val="1"/>
                <c:pt idx="0">
                  <c:v>总收入</c:v>
                </c:pt>
              </c:strCache>
            </c:strRef>
          </c:tx>
          <c:invertIfNegative val="0"/>
          <c:dLbls>
            <c:dLbl>
              <c:idx val="0"/>
              <c:layout>
                <c:manualLayout>
                  <c:x val="0"/>
                  <c:y val="-0.37151702786377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81579581025765"/>
                  <c:y val="-0.3054695562435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2"/>
                <c:pt idx="0">
                  <c:v>2017年</c:v>
                </c:pt>
                <c:pt idx="1">
                  <c:v>2018年</c:v>
                </c:pt>
              </c:strCache>
            </c:strRef>
          </c:cat>
          <c:val>
            <c:numRef>
              <c:f>Sheet1!$B$2:$B$5</c:f>
              <c:numCache>
                <c:formatCode>General</c:formatCode>
                <c:ptCount val="4"/>
                <c:pt idx="0">
                  <c:v>4235.14</c:v>
                </c:pt>
                <c:pt idx="1">
                  <c:v>3342.34</c:v>
                </c:pt>
              </c:numCache>
            </c:numRef>
          </c:val>
        </c:ser>
        <c:dLbls>
          <c:showLegendKey val="0"/>
          <c:showVal val="1"/>
          <c:showCatName val="0"/>
          <c:showSerName val="0"/>
          <c:showPercent val="0"/>
          <c:showBubbleSize val="0"/>
        </c:dLbls>
        <c:gapWidth val="75"/>
        <c:overlap val="100"/>
        <c:axId val="68510080"/>
        <c:axId val="68511616"/>
      </c:barChart>
      <c:catAx>
        <c:axId val="6851008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8511616"/>
        <c:crosses val="autoZero"/>
        <c:auto val="1"/>
        <c:lblAlgn val="ctr"/>
        <c:lblOffset val="100"/>
        <c:noMultiLvlLbl val="0"/>
      </c:catAx>
      <c:valAx>
        <c:axId val="68511616"/>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8510080"/>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e142c318-5ee5-4f61-8a8a-d361f9ec75f9}"/>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总支出</c:v>
                </c:pt>
              </c:strCache>
            </c:strRef>
          </c:tx>
          <c:invertIfNegative val="0"/>
          <c:dLbls>
            <c:dLbl>
              <c:idx val="0"/>
              <c:layout>
                <c:manualLayout>
                  <c:x val="0"/>
                  <c:y val="-0.31091107929690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81579581025765"/>
                  <c:y val="-0.34082319255547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2"/>
                <c:pt idx="0">
                  <c:v>2017年</c:v>
                </c:pt>
                <c:pt idx="1">
                  <c:v>2018年</c:v>
                </c:pt>
              </c:strCache>
            </c:strRef>
          </c:cat>
          <c:val>
            <c:numRef>
              <c:f>Sheet1!$B$2:$B$5</c:f>
              <c:numCache>
                <c:formatCode>General</c:formatCode>
                <c:ptCount val="4"/>
                <c:pt idx="0">
                  <c:v>3727.08</c:v>
                </c:pt>
                <c:pt idx="1">
                  <c:v>4711.94</c:v>
                </c:pt>
              </c:numCache>
            </c:numRef>
          </c:val>
        </c:ser>
        <c:dLbls>
          <c:showLegendKey val="0"/>
          <c:showVal val="1"/>
          <c:showCatName val="0"/>
          <c:showSerName val="0"/>
          <c:showPercent val="0"/>
          <c:showBubbleSize val="0"/>
        </c:dLbls>
        <c:gapWidth val="75"/>
        <c:overlap val="100"/>
        <c:axId val="68556672"/>
        <c:axId val="68558208"/>
      </c:barChart>
      <c:catAx>
        <c:axId val="6855667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8558208"/>
        <c:crosses val="autoZero"/>
        <c:auto val="1"/>
        <c:lblAlgn val="ctr"/>
        <c:lblOffset val="100"/>
        <c:noMultiLvlLbl val="0"/>
      </c:catAx>
      <c:valAx>
        <c:axId val="68558208"/>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8556672"/>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62962aaa-51c8-4913-8843-acf06e40490f}"/>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总支出</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3"/>
                <c:pt idx="0">
                  <c:v>一般公共预算财政拨款收入</c:v>
                </c:pt>
                <c:pt idx="1">
                  <c:v>政府基金预算财政拨款收入</c:v>
                </c:pt>
                <c:pt idx="2">
                  <c:v>其他收入</c:v>
                </c:pt>
              </c:strCache>
            </c:strRef>
          </c:cat>
          <c:val>
            <c:numRef>
              <c:f>Sheet1!$B$2:$B$5</c:f>
              <c:numCache>
                <c:formatCode>General</c:formatCode>
                <c:ptCount val="4"/>
                <c:pt idx="0">
                  <c:v>1154.14</c:v>
                </c:pt>
                <c:pt idx="1">
                  <c:v>2058.2</c:v>
                </c:pt>
                <c:pt idx="2">
                  <c:v>130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extLst>
      <c:ext uri="{0b15fc19-7d7d-44ad-8c2d-2c3a37ce22c3}">
        <chartProps xmlns="https://web.wps.cn/et/2018/main" chartId="{3252c846-8e41-4ad9-af1c-dc3ceb94318c}"/>
      </c:ext>
    </c:extLst>
  </c:chart>
  <c:txPr>
    <a:bodyPr/>
    <a:lstStyle/>
    <a:p>
      <a:pPr>
        <a:defRPr lang="zh-CN"/>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总支出</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2"/>
                <c:pt idx="0">
                  <c:v>基本支出</c:v>
                </c:pt>
                <c:pt idx="1">
                  <c:v>项目支出</c:v>
                </c:pt>
              </c:strCache>
            </c:strRef>
          </c:cat>
          <c:val>
            <c:numRef>
              <c:f>Sheet1!$B$2:$B$5</c:f>
              <c:numCache>
                <c:formatCode>General</c:formatCode>
                <c:ptCount val="4"/>
                <c:pt idx="0">
                  <c:v>649.75</c:v>
                </c:pt>
                <c:pt idx="1">
                  <c:v>4062.19</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extLst>
      <c:ext uri="{0b15fc19-7d7d-44ad-8c2d-2c3a37ce22c3}">
        <chartProps xmlns="https://web.wps.cn/et/2018/main" chartId="{4c190c01-506b-475d-b2bb-a295876210b0}"/>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财政拨款收入</c:v>
                </c:pt>
              </c:strCache>
            </c:strRef>
          </c:tx>
          <c:invertIfNegative val="0"/>
          <c:dLbls>
            <c:dLbl>
              <c:idx val="0"/>
              <c:layout>
                <c:manualLayout>
                  <c:x val="0.00481572615923012"/>
                  <c:y val="-0.35582206070395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713054097404491"/>
                  <c:y val="-0.291513560804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2"/>
                <c:pt idx="0">
                  <c:v>2017年</c:v>
                </c:pt>
                <c:pt idx="1">
                  <c:v>2018年</c:v>
                </c:pt>
              </c:strCache>
            </c:strRef>
          </c:cat>
          <c:val>
            <c:numRef>
              <c:f>Sheet1!$B$2:$B$5</c:f>
              <c:numCache>
                <c:formatCode>General</c:formatCode>
                <c:ptCount val="4"/>
                <c:pt idx="0">
                  <c:v>4121.64</c:v>
                </c:pt>
                <c:pt idx="1">
                  <c:v>3212.34</c:v>
                </c:pt>
              </c:numCache>
            </c:numRef>
          </c:val>
        </c:ser>
        <c:dLbls>
          <c:showLegendKey val="0"/>
          <c:showVal val="1"/>
          <c:showCatName val="0"/>
          <c:showSerName val="0"/>
          <c:showPercent val="0"/>
          <c:showBubbleSize val="0"/>
        </c:dLbls>
        <c:gapWidth val="75"/>
        <c:overlap val="100"/>
        <c:axId val="70241664"/>
        <c:axId val="68547712"/>
      </c:barChart>
      <c:catAx>
        <c:axId val="7024166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8547712"/>
        <c:crosses val="autoZero"/>
        <c:auto val="1"/>
        <c:lblAlgn val="ctr"/>
        <c:lblOffset val="100"/>
        <c:noMultiLvlLbl val="0"/>
      </c:catAx>
      <c:valAx>
        <c:axId val="68547712"/>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0241664"/>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43161695-2499-4f60-9d25-7bd5f827e958}"/>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财政拨款支出</c:v>
                </c:pt>
              </c:strCache>
            </c:strRef>
          </c:tx>
          <c:invertIfNegative val="0"/>
          <c:dLbls>
            <c:dLbl>
              <c:idx val="0"/>
              <c:layout>
                <c:manualLayout>
                  <c:x val="0.00481579581025765"/>
                  <c:y val="-0.29721362229102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81579581025769"/>
                  <c:y val="-0.3550051599587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2"/>
                <c:pt idx="0">
                  <c:v>2017年</c:v>
                </c:pt>
                <c:pt idx="1">
                  <c:v>2018年</c:v>
                </c:pt>
              </c:strCache>
            </c:strRef>
          </c:cat>
          <c:val>
            <c:numRef>
              <c:f>Sheet1!$B$2:$B$5</c:f>
              <c:numCache>
                <c:formatCode>General</c:formatCode>
                <c:ptCount val="4"/>
                <c:pt idx="0">
                  <c:v>3495.67</c:v>
                </c:pt>
                <c:pt idx="1">
                  <c:v>4436.1</c:v>
                </c:pt>
              </c:numCache>
            </c:numRef>
          </c:val>
        </c:ser>
        <c:dLbls>
          <c:showLegendKey val="0"/>
          <c:showVal val="1"/>
          <c:showCatName val="0"/>
          <c:showSerName val="0"/>
          <c:showPercent val="0"/>
          <c:showBubbleSize val="0"/>
        </c:dLbls>
        <c:gapWidth val="75"/>
        <c:overlap val="100"/>
        <c:axId val="75551488"/>
        <c:axId val="75553024"/>
      </c:barChart>
      <c:catAx>
        <c:axId val="7555148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5553024"/>
        <c:crosses val="autoZero"/>
        <c:auto val="1"/>
        <c:lblAlgn val="ctr"/>
        <c:lblOffset val="100"/>
        <c:noMultiLvlLbl val="0"/>
      </c:catAx>
      <c:valAx>
        <c:axId val="75553024"/>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5551488"/>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77163cc5-929b-4807-8a96-1acb38fb337d}"/>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一般公共预算财政拨款支出</c:v>
                </c:pt>
              </c:strCache>
            </c:strRef>
          </c:tx>
          <c:invertIfNegative val="0"/>
          <c:dLbls>
            <c:dLbl>
              <c:idx val="0"/>
              <c:layout>
                <c:manualLayout>
                  <c:x val="0"/>
                  <c:y val="-0.3437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98449421609648"/>
                  <c:y val="-0.14583333333333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2"/>
                <c:pt idx="0">
                  <c:v>2017年</c:v>
                </c:pt>
                <c:pt idx="1">
                  <c:v>2018年</c:v>
                </c:pt>
              </c:strCache>
            </c:strRef>
          </c:cat>
          <c:val>
            <c:numRef>
              <c:f>Sheet1!$B$2:$B$5</c:f>
              <c:numCache>
                <c:formatCode>General</c:formatCode>
                <c:ptCount val="4"/>
                <c:pt idx="0">
                  <c:v>2719.97</c:v>
                </c:pt>
                <c:pt idx="1">
                  <c:v>2377.9</c:v>
                </c:pt>
              </c:numCache>
            </c:numRef>
          </c:val>
        </c:ser>
        <c:dLbls>
          <c:showLegendKey val="0"/>
          <c:showVal val="1"/>
          <c:showCatName val="0"/>
          <c:showSerName val="0"/>
          <c:showPercent val="0"/>
          <c:showBubbleSize val="0"/>
        </c:dLbls>
        <c:gapWidth val="75"/>
        <c:overlap val="100"/>
        <c:axId val="75573888"/>
        <c:axId val="75575680"/>
      </c:barChart>
      <c:catAx>
        <c:axId val="7557388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5575680"/>
        <c:crosses val="autoZero"/>
        <c:auto val="1"/>
        <c:lblAlgn val="ctr"/>
        <c:lblOffset val="100"/>
        <c:noMultiLvlLbl val="0"/>
      </c:catAx>
      <c:valAx>
        <c:axId val="75575680"/>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5573888"/>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9aae91af-9395-4ca1-8e1a-a8ebf7786bcf}"/>
      </c:ext>
    </c:extLst>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一般公共预算财政拨款支出</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社会保障和就业支出</c:v>
                </c:pt>
                <c:pt idx="1">
                  <c:v>医疗卫生支出</c:v>
                </c:pt>
                <c:pt idx="2">
                  <c:v>城乡社区支出</c:v>
                </c:pt>
                <c:pt idx="3">
                  <c:v>农林水支出</c:v>
                </c:pt>
                <c:pt idx="4">
                  <c:v>住房保障支出</c:v>
                </c:pt>
              </c:strCache>
            </c:strRef>
          </c:cat>
          <c:val>
            <c:numRef>
              <c:f>Sheet1!$B$2:$B$6</c:f>
              <c:numCache>
                <c:formatCode>General</c:formatCode>
                <c:ptCount val="5"/>
                <c:pt idx="0">
                  <c:v>78.44</c:v>
                </c:pt>
                <c:pt idx="1">
                  <c:v>23.89</c:v>
                </c:pt>
                <c:pt idx="2">
                  <c:v>1912.8</c:v>
                </c:pt>
                <c:pt idx="3">
                  <c:v>4.13</c:v>
                </c:pt>
                <c:pt idx="4">
                  <c:v>358.64</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extLst>
      <c:ext uri="{0b15fc19-7d7d-44ad-8c2d-2c3a37ce22c3}">
        <chartProps xmlns="https://web.wps.cn/et/2018/main" chartId="{416fa9d8-b066-4c95-89cc-a22e2c1dd833}"/>
      </c:ext>
    </c:extLst>
  </c:chart>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“三公”经费财政拨款支出</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3"/>
                <c:pt idx="0">
                  <c:v>因公出国（境）费</c:v>
                </c:pt>
                <c:pt idx="1">
                  <c:v>公务用车购置及运行维护费</c:v>
                </c:pt>
                <c:pt idx="2">
                  <c:v>公务接待费</c:v>
                </c:pt>
              </c:strCache>
            </c:strRef>
          </c:cat>
          <c:val>
            <c:numRef>
              <c:f>Sheet1!$B$2:$B$5</c:f>
              <c:numCache>
                <c:formatCode>General</c:formatCode>
                <c:ptCount val="4"/>
                <c:pt idx="0">
                  <c:v>0</c:v>
                </c:pt>
                <c:pt idx="1">
                  <c:v>7.81</c:v>
                </c:pt>
                <c:pt idx="2">
                  <c:v>2.25</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extLst>
      <c:ext uri="{0b15fc19-7d7d-44ad-8c2d-2c3a37ce22c3}">
        <chartProps xmlns="https://web.wps.cn/et/2018/main" chartId="{6b162d8d-fdc6-44d8-9ba5-7f10aede8431}"/>
      </c:ext>
    </c:extLst>
  </c:chart>
  <c:txPr>
    <a:bodyPr/>
    <a:lstStyle/>
    <a:p>
      <a:pPr>
        <a:defRPr lang="zh-CN"/>
      </a:pPr>
    </a:p>
  </c:txPr>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1.emf"/></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xmlns:a="http://schemas.openxmlformats.org/drawingml/2006/main">
      <cdr:nvPicPr>
        <cdr:cNvPr id="2" name="图片 1"/>
        <cdr:cNvPicPr/>
      </cdr:nvPicPr>
      <cdr:blipFill>
        <a:blip xmlns:r="http://schemas.openxmlformats.org/officeDocument/2006/relationships" r:embed="rId1"/>
        <a:stretch>
          <a:fillRect/>
        </a:stretch>
      </cdr:blipFill>
      <cdr:spPr>
        <a:xfrm>
          <a:off x="0" y="0"/>
          <a:ext cx="5316386" cy="2576606"/>
        </a:xfrm>
        <a:prstGeom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2DBAB-0668-4790-BF92-1D555AE270D8}">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41</Pages>
  <Words>6098</Words>
  <Characters>6691</Characters>
  <Lines>29</Lines>
  <Paragraphs>40</Paragraphs>
  <TotalTime>2</TotalTime>
  <ScaleCrop>false</ScaleCrop>
  <LinksUpToDate>false</LinksUpToDate>
  <CharactersWithSpaces>6762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2019-10-12T02:18:00Z</dcterms:created>
  <dc:creator>张彬茜</dc:creator>
  <cp:lastModifiedBy>杜茜</cp:lastModifiedBy>
  <cp:lastPrinted>2019-10-25T03:10:00Z</cp:lastPrinted>
  <dcterms:modified xsi:type="dcterms:W3CDTF">2024-12-26T09:31:05Z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01B392E180284ADF823553E985BFF297_12</vt:lpwstr>
  </property>
</Properties>
</file>