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8776AE">
      <w:pPr>
        <w:pStyle w:val="4"/>
        <w:shd w:val="clear" w:color="auto" w:fill="FFFFFF"/>
        <w:spacing w:before="150" w:beforeAutospacing="0" w:after="150" w:afterAutospacing="0" w:line="560" w:lineRule="exact"/>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部门预算名词解释</w:t>
      </w:r>
    </w:p>
    <w:p w14:paraId="04EA1D5B">
      <w:pPr>
        <w:pStyle w:val="4"/>
        <w:shd w:val="clear" w:color="auto" w:fill="FFFFFF"/>
        <w:spacing w:before="150" w:beforeAutospacing="0" w:after="150" w:afterAutospacing="0" w:line="560" w:lineRule="exact"/>
        <w:jc w:val="center"/>
        <w:rPr>
          <w:rFonts w:hint="eastAsia" w:ascii="方正小标宋_GBK" w:eastAsia="方正小标宋_GBK"/>
          <w:color w:val="000000"/>
          <w:sz w:val="44"/>
          <w:szCs w:val="44"/>
        </w:rPr>
      </w:pPr>
    </w:p>
    <w:p w14:paraId="3811402B">
      <w:pPr>
        <w:pStyle w:val="4"/>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1.财政拨款收入：</w:t>
      </w:r>
      <w:r>
        <w:rPr>
          <w:rFonts w:hint="eastAsia" w:ascii="仿宋_GB2312" w:hAnsi="Times New Roman" w:eastAsia="仿宋_GB2312" w:cs="Times New Roman"/>
          <w:color w:val="000000"/>
          <w:sz w:val="32"/>
          <w:szCs w:val="32"/>
        </w:rPr>
        <w:t>指财政当年拨付的资金。</w:t>
      </w:r>
    </w:p>
    <w:p w14:paraId="0A4BDB15">
      <w:pPr>
        <w:pStyle w:val="4"/>
        <w:shd w:val="clear" w:color="auto" w:fill="FFFFFF"/>
        <w:spacing w:before="150" w:beforeAutospacing="0" w:after="150" w:afterAutospacing="0" w:line="540" w:lineRule="exact"/>
        <w:ind w:firstLine="643" w:firstLineChars="20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2.事业收入：</w:t>
      </w:r>
      <w:r>
        <w:rPr>
          <w:rFonts w:hint="eastAsia" w:ascii="仿宋_GB2312" w:hAnsi="Times New Roman" w:eastAsia="仿宋_GB2312" w:cs="Times New Roman"/>
          <w:color w:val="000000"/>
          <w:sz w:val="32"/>
          <w:szCs w:val="32"/>
        </w:rPr>
        <w:t>指事业单位开展专业业务活动及辅助活动所取得的收入。</w:t>
      </w:r>
    </w:p>
    <w:p w14:paraId="78C2403E">
      <w:pPr>
        <w:pStyle w:val="4"/>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3.经营收入：</w:t>
      </w:r>
      <w:r>
        <w:rPr>
          <w:rFonts w:hint="eastAsia" w:ascii="仿宋_GB2312" w:hAnsi="Times New Roman" w:eastAsia="仿宋_GB2312" w:cs="Times New Roman"/>
          <w:color w:val="000000"/>
          <w:sz w:val="32"/>
          <w:szCs w:val="32"/>
        </w:rPr>
        <w:t>指事业单位在专业业务活动及其辅助活动之外开展非独立核算经营活动取得的收入。</w:t>
      </w:r>
    </w:p>
    <w:p w14:paraId="6E698C6B">
      <w:pPr>
        <w:pStyle w:val="4"/>
        <w:shd w:val="clear" w:color="auto" w:fill="FFFFFF"/>
        <w:spacing w:before="150" w:beforeAutospacing="0" w:after="150" w:afterAutospacing="0" w:line="540" w:lineRule="exact"/>
        <w:ind w:firstLine="645"/>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4.其他收入：</w:t>
      </w:r>
      <w:r>
        <w:rPr>
          <w:rFonts w:hint="eastAsia" w:ascii="仿宋_GB2312" w:hAnsi="Times New Roman" w:eastAsia="仿宋_GB2312" w:cs="Times New Roman"/>
          <w:color w:val="000000"/>
          <w:sz w:val="32"/>
          <w:szCs w:val="32"/>
        </w:rPr>
        <w:t>指除上述“财政拨款收入”、“事业收入”、“经营收入”等以外的收入。</w:t>
      </w:r>
    </w:p>
    <w:p w14:paraId="27FC0B5F">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5.用事业基金弥补收支差额：</w:t>
      </w:r>
      <w:r>
        <w:rPr>
          <w:rFonts w:hint="eastAsia" w:ascii="仿宋_GB2312" w:hAnsi="Times New Roman" w:eastAsia="仿宋_GB2312" w:cs="Times New Roman"/>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43A20C1A">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6.年初结转和结余：</w:t>
      </w:r>
      <w:r>
        <w:rPr>
          <w:rFonts w:hint="eastAsia" w:ascii="仿宋_GB2312" w:hAnsi="Times New Roman" w:eastAsia="仿宋_GB2312" w:cs="Times New Roman"/>
          <w:color w:val="000000"/>
          <w:sz w:val="32"/>
          <w:szCs w:val="32"/>
        </w:rPr>
        <w:t>指以前年度尚未完成、结转到本年按有关规定继续使用的资金。</w:t>
      </w:r>
    </w:p>
    <w:p w14:paraId="7C0CD316">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7.结余分配：</w:t>
      </w:r>
      <w:r>
        <w:rPr>
          <w:rFonts w:hint="eastAsia" w:ascii="仿宋_GB2312" w:hAnsi="Times New Roman" w:eastAsia="仿宋_GB2312" w:cs="Times New Roman"/>
          <w:color w:val="000000"/>
          <w:sz w:val="32"/>
          <w:szCs w:val="32"/>
        </w:rPr>
        <w:t>指事业单位按规定提取的职工福利基金、事业基金和缴纳的所得税，以及建设单位按规定应交回的基本建设竣工项目结余资金。</w:t>
      </w:r>
    </w:p>
    <w:p w14:paraId="368AADB1">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8.年末结转和结余：</w:t>
      </w:r>
      <w:r>
        <w:rPr>
          <w:rFonts w:hint="eastAsia" w:ascii="仿宋_GB2312" w:hAnsi="Times New Roman" w:eastAsia="仿宋_GB2312" w:cs="Times New Roman"/>
          <w:color w:val="000000"/>
          <w:sz w:val="32"/>
          <w:szCs w:val="32"/>
        </w:rPr>
        <w:t>指本年度或以前年度预算安排、因客观条件发生变化无法按原计划实施，需延迟到以后年度按有关规定继续使用的资金。</w:t>
      </w:r>
    </w:p>
    <w:p w14:paraId="130945CD">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9.基本支出：</w:t>
      </w:r>
      <w:r>
        <w:rPr>
          <w:rFonts w:hint="eastAsia" w:ascii="仿宋_GB2312" w:hAnsi="Times New Roman" w:eastAsia="仿宋_GB2312" w:cs="Times New Roman"/>
          <w:color w:val="000000"/>
          <w:sz w:val="32"/>
          <w:szCs w:val="32"/>
        </w:rPr>
        <w:t>指为保障机构正常运转、完成日常工作任务而发生的人员支出和公用支出。</w:t>
      </w:r>
    </w:p>
    <w:p w14:paraId="26D5A5F9">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10.项目支出：</w:t>
      </w:r>
      <w:r>
        <w:rPr>
          <w:rFonts w:hint="eastAsia" w:ascii="仿宋_GB2312" w:hAnsi="Times New Roman" w:eastAsia="仿宋_GB2312" w:cs="Times New Roman"/>
          <w:color w:val="000000"/>
          <w:sz w:val="32"/>
          <w:szCs w:val="32"/>
        </w:rPr>
        <w:t>指在基本支出之外为完成特定行政任务和事业发展目标所发生的支出。</w:t>
      </w:r>
    </w:p>
    <w:p w14:paraId="307B7D21">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11.经营支出：</w:t>
      </w:r>
      <w:r>
        <w:rPr>
          <w:rFonts w:hint="eastAsia" w:ascii="仿宋_GB2312" w:hAnsi="Times New Roman" w:eastAsia="仿宋_GB2312" w:cs="Times New Roman"/>
          <w:color w:val="000000"/>
          <w:sz w:val="32"/>
          <w:szCs w:val="32"/>
        </w:rPr>
        <w:t>指事业单位在专业业务活动及其辅助活动之外开展非独立核算经营活动发生的支出。</w:t>
      </w:r>
    </w:p>
    <w:p w14:paraId="56A9D611">
      <w:pPr>
        <w:pStyle w:val="4"/>
        <w:shd w:val="clear" w:color="auto" w:fill="FFFFFF"/>
        <w:spacing w:before="150" w:beforeAutospacing="0" w:after="150" w:afterAutospacing="0" w:line="540" w:lineRule="exact"/>
        <w:rPr>
          <w:rFonts w:hint="eastAsia" w:ascii="仿宋_GB2312" w:hAnsi="Times New Roman" w:eastAsia="仿宋_GB2312" w:cs="Times New Roman"/>
          <w:color w:val="000000"/>
          <w:sz w:val="32"/>
          <w:szCs w:val="32"/>
        </w:rPr>
      </w:pPr>
      <w:r>
        <w:rPr>
          <w:rFonts w:hint="eastAsia" w:ascii="仿宋_GB2312" w:hAnsi="Times New Roman" w:eastAsia="仿宋_GB2312" w:cs="Times New Roman"/>
          <w:color w:val="000000"/>
          <w:sz w:val="32"/>
          <w:szCs w:val="32"/>
        </w:rPr>
        <w:t>　　</w:t>
      </w:r>
      <w:r>
        <w:rPr>
          <w:rFonts w:hint="eastAsia" w:ascii="仿宋_GB2312" w:hAnsi="Times New Roman" w:eastAsia="仿宋_GB2312" w:cs="Times New Roman"/>
          <w:b/>
          <w:color w:val="000000"/>
          <w:sz w:val="32"/>
          <w:szCs w:val="32"/>
        </w:rPr>
        <w:t>12.“三公”经费：</w:t>
      </w:r>
      <w:r>
        <w:rPr>
          <w:rFonts w:hint="eastAsia" w:ascii="仿宋_GB2312" w:hAnsi="Times New Roman" w:eastAsia="仿宋_GB2312" w:cs="Times New Roman"/>
          <w:color w:val="000000"/>
          <w:sz w:val="32"/>
          <w:szCs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66D8EBA">
      <w:pPr>
        <w:pStyle w:val="4"/>
        <w:shd w:val="clear" w:color="auto" w:fill="FFFFFF"/>
        <w:spacing w:before="150" w:beforeAutospacing="0" w:after="150" w:afterAutospacing="0" w:line="540" w:lineRule="exact"/>
        <w:ind w:firstLine="630"/>
        <w:rPr>
          <w:rFonts w:hint="eastAsia" w:ascii="仿宋_GB2312" w:hAnsi="Times New Roman" w:eastAsia="仿宋_GB2312" w:cs="Times New Roman"/>
          <w:color w:val="000000"/>
          <w:sz w:val="32"/>
          <w:szCs w:val="32"/>
        </w:rPr>
      </w:pPr>
      <w:r>
        <w:rPr>
          <w:rFonts w:hint="eastAsia" w:ascii="仿宋_GB2312" w:hAnsi="Times New Roman" w:eastAsia="仿宋_GB2312" w:cs="Times New Roman"/>
          <w:b/>
          <w:color w:val="000000"/>
          <w:sz w:val="32"/>
          <w:szCs w:val="32"/>
        </w:rPr>
        <w:t>13.机关运行经费：</w:t>
      </w:r>
      <w:r>
        <w:rPr>
          <w:rFonts w:hint="eastAsia" w:ascii="仿宋_GB2312" w:hAnsi="Times New Roman" w:eastAsia="仿宋_GB2312" w:cs="Times New Roman"/>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3C5FEA7">
      <w:pPr>
        <w:pStyle w:val="4"/>
        <w:shd w:val="clear" w:color="auto" w:fill="FFFFFF"/>
        <w:spacing w:before="255" w:beforeAutospacing="0" w:after="255" w:afterAutospacing="0" w:line="600" w:lineRule="atLeast"/>
        <w:ind w:firstLine="640"/>
        <w:rPr>
          <w:rFonts w:hint="eastAsia" w:ascii="仿宋_GB2312" w:hAnsi="仿宋" w:eastAsia="仿宋_GB2312" w:cs="Arial"/>
          <w:color w:val="333333"/>
          <w:sz w:val="32"/>
          <w:szCs w:val="32"/>
        </w:rPr>
      </w:pPr>
      <w:r>
        <w:rPr>
          <w:rFonts w:hint="eastAsia" w:ascii="仿宋_GB2312" w:hAnsi="仿宋" w:eastAsia="仿宋_GB2312" w:cs="Arial"/>
          <w:color w:val="333333"/>
          <w:sz w:val="32"/>
          <w:szCs w:val="32"/>
        </w:rPr>
        <w:t>14. 一般公共服务（类）人力资源事务（款）一般行政管理事务（项）2011002:</w:t>
      </w:r>
      <w:r>
        <w:rPr>
          <w:rFonts w:hint="eastAsia" w:ascii="Arial" w:hAnsi="Arial" w:eastAsia="仿宋_GB2312" w:cs="Arial"/>
          <w:color w:val="333333"/>
          <w:sz w:val="32"/>
          <w:szCs w:val="32"/>
        </w:rPr>
        <w:t> </w:t>
      </w:r>
      <w:r>
        <w:rPr>
          <w:rFonts w:hint="eastAsia" w:ascii="仿宋_GB2312" w:hAnsi="仿宋" w:eastAsia="仿宋_GB2312" w:cs="Arial"/>
          <w:color w:val="333333"/>
          <w:sz w:val="32"/>
          <w:szCs w:val="32"/>
        </w:rPr>
        <w:t>反映行政单位（包括实行公务员管理的事业单位）未单独设置项级科目的其他项目支出。</w:t>
      </w:r>
    </w:p>
    <w:p w14:paraId="479D4C9A">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15</w:t>
      </w:r>
      <w:r>
        <w:rPr>
          <w:rFonts w:hint="eastAsia" w:ascii="仿宋_GB2312" w:hAnsi="Arial" w:eastAsia="仿宋_GB2312" w:cs="Arial"/>
          <w:color w:val="333333"/>
          <w:sz w:val="32"/>
          <w:szCs w:val="32"/>
        </w:rPr>
        <w:t>.</w:t>
      </w:r>
      <w:r>
        <w:rPr>
          <w:rFonts w:hint="eastAsia" w:ascii="仿宋_GB2312" w:hAnsi="仿宋" w:eastAsia="仿宋_GB2312" w:cs="Arial"/>
          <w:color w:val="333333"/>
          <w:sz w:val="32"/>
          <w:szCs w:val="32"/>
        </w:rPr>
        <w:t xml:space="preserve"> 一般公共服务（类）人力资源事务（款）其他人力资源事务支出（项）2011099:反映其他人力资源事务方面的支出。</w:t>
      </w:r>
    </w:p>
    <w:p w14:paraId="5A737AC3">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16.社会保障和就业（类）人力资源和社会保障管理事务（款）行政运行（项）2080101:反映行政单位（包括实行公务员管理的事业单位）的基本支出。</w:t>
      </w:r>
    </w:p>
    <w:p w14:paraId="0AF4155A">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17.社会保障和就业（类）人力资源和社会保障管理事务（款）一般行政管理事务（项）2080102:反映行政单位（包括实行公务员管理的事业单位）未单独设置顶级科目的其他项目支出。</w:t>
      </w:r>
    </w:p>
    <w:p w14:paraId="14CBC99F">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18.社会保障和就业（类）人力资源和社会保障管理事务（款）信息化建设（项）2080108:反映人力资源和社会保障部门用于信息化建设、运行维护和数据分析等方面的支出，如金保工程、社会保障卡建设和运行维护、人力资源市场信息化等支出。</w:t>
      </w:r>
    </w:p>
    <w:p w14:paraId="3449FB20">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19.社会保障和就业（类）人力资源和社会保障管理事务（款）公共就业服务和职业技能鉴定机构（项）2080111:反映公共就业和职业技能鉴定机构的支出。</w:t>
      </w:r>
    </w:p>
    <w:p w14:paraId="43F3E343">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20.社会保障和就业（类）人力资源和社会保障管理事务（款）其他人</w:t>
      </w:r>
      <w:r>
        <w:rPr>
          <w:rFonts w:hint="eastAsia" w:ascii="仿宋_GB2312" w:hAnsi="仿宋" w:eastAsia="仿宋_GB2312" w:cs="Arial"/>
          <w:color w:val="333333"/>
          <w:sz w:val="32"/>
          <w:szCs w:val="32"/>
          <w:lang w:val="en-US" w:eastAsia="zh-CN"/>
        </w:rPr>
        <w:t>力</w:t>
      </w:r>
      <w:bookmarkStart w:id="0" w:name="_GoBack"/>
      <w:bookmarkEnd w:id="0"/>
      <w:r>
        <w:rPr>
          <w:rFonts w:hint="eastAsia" w:ascii="仿宋_GB2312" w:hAnsi="仿宋" w:eastAsia="仿宋_GB2312" w:cs="Arial"/>
          <w:color w:val="333333"/>
          <w:sz w:val="32"/>
          <w:szCs w:val="32"/>
        </w:rPr>
        <w:t>资源和社会保障管理事务支出（项）2080199:反映除上述项目以外其他用于人力资源和社会保障管理事务方面的支出。</w:t>
      </w:r>
    </w:p>
    <w:p w14:paraId="1F1D6BA1">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21.社会保障和就业（类）行政事业单位离退休（款）未归口管理的行政单位离退休（项）2080504:反映未实行归口管理的行政单位（包括实行公务员管理的事业单位）开支的离退休支出。</w:t>
      </w:r>
    </w:p>
    <w:p w14:paraId="7714A8D6">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22.社会保障和就业（类）行政事业单位离退休（款）机关事业单位基本养老保险缴费支出（项）2080505:反映机关事业单位实施养老保险制度由单位缴纳的基本养老保险费支出。</w:t>
      </w:r>
    </w:p>
    <w:p w14:paraId="64E79053">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23.社会保障和就业（类）就业补助（款）其他就业补助支出（项）2080799:反映除上述项目以外按规定确定的其他用于促进就业的补助支出。</w:t>
      </w:r>
    </w:p>
    <w:p w14:paraId="0EA23285">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24.社会保障和就业（类）其他社会保障和就业支出（款）其他社会保障和就业支出（项）2089901:反映除上述项目以外其他用于社会保障和就业方面的支出。</w:t>
      </w:r>
    </w:p>
    <w:p w14:paraId="4E6BE94B">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25.卫生健康支出（类）行政事业单位医疗（款）行政单位医疗（项）2101101:反映财政部门集中安排的行政单位基本医疗保险缴费经费，未参加医疗保险的行政单位的公费医疗经费，按国家规定享受离休人员、红军老战士待遇人员的医疗经费。</w:t>
      </w:r>
    </w:p>
    <w:p w14:paraId="70C90E79">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26. 卫生健康支出（类）行政事业单位医疗（款）事业单位医疗（项）2101102反映财政部门安排的事业单位基本医疗保险缴费经费，未参加医疗保险的事业单位的公费医疗经费，按国家规定享受离休人员待遇的医疗经费。</w:t>
      </w:r>
    </w:p>
    <w:p w14:paraId="35D76CA9">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27. 卫生健康支出（类）行政事业单位医疗（款）公务员医疗补助（项）2101103:反映财政部门安排的公务员医疗补助经费。</w:t>
      </w:r>
    </w:p>
    <w:p w14:paraId="05DAF67D">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28.农林水支出（类）扶贫（款）社会发展（项）2130506:反映用于农村贫困地区中小学教育、文化、广播、电视、医疗、卫生等方面的项目支出。</w:t>
      </w:r>
    </w:p>
    <w:p w14:paraId="30A0148B">
      <w:pPr>
        <w:pStyle w:val="4"/>
        <w:shd w:val="clear" w:color="auto" w:fill="FFFFFF"/>
        <w:spacing w:before="255" w:beforeAutospacing="0" w:after="255" w:afterAutospacing="0" w:line="600" w:lineRule="atLeast"/>
        <w:ind w:firstLine="640"/>
        <w:rPr>
          <w:rFonts w:hint="eastAsia" w:ascii="仿宋_GB2312" w:hAnsi="Arial" w:eastAsia="仿宋_GB2312" w:cs="Arial"/>
          <w:color w:val="333333"/>
          <w:sz w:val="32"/>
          <w:szCs w:val="32"/>
        </w:rPr>
      </w:pPr>
      <w:r>
        <w:rPr>
          <w:rFonts w:hint="eastAsia" w:ascii="仿宋_GB2312" w:hAnsi="仿宋" w:eastAsia="仿宋_GB2312" w:cs="Arial"/>
          <w:color w:val="333333"/>
          <w:sz w:val="32"/>
          <w:szCs w:val="32"/>
        </w:rPr>
        <w:t>29.住房保障支出（类）住房改革支出（款）住房公积金（项）2210201:反映行政事业单位按人力资源和社会保障部、财政部规定的基本工资和津贴补贴以及规定比例为职工缴纳的住房公积金。</w:t>
      </w:r>
    </w:p>
    <w:p w14:paraId="371C369E">
      <w:pPr>
        <w:pStyle w:val="4"/>
        <w:shd w:val="clear" w:color="auto" w:fill="FFFFFF"/>
        <w:spacing w:before="150" w:beforeAutospacing="0" w:after="150" w:afterAutospacing="0" w:line="540" w:lineRule="exact"/>
        <w:ind w:firstLine="630"/>
        <w:rPr>
          <w:rFonts w:hint="eastAsia" w:ascii="仿宋_GB2312" w:hAnsi="Times New Roman" w:eastAsia="仿宋_GB2312" w:cs="Times New Roman"/>
          <w:b/>
          <w:color w:val="000000"/>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A571F57-DB9F-42F0-8C3C-679C2D14A684}"/>
  </w:font>
  <w:font w:name="方正小标宋简体">
    <w:panose1 w:val="02000000000000000000"/>
    <w:charset w:val="86"/>
    <w:family w:val="script"/>
    <w:pitch w:val="default"/>
    <w:sig w:usb0="00000001" w:usb1="08000000" w:usb2="00000000" w:usb3="00000000" w:csb0="00040000" w:csb1="00000000"/>
    <w:embedRegular r:id="rId2" w:fontKey="{17003987-5BCE-45EA-A20E-0F9E3FC4316F}"/>
  </w:font>
  <w:font w:name="方正小标宋_GBK">
    <w:panose1 w:val="03000509000000000000"/>
    <w:charset w:val="86"/>
    <w:family w:val="script"/>
    <w:pitch w:val="default"/>
    <w:sig w:usb0="00000001" w:usb1="080E0000" w:usb2="00000000" w:usb3="00000000" w:csb0="00040000" w:csb1="00000000"/>
    <w:embedRegular r:id="rId3" w:fontKey="{0220C81A-6AD4-49CE-8626-DDBC40F0EEA7}"/>
  </w:font>
  <w:font w:name="仿宋_GB2312">
    <w:altName w:val="仿宋"/>
    <w:panose1 w:val="02010609030101010101"/>
    <w:charset w:val="86"/>
    <w:family w:val="modern"/>
    <w:pitch w:val="default"/>
    <w:sig w:usb0="00000000" w:usb1="00000000" w:usb2="00000010" w:usb3="00000000" w:csb0="00040000" w:csb1="00000000"/>
    <w:embedRegular r:id="rId4" w:fontKey="{733EB7C1-F75A-47C1-8E23-B21628A099AB}"/>
  </w:font>
  <w:font w:name="仿宋">
    <w:panose1 w:val="02010609060101010101"/>
    <w:charset w:val="86"/>
    <w:family w:val="modern"/>
    <w:pitch w:val="default"/>
    <w:sig w:usb0="800002BF" w:usb1="38CF7CFA" w:usb2="00000016" w:usb3="00000000" w:csb0="00040001" w:csb1="00000000"/>
    <w:embedRegular r:id="rId5" w:fontKey="{E53532AA-4A95-470F-9055-74EFEBDD403A}"/>
  </w:font>
  <w:font w:name="Arial">
    <w:panose1 w:val="020B0604020202020204"/>
    <w:charset w:val="00"/>
    <w:family w:val="swiss"/>
    <w:pitch w:val="default"/>
    <w:sig w:usb0="E0002EFF" w:usb1="C000785B" w:usb2="00000009" w:usb3="00000000" w:csb0="400001FF" w:csb1="FFFF0000"/>
    <w:embedRegular r:id="rId6" w:fontKey="{C5E68F79-B8DD-4FF8-AEBA-627E5E992FD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51938"/>
    <w:rsid w:val="00151A8B"/>
    <w:rsid w:val="001A018F"/>
    <w:rsid w:val="00365B1B"/>
    <w:rsid w:val="00397DFA"/>
    <w:rsid w:val="004A2DB7"/>
    <w:rsid w:val="004D06E9"/>
    <w:rsid w:val="0052099D"/>
    <w:rsid w:val="005634B3"/>
    <w:rsid w:val="00767F94"/>
    <w:rsid w:val="007A14F9"/>
    <w:rsid w:val="007B3904"/>
    <w:rsid w:val="00951938"/>
    <w:rsid w:val="00964943"/>
    <w:rsid w:val="00985CC2"/>
    <w:rsid w:val="009B0468"/>
    <w:rsid w:val="009D15D5"/>
    <w:rsid w:val="00B71FD2"/>
    <w:rsid w:val="00DD2CF7"/>
    <w:rsid w:val="00DD4DBF"/>
    <w:rsid w:val="00DF35E3"/>
    <w:rsid w:val="00E667FC"/>
    <w:rsid w:val="00FA3E75"/>
    <w:rsid w:val="00FD4183"/>
    <w:rsid w:val="54FB3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link w:val="3"/>
    <w:qFormat/>
    <w:uiPriority w:val="99"/>
    <w:rPr>
      <w:sz w:val="18"/>
      <w:szCs w:val="18"/>
    </w:rPr>
  </w:style>
  <w:style w:type="character" w:customStyle="1" w:styleId="8">
    <w:name w:val="页脚 Char"/>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2076</Words>
  <Characters>2236</Characters>
  <Lines>16</Lines>
  <Paragraphs>4</Paragraphs>
  <TotalTime>17</TotalTime>
  <ScaleCrop>false</ScaleCrop>
  <LinksUpToDate>false</LinksUpToDate>
  <CharactersWithSpaces>2257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2021-06-07T02:16:00Z</dcterms:created>
  <dc:creator>陈波</dc:creator>
  <cp:lastModifiedBy>李弘欣</cp:lastModifiedBy>
  <dcterms:modified xsi:type="dcterms:W3CDTF">2024-12-26T03:03:11Z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D5749667B52D4DA5A1D31F1BB2EF1DD9_12</vt:lpwstr>
  </property>
</Properties>
</file>