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B8DC5">
      <w:pPr>
        <w:spacing w:line="600" w:lineRule="exact"/>
        <w:jc w:val="center"/>
        <w:outlineLvl w:val="0"/>
        <w:rPr>
          <w:rFonts w:ascii="方正小标宋简体" w:hAnsi="宋体" w:eastAsia="方正小标宋简体"/>
          <w:color w:val="000000"/>
          <w:sz w:val="72"/>
          <w:szCs w:val="72"/>
        </w:rPr>
      </w:pPr>
      <w:bookmarkStart w:id="0" w:name="_Toc15306267"/>
    </w:p>
    <w:p w14:paraId="141CC44D">
      <w:pPr>
        <w:spacing w:line="600" w:lineRule="exact"/>
        <w:jc w:val="center"/>
        <w:outlineLvl w:val="0"/>
        <w:rPr>
          <w:rFonts w:ascii="方正小标宋简体" w:hAnsi="宋体" w:eastAsia="方正小标宋简体"/>
          <w:color w:val="000000"/>
          <w:sz w:val="72"/>
          <w:szCs w:val="72"/>
        </w:rPr>
      </w:pPr>
    </w:p>
    <w:p w14:paraId="2241592F">
      <w:pPr>
        <w:spacing w:line="600" w:lineRule="exact"/>
        <w:jc w:val="center"/>
        <w:outlineLvl w:val="0"/>
        <w:rPr>
          <w:rFonts w:ascii="方正小标宋简体" w:hAnsi="宋体" w:eastAsia="方正小标宋简体"/>
          <w:color w:val="000000"/>
          <w:sz w:val="72"/>
          <w:szCs w:val="72"/>
        </w:rPr>
      </w:pPr>
    </w:p>
    <w:p w14:paraId="598B4487">
      <w:pPr>
        <w:spacing w:line="600" w:lineRule="exact"/>
        <w:jc w:val="center"/>
        <w:outlineLvl w:val="0"/>
        <w:rPr>
          <w:rFonts w:ascii="方正小标宋简体" w:hAnsi="宋体" w:eastAsia="方正小标宋简体"/>
          <w:color w:val="000000"/>
          <w:sz w:val="72"/>
          <w:szCs w:val="72"/>
        </w:rPr>
      </w:pPr>
    </w:p>
    <w:p w14:paraId="12B5D2F6">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597"/>
      <w:bookmarkStart w:id="4" w:name="_Toc15396475"/>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14:paraId="38ADE246">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8442"/>
      <w:bookmarkStart w:id="8" w:name="_Toc15377194"/>
      <w:bookmarkStart w:id="9" w:name="_Toc1537742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攀枝花市仁和区建设工程质量安全监督站</w:t>
      </w:r>
    </w:p>
    <w:p w14:paraId="738715F9">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387CED39">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4A9ABFCF">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71FF1E3C"/>
    <w:p w14:paraId="1A1B501E">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14:paraId="766853AA">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75D3A24C">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1694576E">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14:paraId="077DF8C6">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4C8603F6">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16EE1590">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22ACD6D0">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4EAAFE43">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68F99B05">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6DDFFAE4">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502FE7CA">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5F1C0A25">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3A8707AF">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0DAE93D4">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66788C36">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13</w:t>
      </w:r>
      <w:r>
        <w:fldChar w:fldCharType="end"/>
      </w:r>
      <w:r>
        <w:fldChar w:fldCharType="end"/>
      </w:r>
    </w:p>
    <w:p w14:paraId="02DB4410">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15</w:t>
      </w:r>
      <w:r>
        <w:fldChar w:fldCharType="end"/>
      </w:r>
      <w:r>
        <w:fldChar w:fldCharType="end"/>
      </w:r>
    </w:p>
    <w:p w14:paraId="3D020450">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6E64A981">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7896EA78">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14:paraId="3FD01DD7">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27BC7598">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6617358F">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361DCE83">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682B2B43">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7604F38F">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1C519ED2">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513A755B">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1DCCC388">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0263CA26">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7009560F">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515DE465">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3CA4B975">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0C6A2224">
      <w:pPr>
        <w:widowControl/>
        <w:jc w:val="left"/>
        <w:rPr>
          <w:rFonts w:ascii="仿宋" w:hAnsi="仿宋" w:eastAsia="仿宋"/>
          <w:color w:val="000000"/>
          <w:sz w:val="24"/>
        </w:rPr>
      </w:pPr>
      <w:r>
        <w:rPr>
          <w:rFonts w:ascii="仿宋" w:hAnsi="仿宋" w:eastAsia="仿宋"/>
          <w:color w:val="000000"/>
          <w:sz w:val="24"/>
        </w:rPr>
        <w:fldChar w:fldCharType="end"/>
      </w:r>
    </w:p>
    <w:p w14:paraId="369BBC9E">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14:paraId="50DCB3F9">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14:paraId="68A126BA">
      <w:pPr>
        <w:widowControl/>
        <w:jc w:val="left"/>
        <w:rPr>
          <w:rFonts w:ascii="黑体" w:eastAsia="黑体"/>
          <w:color w:val="000000"/>
          <w:sz w:val="32"/>
          <w:szCs w:val="32"/>
        </w:rPr>
      </w:pPr>
    </w:p>
    <w:p w14:paraId="0B0986B3">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14:paraId="0D7F3982">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p>
    <w:p w14:paraId="23DF0464">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依据中华人民共和国建筑法、《安全生产法》、国务院《建设工程质量管理条例》、《建设工程安全生产管理条例》等法律、法规、规章，按工程建设标准、规范、规程、审查合格的施工图设计文件，对我区行政区域内房屋建筑和市政基础设施的工程质量和施工现场安全生产文明施工进行强制性监督管理。</w:t>
      </w:r>
    </w:p>
    <w:p w14:paraId="5AB75979">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14:paraId="4F7BA9ED">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借助中央、省环保督察整改契机，全力打造标准化建筑工地，制定了《仁和区房屋建设和市政基础设施工程文明施工标准化实施方案》，认真开展建筑工地扬尘治理、噪音污染、文明施工标准化等专项治理行动，签订建筑施工现场扬尘治理承诺书30份，处理建筑工地夜间施工噪音污染投诉130条。对全区67个在建项目、293个单位工程开展工程质量安全提升行动，加大对施工过程重点环节、重要部位和关键工序的抽查力度，全力确保建筑工程质量安全，全年对25个新建项目下达了质量安全监督计划，完成了10个项目，44个单位工程，25万平米的主体结构验收；完成了11个房屋建筑项目，49个单位工程，18.5万平米及市政工程桥梁1座，运动场3个，场坪工程1个的竣工验收；完成工程质量监督报告29份；编制工程质量监督报告27份，工程质量监督交底17余次，考评监理单位4家（一个季度1家），受理工程质量投诉案件25件，所有案件基本得到妥善处理，针对质量安全存在问题较多的建设项目，我局向各责任单位下发了限期整改通知单188份，停工整改通知单133份。</w:t>
      </w:r>
    </w:p>
    <w:p w14:paraId="5DF149DE">
      <w:pPr>
        <w:pStyle w:val="3"/>
        <w:ind w:firstLine="800" w:firstLineChars="250"/>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14:paraId="100BA78F">
      <w:pPr>
        <w:ind w:firstLine="800" w:firstLineChars="250"/>
        <w:rPr>
          <w:rFonts w:ascii="仿宋" w:hAnsi="仿宋" w:eastAsia="仿宋"/>
          <w:sz w:val="32"/>
          <w:szCs w:val="32"/>
        </w:rPr>
      </w:pPr>
      <w:r>
        <w:rPr>
          <w:rFonts w:hint="eastAsia" w:ascii="仿宋" w:hAnsi="仿宋" w:eastAsia="仿宋"/>
          <w:sz w:val="32"/>
          <w:szCs w:val="32"/>
        </w:rPr>
        <w:t>攀枝花市仁和区建设工程质量安全监督站是攀枝花市仁和区住房和城乡建设局下属二级单位，单位性质为事业单位单位。</w:t>
      </w:r>
    </w:p>
    <w:p w14:paraId="0CBE4CB2">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纳入2018年度部门决算编制范围：</w:t>
      </w:r>
      <w:r>
        <w:rPr>
          <w:rFonts w:hint="eastAsia" w:ascii="仿宋" w:hAnsi="仿宋" w:eastAsia="仿宋"/>
          <w:sz w:val="32"/>
          <w:szCs w:val="32"/>
        </w:rPr>
        <w:t>攀枝花市仁和区建设工程质量安全监督站。</w:t>
      </w:r>
    </w:p>
    <w:p w14:paraId="1557C05D">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68DCD4A9">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5"/>
          <w:rFonts w:hint="eastAsia" w:ascii="黑体" w:hAnsi="黑体" w:eastAsia="黑体"/>
          <w:b w:val="0"/>
          <w:bCs w:val="0"/>
        </w:rPr>
        <w:t>2018年度部门决算情况说明</w:t>
      </w:r>
      <w:bookmarkEnd w:id="22"/>
      <w:bookmarkEnd w:id="23"/>
    </w:p>
    <w:p w14:paraId="16603D33"/>
    <w:p w14:paraId="6E239867">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14:paraId="0D25C5D1">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2018年度收入183.84万元，与2017年相比，收入增加31.11万元，增长20%，主要变动原因是增加了项目建设工程质量安全监督经费和人员经费。</w:t>
      </w:r>
    </w:p>
    <w:p w14:paraId="1D5BC0A1">
      <w:r>
        <w:drawing>
          <wp:inline distT="0" distB="0" distL="0" distR="0">
            <wp:extent cx="4445635" cy="2476500"/>
            <wp:effectExtent l="19050" t="0" r="1206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49392AD">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2018年度支出183.84万元，与2017年相比，支出增加31.11万元，增长20</w:t>
      </w:r>
      <w:r>
        <w:rPr>
          <w:rFonts w:ascii="仿宋" w:hAnsi="仿宋" w:eastAsia="仿宋"/>
          <w:color w:val="000000"/>
          <w:sz w:val="32"/>
          <w:szCs w:val="32"/>
        </w:rPr>
        <w:t>%</w:t>
      </w:r>
      <w:r>
        <w:rPr>
          <w:rFonts w:hint="eastAsia" w:ascii="仿宋" w:hAnsi="仿宋" w:eastAsia="仿宋"/>
          <w:color w:val="000000"/>
          <w:sz w:val="32"/>
          <w:szCs w:val="32"/>
        </w:rPr>
        <w:t>。主要变动原因是增加了项目建设工程质量安全监督经费和人员经费。</w:t>
      </w:r>
    </w:p>
    <w:p w14:paraId="22BE5CFC">
      <w:r>
        <w:drawing>
          <wp:inline distT="0" distB="0" distL="0" distR="0">
            <wp:extent cx="5045710" cy="2533650"/>
            <wp:effectExtent l="19050" t="0" r="2159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9BDDE8">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14:paraId="0EBB15EE">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8年本年收入合计183.84万元，其中：一般公共预算财政拨款收入183.84万元，占100</w:t>
      </w:r>
      <w:r>
        <w:rPr>
          <w:rFonts w:ascii="仿宋" w:hAnsi="仿宋" w:eastAsia="仿宋"/>
          <w:color w:val="000000"/>
          <w:sz w:val="32"/>
          <w:szCs w:val="32"/>
        </w:rPr>
        <w:t>%</w:t>
      </w:r>
      <w:r>
        <w:rPr>
          <w:rFonts w:hint="eastAsia" w:ascii="仿宋" w:hAnsi="仿宋" w:eastAsia="仿宋"/>
          <w:color w:val="000000"/>
          <w:sz w:val="32"/>
          <w:szCs w:val="32"/>
        </w:rPr>
        <w:t>。</w:t>
      </w:r>
    </w:p>
    <w:p w14:paraId="2A2C5AE5">
      <w:r>
        <w:rPr>
          <w:rFonts w:hint="eastAsia" w:ascii="仿宋" w:hAnsi="仿宋" w:eastAsia="仿宋"/>
          <w:color w:val="000000"/>
          <w:sz w:val="32"/>
          <w:szCs w:val="32"/>
        </w:rPr>
        <w:t xml:space="preserve">                  </w:t>
      </w:r>
      <w:r>
        <w:drawing>
          <wp:inline distT="0" distB="0" distL="0" distR="0">
            <wp:extent cx="4972050" cy="1666875"/>
            <wp:effectExtent l="19050" t="0" r="19050"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94D55C">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14:paraId="1ED901C5">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8年本年支出合计183.84万元，其中：基本支出164.62万元，占90</w:t>
      </w:r>
      <w:r>
        <w:rPr>
          <w:rFonts w:ascii="仿宋" w:hAnsi="仿宋" w:eastAsia="仿宋"/>
          <w:color w:val="000000"/>
          <w:sz w:val="32"/>
          <w:szCs w:val="32"/>
        </w:rPr>
        <w:t>%</w:t>
      </w:r>
      <w:r>
        <w:rPr>
          <w:rFonts w:hint="eastAsia" w:ascii="仿宋" w:hAnsi="仿宋" w:eastAsia="仿宋"/>
          <w:color w:val="000000"/>
          <w:sz w:val="32"/>
          <w:szCs w:val="32"/>
        </w:rPr>
        <w:t>；项目支出19.22万元，占10</w:t>
      </w:r>
      <w:r>
        <w:rPr>
          <w:rFonts w:ascii="仿宋" w:hAnsi="仿宋" w:eastAsia="仿宋"/>
          <w:color w:val="000000"/>
          <w:sz w:val="32"/>
          <w:szCs w:val="32"/>
        </w:rPr>
        <w:t>%</w:t>
      </w:r>
      <w:r>
        <w:rPr>
          <w:rFonts w:hint="eastAsia" w:ascii="仿宋" w:hAnsi="仿宋" w:eastAsia="仿宋"/>
          <w:color w:val="000000"/>
          <w:sz w:val="32"/>
          <w:szCs w:val="32"/>
        </w:rPr>
        <w:t>。</w:t>
      </w:r>
    </w:p>
    <w:p w14:paraId="22307D73">
      <w:r>
        <w:rPr>
          <w:rFonts w:hint="eastAsia" w:ascii="仿宋" w:hAnsi="仿宋" w:eastAsia="仿宋"/>
          <w:color w:val="000000"/>
          <w:sz w:val="32"/>
          <w:szCs w:val="32"/>
        </w:rPr>
        <w:t xml:space="preserve">                </w:t>
      </w:r>
      <w:r>
        <w:drawing>
          <wp:inline distT="0" distB="0" distL="0" distR="0">
            <wp:extent cx="5143500" cy="1790700"/>
            <wp:effectExtent l="19050" t="0" r="19050"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4E5A98">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14:paraId="2453B916">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8年财政拨款收入总计183.84万元，与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7年相比，财政拨款收入增加31.11万元，增长20</w:t>
      </w:r>
      <w:r>
        <w:rPr>
          <w:rFonts w:ascii="仿宋" w:hAnsi="仿宋" w:eastAsia="仿宋"/>
          <w:color w:val="000000"/>
          <w:sz w:val="32"/>
          <w:szCs w:val="32"/>
        </w:rPr>
        <w:t>%</w:t>
      </w:r>
      <w:r>
        <w:rPr>
          <w:rFonts w:hint="eastAsia" w:ascii="仿宋" w:hAnsi="仿宋" w:eastAsia="仿宋"/>
          <w:color w:val="000000"/>
          <w:sz w:val="32"/>
          <w:szCs w:val="32"/>
        </w:rPr>
        <w:t>。主要变动原因是增加了项目建设工程质量安全监督经费和人员经费。</w:t>
      </w:r>
    </w:p>
    <w:p w14:paraId="29C8ADE3">
      <w:r>
        <w:rPr>
          <w:rFonts w:hint="eastAsia" w:ascii="仿宋" w:hAnsi="仿宋" w:eastAsia="仿宋"/>
          <w:color w:val="000000"/>
          <w:sz w:val="32"/>
          <w:szCs w:val="32"/>
        </w:rPr>
        <w:t xml:space="preserve">     </w:t>
      </w:r>
      <w:r>
        <w:drawing>
          <wp:inline distT="0" distB="0" distL="0" distR="0">
            <wp:extent cx="4474210" cy="2657475"/>
            <wp:effectExtent l="19050" t="0" r="21590" b="0"/>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2BB1CC">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8年财政拨款支总计183.84万元，与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7年相比，财政拨款收入增加31.11万元，增长20</w:t>
      </w:r>
      <w:r>
        <w:rPr>
          <w:rFonts w:ascii="仿宋" w:hAnsi="仿宋" w:eastAsia="仿宋"/>
          <w:color w:val="000000"/>
          <w:sz w:val="32"/>
          <w:szCs w:val="32"/>
        </w:rPr>
        <w:t>%</w:t>
      </w:r>
      <w:r>
        <w:rPr>
          <w:rFonts w:hint="eastAsia" w:ascii="仿宋" w:hAnsi="仿宋" w:eastAsia="仿宋"/>
          <w:color w:val="000000"/>
          <w:sz w:val="32"/>
          <w:szCs w:val="32"/>
        </w:rPr>
        <w:t>。主要变动原因是增加了项目建设工程质量安全监督经费和人员经费。</w:t>
      </w:r>
    </w:p>
    <w:p w14:paraId="01619BBB">
      <w:r>
        <w:rPr>
          <w:rFonts w:hint="eastAsia" w:ascii="仿宋" w:hAnsi="仿宋" w:eastAsia="仿宋"/>
          <w:color w:val="000000"/>
          <w:sz w:val="32"/>
          <w:szCs w:val="32"/>
        </w:rPr>
        <w:t xml:space="preserve">   </w:t>
      </w:r>
      <w:r>
        <w:drawing>
          <wp:inline distT="0" distB="0" distL="0" distR="0">
            <wp:extent cx="4578985" cy="2590800"/>
            <wp:effectExtent l="19050" t="0" r="12065" b="0"/>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47824B">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14:paraId="043EAFCB">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48ED74C1">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8年一般公共预算财政拨款支出183.84万元，占本年支出合计的100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7年相比，一般公共预算财政拨款增加31.11万元，增长20</w:t>
      </w:r>
      <w:r>
        <w:rPr>
          <w:rFonts w:ascii="仿宋" w:hAnsi="仿宋" w:eastAsia="仿宋"/>
          <w:color w:val="000000"/>
          <w:sz w:val="32"/>
          <w:szCs w:val="32"/>
        </w:rPr>
        <w:t>%</w:t>
      </w:r>
      <w:r>
        <w:rPr>
          <w:rFonts w:hint="eastAsia" w:ascii="仿宋" w:hAnsi="仿宋" w:eastAsia="仿宋"/>
          <w:color w:val="000000"/>
          <w:sz w:val="32"/>
          <w:szCs w:val="32"/>
        </w:rPr>
        <w:t>。主要变动原因是增加了项目建设工程质量安全监督经费和人员经费。</w:t>
      </w:r>
    </w:p>
    <w:p w14:paraId="24EF1A12">
      <w:r>
        <w:rPr>
          <w:rFonts w:hint="eastAsia" w:ascii="仿宋" w:hAnsi="仿宋" w:eastAsia="仿宋"/>
          <w:color w:val="000000"/>
          <w:sz w:val="32"/>
          <w:szCs w:val="32"/>
        </w:rPr>
        <w:t xml:space="preserve">    </w:t>
      </w:r>
      <w:r>
        <w:drawing>
          <wp:inline distT="0" distB="0" distL="0" distR="0">
            <wp:extent cx="4874260" cy="2600325"/>
            <wp:effectExtent l="19050" t="0" r="21590" b="0"/>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33199A">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27AC7489">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政拨款支出183.84万元，主要用于以下方面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w:t>
      </w:r>
      <w:r>
        <w:rPr>
          <w:rFonts w:hint="eastAsia" w:ascii="仿宋" w:hAnsi="仿宋" w:eastAsia="仿宋"/>
          <w:color w:val="000000" w:themeColor="text1"/>
          <w:sz w:val="32"/>
          <w:szCs w:val="32"/>
        </w:rPr>
        <w:t>支出11.72万元，占6</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；医疗卫生支出6.35万元，占3</w:t>
      </w:r>
      <w:r>
        <w:rPr>
          <w:rFonts w:ascii="仿宋" w:hAnsi="仿宋" w:eastAsia="仿宋"/>
          <w:color w:val="000000" w:themeColor="text1"/>
          <w:sz w:val="32"/>
          <w:szCs w:val="32"/>
        </w:rPr>
        <w:t>%</w:t>
      </w:r>
      <w:r>
        <w:rPr>
          <w:rFonts w:hint="eastAsia" w:ascii="仿宋" w:hAnsi="仿宋" w:eastAsia="仿宋"/>
          <w:color w:val="000000" w:themeColor="text1"/>
          <w:sz w:val="32"/>
          <w:szCs w:val="32"/>
        </w:rPr>
        <w:t>；城乡社区支出149.89万元，占82</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；住房保障支出15.88万元，占9</w:t>
      </w:r>
      <w:r>
        <w:rPr>
          <w:rFonts w:ascii="仿宋" w:hAnsi="仿宋" w:eastAsia="仿宋"/>
          <w:color w:val="000000" w:themeColor="text1"/>
          <w:sz w:val="32"/>
          <w:szCs w:val="32"/>
        </w:rPr>
        <w:t>%</w:t>
      </w:r>
      <w:r>
        <w:rPr>
          <w:rFonts w:hint="eastAsia" w:ascii="仿宋" w:hAnsi="仿宋" w:eastAsia="仿宋"/>
          <w:color w:val="000000"/>
          <w:sz w:val="32"/>
          <w:szCs w:val="32"/>
        </w:rPr>
        <w:t>。</w:t>
      </w:r>
    </w:p>
    <w:p w14:paraId="49AD09F8">
      <w:r>
        <w:drawing>
          <wp:inline distT="0" distB="0" distL="0" distR="0">
            <wp:extent cx="5093335" cy="2781300"/>
            <wp:effectExtent l="19050" t="0" r="12065" b="0"/>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BF3AA3">
      <w:pPr>
        <w:spacing w:line="600" w:lineRule="exact"/>
        <w:ind w:firstLine="640"/>
        <w:rPr>
          <w:rFonts w:ascii="仿宋" w:hAnsi="仿宋" w:eastAsia="仿宋"/>
          <w:color w:val="000000" w:themeColor="text1"/>
          <w:sz w:val="32"/>
          <w:szCs w:val="32"/>
        </w:rPr>
      </w:pPr>
    </w:p>
    <w:p w14:paraId="580C6A4B">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5F2DCD18">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2018年般公共预算支出决算数为183.84万元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14:paraId="4295098B">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社会保障和就业</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支出决算为11.72万元，完成预算100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687D85BE">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支出决算为6.35万元，完成预算100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220F3F51">
      <w:pPr>
        <w:spacing w:line="60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3.</w:t>
      </w:r>
      <w:r>
        <w:rPr>
          <w:rFonts w:hint="eastAsia" w:ascii="仿宋" w:hAnsi="仿宋" w:eastAsia="仿宋"/>
          <w:color w:val="000000" w:themeColor="text1"/>
          <w:sz w:val="32"/>
          <w:szCs w:val="32"/>
        </w:rPr>
        <w:t xml:space="preserve"> 城乡社区：支出决算为149.89万元，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4937F2A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000000" w:themeColor="text1"/>
          <w:sz w:val="32"/>
          <w:szCs w:val="32"/>
        </w:rPr>
        <w:t xml:space="preserve"> 住房保障支出：支出决算为15.88万元，完成预算100</w:t>
      </w:r>
      <w:r>
        <w:rPr>
          <w:rFonts w:ascii="仿宋" w:hAnsi="仿宋" w:eastAsia="仿宋"/>
          <w:color w:val="000000" w:themeColor="text1"/>
          <w:sz w:val="32"/>
          <w:szCs w:val="32"/>
        </w:rPr>
        <w:t>%</w:t>
      </w:r>
    </w:p>
    <w:p w14:paraId="618A6724">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14:paraId="5624E13A">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8年一般公共预算财政拨款基本支出183.84万元，其中：</w:t>
      </w:r>
    </w:p>
    <w:p w14:paraId="03537822">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人员经费149.14万元，主要包括：基本工资、津贴补贴、绩效工资、机关事业单位基本养老保险缴费、职业年金缴费、其他社会保障缴费、退休费、住房公积金等。</w:t>
      </w:r>
      <w:r>
        <w:rPr>
          <w:rFonts w:ascii="仿宋" w:hAnsi="仿宋" w:eastAsia="仿宋"/>
          <w:color w:val="000000"/>
          <w:sz w:val="32"/>
          <w:szCs w:val="32"/>
        </w:rPr>
        <w:br w:type="textWrapping"/>
      </w:r>
      <w:r>
        <w:rPr>
          <w:rFonts w:hint="eastAsia" w:ascii="仿宋" w:hAnsi="仿宋" w:eastAsia="仿宋"/>
          <w:color w:val="000000"/>
          <w:sz w:val="32"/>
          <w:szCs w:val="32"/>
        </w:rPr>
        <w:t>　　公用经费15.47万元，主要包括：办公费、水费、电费、邮电费、差旅费、维修（护）费、会议费、培训费、劳务费、委托业务费、工会经费、福利费、公务用车运行维护费、其他商品和服务支出、办公设备购置等。</w:t>
      </w:r>
    </w:p>
    <w:p w14:paraId="657C3333">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14:paraId="2C8DFEE4">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350F93CB">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8年“三公”经费财政拨款支出决算5.81万元，完成预算100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14:paraId="0EEAEA2C">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27F55AE8">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8年“三公”经费财政拨款支出决算中，因公出国（境）费支出决算0万元；公务用车购置及运行维护费支出决算5.81万元，占100</w:t>
      </w:r>
      <w:r>
        <w:rPr>
          <w:rFonts w:ascii="仿宋" w:hAnsi="仿宋" w:eastAsia="仿宋"/>
          <w:color w:val="000000"/>
          <w:sz w:val="32"/>
          <w:szCs w:val="32"/>
        </w:rPr>
        <w:t>%</w:t>
      </w:r>
      <w:r>
        <w:rPr>
          <w:rFonts w:hint="eastAsia" w:ascii="仿宋" w:hAnsi="仿宋" w:eastAsia="仿宋"/>
          <w:color w:val="000000"/>
          <w:sz w:val="32"/>
          <w:szCs w:val="32"/>
        </w:rPr>
        <w:t>；公务接待费支出决算0万元。</w:t>
      </w:r>
    </w:p>
    <w:p w14:paraId="6F37DB03">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14:paraId="5823980C">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5.81万元</w:t>
      </w:r>
      <w:r>
        <w:rPr>
          <w:rFonts w:hint="eastAsia" w:ascii="仿宋" w:hAnsi="仿宋" w:eastAsia="仿宋"/>
          <w:color w:val="000000"/>
          <w:sz w:val="32"/>
          <w:szCs w:val="32"/>
        </w:rPr>
        <w:t>，</w:t>
      </w:r>
      <w:r>
        <w:rPr>
          <w:rFonts w:hint="eastAsia" w:ascii="仿宋_GB2312" w:eastAsia="仿宋_GB2312"/>
          <w:color w:val="000000"/>
          <w:sz w:val="32"/>
          <w:szCs w:val="32"/>
        </w:rPr>
        <w:t>完成预算100</w:t>
      </w:r>
      <w:r>
        <w:rPr>
          <w:rFonts w:ascii="仿宋_GB2312" w:eastAsia="仿宋_GB2312"/>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7年增加2.83万元</w:t>
      </w:r>
      <w:r>
        <w:rPr>
          <w:rFonts w:hint="eastAsia" w:ascii="仿宋" w:hAnsi="仿宋" w:eastAsia="仿宋"/>
          <w:color w:val="000000"/>
          <w:sz w:val="32"/>
          <w:szCs w:val="32"/>
        </w:rPr>
        <w:t>，</w:t>
      </w:r>
      <w:r>
        <w:rPr>
          <w:rFonts w:hint="eastAsia" w:ascii="仿宋_GB2312" w:eastAsia="仿宋_GB2312"/>
          <w:color w:val="000000"/>
          <w:sz w:val="32"/>
          <w:szCs w:val="32"/>
        </w:rPr>
        <w:t>增长95</w:t>
      </w:r>
      <w:r>
        <w:rPr>
          <w:rFonts w:ascii="仿宋_GB2312" w:eastAsia="仿宋_GB2312"/>
          <w:color w:val="000000"/>
          <w:sz w:val="32"/>
          <w:szCs w:val="32"/>
        </w:rPr>
        <w:t>%</w:t>
      </w:r>
      <w:r>
        <w:rPr>
          <w:rFonts w:hint="eastAsia" w:ascii="仿宋_GB2312" w:eastAsia="仿宋_GB2312"/>
          <w:color w:val="000000"/>
          <w:sz w:val="32"/>
          <w:szCs w:val="32"/>
        </w:rPr>
        <w:t>。主要原因一是2018年充值在加油卡，二是车辆购买时间长，维修费增加。截至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月底，单位帐面共有公务用车2辆，车辆于2018年9月移交仁和区机关事务管理局。</w:t>
      </w:r>
    </w:p>
    <w:p w14:paraId="4962840E">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5.81万元。主要用于建设工程质量安全检查等所需的公务用车燃料费、维修费、过路过桥费、保险费等支出。</w:t>
      </w:r>
    </w:p>
    <w:p w14:paraId="51D476EE">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p>
    <w:p w14:paraId="7B580215">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14:paraId="65D8A059">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我站无</w:t>
      </w: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p>
    <w:p w14:paraId="5BE2CEB2">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14:paraId="54424976">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我站无</w:t>
      </w: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p>
    <w:p w14:paraId="3D417DDE">
      <w:pPr>
        <w:spacing w:line="580" w:lineRule="exact"/>
        <w:ind w:firstLine="800" w:firstLineChars="250"/>
        <w:rPr>
          <w:rStyle w:val="26"/>
          <w:rFonts w:ascii="黑体" w:hAnsi="黑体" w:eastAsia="黑体"/>
          <w:b w:val="0"/>
        </w:rPr>
      </w:pPr>
      <w:r>
        <w:rPr>
          <w:rStyle w:val="26"/>
          <w:rFonts w:hint="eastAsia" w:ascii="黑体" w:hAnsi="黑体" w:eastAsia="黑体"/>
          <w:b w:val="0"/>
        </w:rPr>
        <w:t>十、预算绩效情况说明</w:t>
      </w:r>
    </w:p>
    <w:p w14:paraId="2D5BEA1E">
      <w:pPr>
        <w:numPr>
          <w:ilvl w:val="0"/>
          <w:numId w:val="3"/>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150C001E">
      <w:pPr>
        <w:spacing w:line="580" w:lineRule="exact"/>
        <w:ind w:firstLine="640" w:firstLineChars="200"/>
        <w:rPr>
          <w:rFonts w:ascii="仿宋" w:hAnsi="仿宋" w:eastAsia="仿宋"/>
          <w:sz w:val="32"/>
          <w:szCs w:val="32"/>
        </w:rPr>
      </w:pPr>
      <w:r>
        <w:rPr>
          <w:rFonts w:hint="eastAsia" w:ascii="仿宋" w:hAnsi="仿宋" w:eastAsia="仿宋"/>
          <w:sz w:val="32"/>
          <w:szCs w:val="32"/>
        </w:rPr>
        <w:t>我站按要求对2018年部门整体支出开展绩效自评，从评价情况来看，我站在各项实施过程中，建立健全相关制度、机制，严格执行，推进各项工作落实。总体来说项目审核严格，管理到位，评价结论为良。</w:t>
      </w:r>
    </w:p>
    <w:p w14:paraId="65248620">
      <w:pPr>
        <w:numPr>
          <w:ilvl w:val="0"/>
          <w:numId w:val="3"/>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7A591A0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我站按要求对2018年部门整体支出绩效评价情况开展自评，《攀枝花仁和区建设工程质量安全监督站2018年部门整体支出绩效评价报告》见附件。</w:t>
      </w:r>
    </w:p>
    <w:p w14:paraId="11D0404D">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14:paraId="47428F6F">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1A47AADB">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hAnsi="仿宋_GB2312" w:eastAsia="仿宋_GB2312" w:cs="仿宋_GB2312"/>
          <w:sz w:val="32"/>
          <w:szCs w:val="32"/>
        </w:rPr>
        <w:t>攀枝花仁和区建设工程质量安全监督站</w:t>
      </w:r>
      <w:r>
        <w:rPr>
          <w:rFonts w:hint="eastAsia" w:ascii="仿宋_GB2312" w:eastAsia="仿宋_GB2312"/>
          <w:color w:val="000000"/>
          <w:sz w:val="32"/>
          <w:szCs w:val="32"/>
        </w:rPr>
        <w:t>机关运行经费支出0万元。</w:t>
      </w:r>
    </w:p>
    <w:p w14:paraId="03585B9A">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1DF51E9E">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hAnsi="仿宋_GB2312" w:eastAsia="仿宋_GB2312" w:cs="仿宋_GB2312"/>
          <w:sz w:val="32"/>
          <w:szCs w:val="32"/>
        </w:rPr>
        <w:t>攀枝花仁和区建设工程质量安全监督站</w:t>
      </w:r>
      <w:r>
        <w:rPr>
          <w:rFonts w:hint="eastAsia" w:ascii="仿宋_GB2312" w:eastAsia="仿宋_GB2312"/>
          <w:color w:val="000000"/>
          <w:sz w:val="32"/>
          <w:szCs w:val="32"/>
        </w:rPr>
        <w:t>政府采购支出总额5.7万元，其中：政府采购货物支出5.7万元。主要用于仁和区建设工程质量安全检查办公。</w:t>
      </w:r>
    </w:p>
    <w:p w14:paraId="5FD14D60">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4854479A">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hAnsi="仿宋_GB2312" w:eastAsia="仿宋_GB2312" w:cs="仿宋_GB2312"/>
          <w:sz w:val="32"/>
          <w:szCs w:val="32"/>
        </w:rPr>
        <w:t>攀枝花仁和区建设工程质量安全监督站帐面</w:t>
      </w:r>
      <w:r>
        <w:rPr>
          <w:rFonts w:hint="eastAsia" w:ascii="仿宋_GB2312" w:eastAsia="仿宋_GB2312"/>
          <w:color w:val="000000"/>
          <w:sz w:val="32"/>
          <w:szCs w:val="32"/>
        </w:rPr>
        <w:t>共有车辆2辆，其中：部级领导干部用车0辆、一般公务用车0辆、一般执法执勤用车0辆、特种专业技术用车0辆、其他用车0辆，</w:t>
      </w:r>
      <w:r>
        <w:rPr>
          <w:rFonts w:hint="eastAsia" w:ascii="仿宋_GB2312" w:eastAsia="仿宋_GB2312"/>
          <w:color w:val="000000" w:themeColor="text1"/>
          <w:sz w:val="32"/>
          <w:szCs w:val="32"/>
        </w:rPr>
        <w:t>其他用车主要是用于</w:t>
      </w:r>
      <w:r>
        <w:rPr>
          <w:rFonts w:hint="eastAsia" w:ascii="仿宋_GB2312" w:eastAsia="仿宋_GB2312"/>
          <w:color w:val="000000"/>
          <w:sz w:val="32"/>
          <w:szCs w:val="32"/>
        </w:rPr>
        <w:t>仁和区建设工程质量安全检查。</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14:paraId="0322B137">
      <w:pPr>
        <w:numPr>
          <w:ilvl w:val="0"/>
          <w:numId w:val="4"/>
        </w:numPr>
        <w:spacing w:line="600" w:lineRule="exact"/>
        <w:ind w:firstLine="663"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14:paraId="09AC1C4A">
      <w:pPr>
        <w:spacing w:line="600" w:lineRule="exact"/>
        <w:jc w:val="left"/>
        <w:rPr>
          <w:rFonts w:ascii="宋体"/>
          <w:b/>
          <w:color w:val="000000"/>
          <w:sz w:val="44"/>
          <w:szCs w:val="44"/>
        </w:rPr>
      </w:pPr>
    </w:p>
    <w:p w14:paraId="47032876">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79D104F">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社会保障和就业：指反映政府在社会保障和就业方面支出。</w:t>
      </w:r>
    </w:p>
    <w:p w14:paraId="452F3CF7">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医疗卫生与计划生育：指反映政府卫生健康方面的支出。</w:t>
      </w:r>
    </w:p>
    <w:p w14:paraId="3B2B025D">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城乡社区：指反映政府城乡社区事务支出。</w:t>
      </w:r>
    </w:p>
    <w:p w14:paraId="5AE2EF0F">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住房保障：指集中反映政府用于住房方面的支出。</w:t>
      </w:r>
    </w:p>
    <w:p w14:paraId="1D4D4142">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1C5BD696">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36508A7A">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7CBB846D">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CD74809">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D842E6F">
      <w:pPr>
        <w:ind w:firstLine="643" w:firstLineChars="200"/>
        <w:rPr>
          <w:rFonts w:ascii="仿宋" w:hAnsi="仿宋" w:eastAsia="仿宋"/>
          <w:b/>
          <w:color w:val="000000"/>
          <w:sz w:val="32"/>
          <w:szCs w:val="32"/>
        </w:rPr>
      </w:pPr>
    </w:p>
    <w:p w14:paraId="1EBAA107">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14:paraId="744054CC">
      <w:pPr>
        <w:spacing w:line="600" w:lineRule="exact"/>
        <w:jc w:val="center"/>
        <w:outlineLvl w:val="0"/>
        <w:rPr>
          <w:rStyle w:val="25"/>
        </w:rPr>
      </w:pPr>
    </w:p>
    <w:p w14:paraId="07C2AEEF">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14:paraId="57D827BF">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攀枝花市仁区建设工程质量安全监督站</w:t>
      </w:r>
    </w:p>
    <w:p w14:paraId="12BB924F">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14:paraId="48A971E2">
      <w:pPr>
        <w:spacing w:line="580" w:lineRule="exact"/>
        <w:ind w:firstLine="640" w:firstLineChars="200"/>
        <w:rPr>
          <w:rFonts w:ascii="黑体" w:hAnsi="黑体" w:eastAsia="黑体" w:cs="黑体"/>
          <w:sz w:val="32"/>
          <w:szCs w:val="32"/>
        </w:rPr>
      </w:pPr>
    </w:p>
    <w:p w14:paraId="07EF1701">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bookmarkStart w:id="61" w:name="_Toc15396617"/>
      <w:r>
        <w:rPr>
          <w:rFonts w:hint="eastAsia" w:ascii="仿宋_GB2312" w:hAnsi="仿宋_GB2312" w:eastAsia="仿宋_GB2312" w:cs="仿宋_GB2312"/>
          <w:color w:val="333333"/>
          <w:sz w:val="32"/>
          <w:szCs w:val="32"/>
          <w:shd w:val="clear" w:color="auto" w:fill="FFFFFF"/>
        </w:rPr>
        <w:t>一、单位概况</w:t>
      </w:r>
    </w:p>
    <w:p w14:paraId="055CF7A2">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（一）机构组成</w:t>
      </w:r>
    </w:p>
    <w:p w14:paraId="3D2D19C5">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仁和区建设工程质量安全监督站属仁和区住房和城乡建设局下设的独立核算事业单位。</w:t>
      </w:r>
    </w:p>
    <w:p w14:paraId="629E93E9">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（二）机构职能</w:t>
      </w:r>
    </w:p>
    <w:p w14:paraId="551944A6">
      <w:pPr>
        <w:ind w:firstLine="646"/>
        <w:rPr>
          <w:rFonts w:ascii="仿宋_GB2312" w:hAnsi="宋体" w:eastAsia="仿宋_GB2312"/>
          <w:sz w:val="32"/>
          <w:szCs w:val="32"/>
        </w:rPr>
      </w:pPr>
      <w:r>
        <w:rPr>
          <w:rFonts w:hint="eastAsia" w:ascii="仿宋_GB2312" w:hAnsi="宋体" w:eastAsia="仿宋_GB2312"/>
          <w:sz w:val="32"/>
          <w:szCs w:val="32"/>
        </w:rPr>
        <w:t>一、依据中华人民共和国建筑法、《安全生产法》、国务院《建设工程质量管理条例》、《建设工程安全生产管理条例》等法律、法规、规章，建设部、四川省、攀枝花市仁和区有关工程质量和安全的规范性文件，工程建设标准、规范、规程、审查合格的施工图设计文件，对我区行政区域内房屋建筑和市政基础设施的工程质量和施工现场安全生产文明施工进行强制性监督管理。</w:t>
      </w:r>
    </w:p>
    <w:p w14:paraId="5F87B359">
      <w:pPr>
        <w:ind w:firstLine="646"/>
        <w:rPr>
          <w:rFonts w:ascii="仿宋_GB2312" w:hAnsi="宋体" w:eastAsia="仿宋_GB2312"/>
          <w:sz w:val="32"/>
          <w:szCs w:val="32"/>
        </w:rPr>
      </w:pPr>
      <w:r>
        <w:rPr>
          <w:rFonts w:hint="eastAsia" w:ascii="仿宋_GB2312" w:hAnsi="宋体" w:eastAsia="仿宋_GB2312"/>
          <w:sz w:val="32"/>
          <w:szCs w:val="32"/>
        </w:rPr>
        <w:t>二、监督工作的主要内容：地基基础、主体结构和其它涉及结构安全的关键部位，环境质量和重要使用功能的部位，施工现场安全生产文明施工状况，工程建设各方责任主体的质量安全行为。</w:t>
      </w:r>
    </w:p>
    <w:p w14:paraId="6125FB81">
      <w:pPr>
        <w:ind w:firstLine="646"/>
        <w:rPr>
          <w:rFonts w:ascii="仿宋_GB2312" w:hAnsi="宋体" w:eastAsia="仿宋_GB2312"/>
          <w:sz w:val="32"/>
          <w:szCs w:val="32"/>
        </w:rPr>
      </w:pPr>
      <w:r>
        <w:rPr>
          <w:rFonts w:hint="eastAsia" w:ascii="仿宋_GB2312" w:hAnsi="宋体" w:eastAsia="仿宋_GB2312"/>
          <w:sz w:val="32"/>
          <w:szCs w:val="32"/>
        </w:rPr>
        <w:t>三、对工程项目进行开工前的安全生产条件现场勘验。</w:t>
      </w:r>
    </w:p>
    <w:p w14:paraId="09DE57E2">
      <w:pPr>
        <w:ind w:firstLine="646"/>
        <w:rPr>
          <w:rFonts w:ascii="仿宋_GB2312" w:hAnsi="宋体" w:eastAsia="仿宋_GB2312"/>
          <w:sz w:val="32"/>
          <w:szCs w:val="32"/>
        </w:rPr>
      </w:pPr>
      <w:r>
        <w:rPr>
          <w:rFonts w:hint="eastAsia" w:ascii="仿宋_GB2312" w:hAnsi="宋体" w:eastAsia="仿宋_GB2312"/>
          <w:sz w:val="32"/>
          <w:szCs w:val="32"/>
        </w:rPr>
        <w:t>四、根据工程建设的特点，制订质量安全监督计划，按计划对工程施工过程的质量和安全进行监督检查，结合工程的进度不定期的对工程质量和安全生产文明施工进行抽查。</w:t>
      </w:r>
    </w:p>
    <w:p w14:paraId="437F0957">
      <w:pPr>
        <w:ind w:firstLine="646"/>
        <w:rPr>
          <w:rFonts w:ascii="仿宋_GB2312" w:hAnsi="宋体" w:eastAsia="仿宋_GB2312"/>
          <w:sz w:val="32"/>
          <w:szCs w:val="32"/>
        </w:rPr>
      </w:pPr>
      <w:r>
        <w:rPr>
          <w:rFonts w:hint="eastAsia" w:ascii="仿宋_GB2312" w:hAnsi="宋体" w:eastAsia="仿宋_GB2312"/>
          <w:sz w:val="32"/>
          <w:szCs w:val="32"/>
        </w:rPr>
        <w:t>五、对工程的竣工验收实施监督，出具工程质量监督报告。对工程施工现场文明施工进行分阶段评价，提交工程项目施工安全评价书。</w:t>
      </w:r>
    </w:p>
    <w:p w14:paraId="0A4E169A">
      <w:pPr>
        <w:ind w:firstLine="646"/>
        <w:rPr>
          <w:rFonts w:ascii="仿宋_GB2312" w:hAnsi="宋体" w:eastAsia="仿宋_GB2312"/>
          <w:sz w:val="32"/>
          <w:szCs w:val="32"/>
        </w:rPr>
      </w:pPr>
      <w:r>
        <w:rPr>
          <w:rFonts w:hint="eastAsia" w:ascii="仿宋_GB2312" w:hAnsi="宋体" w:eastAsia="仿宋_GB2312"/>
          <w:sz w:val="32"/>
          <w:szCs w:val="32"/>
        </w:rPr>
        <w:t>六、对工程建设各方主体的质量安全不良性为进行调查、扣分，并将扣分情况上报区住房和城乡建设局，对建筑施工企业安全生产许可证进行动态管理。</w:t>
      </w:r>
    </w:p>
    <w:p w14:paraId="3B9797EA">
      <w:pPr>
        <w:ind w:firstLine="646"/>
        <w:rPr>
          <w:rFonts w:ascii="仿宋_GB2312" w:hAnsi="宋体" w:eastAsia="仿宋_GB2312"/>
          <w:sz w:val="32"/>
          <w:szCs w:val="32"/>
        </w:rPr>
      </w:pPr>
      <w:r>
        <w:rPr>
          <w:rFonts w:hint="eastAsia" w:ascii="仿宋_GB2312" w:hAnsi="宋体" w:eastAsia="仿宋_GB2312"/>
          <w:sz w:val="32"/>
          <w:szCs w:val="32"/>
        </w:rPr>
        <w:t>七、公示本地区工程质量、施工安全投诉方式、受理本市行政区域内工程质量、施工安全投诉工作，并及时进行调查和处理。</w:t>
      </w:r>
    </w:p>
    <w:p w14:paraId="0C75037B">
      <w:pPr>
        <w:ind w:firstLine="645"/>
        <w:rPr>
          <w:rFonts w:ascii="仿宋_GB2312" w:hAnsi="宋体" w:eastAsia="仿宋_GB2312"/>
          <w:sz w:val="32"/>
          <w:szCs w:val="32"/>
        </w:rPr>
      </w:pPr>
      <w:r>
        <w:rPr>
          <w:rFonts w:hint="eastAsia" w:ascii="仿宋_GB2312" w:hAnsi="宋体" w:eastAsia="仿宋_GB2312"/>
          <w:sz w:val="32"/>
          <w:szCs w:val="32"/>
        </w:rPr>
        <w:t>八、受建设行政主管部门委托负责受监工程项目的竣工验收备案工作。</w:t>
      </w:r>
    </w:p>
    <w:p w14:paraId="6C0FD2A7">
      <w:pPr>
        <w:ind w:firstLine="645"/>
        <w:rPr>
          <w:rFonts w:ascii="仿宋_GB2312" w:hAnsi="宋体" w:eastAsia="仿宋_GB2312"/>
          <w:sz w:val="32"/>
          <w:szCs w:val="32"/>
        </w:rPr>
      </w:pPr>
      <w:r>
        <w:rPr>
          <w:rFonts w:hint="eastAsia" w:ascii="仿宋_GB2312" w:hAnsi="宋体" w:eastAsia="仿宋_GB2312"/>
          <w:sz w:val="32"/>
          <w:szCs w:val="32"/>
        </w:rPr>
        <w:t>九、组织和参与本区行政区域内的各类工程质量和施工现场安全生产文明施工大检查，参与或授权主持发生在本区行政区域内的一般及以上工程质量安全事故。并及时作好统计上报工作。</w:t>
      </w:r>
    </w:p>
    <w:p w14:paraId="50A65E98">
      <w:pPr>
        <w:ind w:firstLine="646"/>
        <w:rPr>
          <w:rFonts w:ascii="仿宋_GB2312" w:hAnsi="宋体" w:eastAsia="仿宋_GB2312"/>
          <w:sz w:val="32"/>
          <w:szCs w:val="32"/>
        </w:rPr>
      </w:pPr>
      <w:r>
        <w:rPr>
          <w:rFonts w:hint="eastAsia" w:ascii="仿宋_GB2312" w:hAnsi="宋体" w:eastAsia="仿宋_GB2312"/>
          <w:sz w:val="32"/>
          <w:szCs w:val="32"/>
        </w:rPr>
        <w:t>十、做好本地区与工程质量安全有关的法律、法规、规章及工程建设标准、规范、规程的宣传培训工作，帮助和支持本地区新技术、新材料、新工艺，推广与应用。积极推动我区工程质量和安全生产文明施工水平的提高。</w:t>
      </w:r>
    </w:p>
    <w:p w14:paraId="1B184CCA">
      <w:pPr>
        <w:ind w:firstLine="645"/>
        <w:rPr>
          <w:rFonts w:ascii="仿宋_GB2312" w:hAnsi="宋体" w:eastAsia="仿宋_GB2312"/>
          <w:sz w:val="32"/>
          <w:szCs w:val="32"/>
        </w:rPr>
      </w:pPr>
      <w:r>
        <w:rPr>
          <w:rFonts w:hint="eastAsia" w:ascii="仿宋_GB2312" w:hAnsi="宋体" w:eastAsia="仿宋_GB2312"/>
          <w:sz w:val="32"/>
          <w:szCs w:val="32"/>
        </w:rPr>
        <w:t>十一、加大质量安全行政执法力度，在住房和城乡建设局委托范围内（简易程序和一般程序）对工程建设各方有关质量安全的违法违规行为实施行政处罚。</w:t>
      </w:r>
    </w:p>
    <w:p w14:paraId="51C18B6A">
      <w:pPr>
        <w:ind w:firstLine="646"/>
        <w:rPr>
          <w:rFonts w:ascii="仿宋_GB2312" w:hAnsi="宋体" w:eastAsia="仿宋_GB2312"/>
          <w:sz w:val="32"/>
          <w:szCs w:val="32"/>
        </w:rPr>
      </w:pPr>
      <w:r>
        <w:rPr>
          <w:rFonts w:hint="eastAsia" w:ascii="仿宋_GB2312" w:hAnsi="宋体" w:eastAsia="仿宋_GB2312"/>
          <w:sz w:val="32"/>
          <w:szCs w:val="32"/>
        </w:rPr>
        <w:t>十二、完善计算机信息网络建设，提高自动化办公程度，掌握受监工程质量安全状况，做好监督数据统计和信息管理工作，并按时上报市建设工程质量安全监督站和区住房和城乡建设局。</w:t>
      </w:r>
    </w:p>
    <w:p w14:paraId="67922720">
      <w:pPr>
        <w:ind w:firstLine="646"/>
        <w:rPr>
          <w:rFonts w:ascii="仿宋_GB2312" w:hAnsi="宋体" w:eastAsia="仿宋_GB2312"/>
          <w:sz w:val="32"/>
          <w:szCs w:val="32"/>
        </w:rPr>
      </w:pPr>
      <w:r>
        <w:rPr>
          <w:rFonts w:hint="eastAsia" w:ascii="仿宋_GB2312" w:hAnsi="宋体" w:eastAsia="仿宋_GB2312"/>
          <w:sz w:val="32"/>
          <w:szCs w:val="32"/>
        </w:rPr>
        <w:t>十三、加强职工的政治思想，廉政勤政和职业道德教育，作好专业技术人员的培训和继续教育工作，提高职工的专业技术水平和业务能力，搞好本单位精神文明和作风建设工作。</w:t>
      </w:r>
    </w:p>
    <w:p w14:paraId="1B55CFC6">
      <w:pPr>
        <w:ind w:firstLine="640" w:firstLineChars="200"/>
        <w:rPr>
          <w:rFonts w:ascii="仿宋_GB2312" w:hAnsi="仿宋_GB2312" w:eastAsia="仿宋_GB2312" w:cs="仿宋_GB2312"/>
          <w:color w:val="000000"/>
          <w:sz w:val="32"/>
          <w:szCs w:val="32"/>
        </w:rPr>
      </w:pPr>
      <w:r>
        <w:rPr>
          <w:rFonts w:hint="eastAsia" w:ascii="仿宋_GB2312" w:hAnsi="宋体" w:eastAsia="仿宋_GB2312"/>
          <w:sz w:val="32"/>
          <w:szCs w:val="32"/>
        </w:rPr>
        <w:t>十四、按时完成上级临时交办的工作和任务。</w:t>
      </w:r>
    </w:p>
    <w:p w14:paraId="3C958F9F">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（三）人员概况</w:t>
      </w:r>
    </w:p>
    <w:p w14:paraId="3E752483">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仁和区建设工程质量安全监督站有事业编制</w:t>
      </w:r>
      <w:r>
        <w:rPr>
          <w:rFonts w:ascii="仿宋_GB2312" w:hAnsi="仿宋_GB2312" w:eastAsia="仿宋_GB2312" w:cs="仿宋_GB2312"/>
          <w:color w:val="333333"/>
          <w:sz w:val="32"/>
          <w:szCs w:val="32"/>
          <w:shd w:val="clear" w:color="auto" w:fill="FFFFFF"/>
        </w:rPr>
        <w:t>10</w:t>
      </w:r>
      <w:r>
        <w:rPr>
          <w:rFonts w:hint="eastAsia" w:ascii="仿宋_GB2312" w:hAnsi="仿宋_GB2312" w:eastAsia="仿宋_GB2312" w:cs="仿宋_GB2312"/>
          <w:color w:val="333333"/>
          <w:sz w:val="32"/>
          <w:szCs w:val="32"/>
          <w:shd w:val="clear" w:color="auto" w:fill="FFFFFF"/>
        </w:rPr>
        <w:t>名，在职职工</w:t>
      </w:r>
      <w:r>
        <w:rPr>
          <w:rFonts w:ascii="仿宋_GB2312" w:hAnsi="仿宋_GB2312" w:eastAsia="仿宋_GB2312" w:cs="仿宋_GB2312"/>
          <w:color w:val="333333"/>
          <w:sz w:val="32"/>
          <w:szCs w:val="32"/>
          <w:shd w:val="clear" w:color="auto" w:fill="FFFFFF"/>
        </w:rPr>
        <w:t>10</w:t>
      </w:r>
      <w:r>
        <w:rPr>
          <w:rFonts w:hint="eastAsia" w:ascii="仿宋_GB2312" w:hAnsi="仿宋_GB2312" w:eastAsia="仿宋_GB2312" w:cs="仿宋_GB2312"/>
          <w:color w:val="333333"/>
          <w:sz w:val="32"/>
          <w:szCs w:val="32"/>
          <w:shd w:val="clear" w:color="auto" w:fill="FFFFFF"/>
        </w:rPr>
        <w:t>人（其中高级工程师</w:t>
      </w:r>
      <w:r>
        <w:rPr>
          <w:rFonts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rPr>
        <w:t>名，中级工程师</w:t>
      </w:r>
      <w:r>
        <w:rPr>
          <w:rFonts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rPr>
        <w:t>名、初级工程师</w:t>
      </w:r>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名、八级管理人员</w:t>
      </w:r>
      <w:r>
        <w:rPr>
          <w:rFonts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名）。</w:t>
      </w:r>
    </w:p>
    <w:p w14:paraId="3670F9D7">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二、部门</w:t>
      </w:r>
      <w:r>
        <w:rPr>
          <w:rFonts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rPr>
        <w:t>8年度财政资金收支情况</w:t>
      </w:r>
    </w:p>
    <w:p w14:paraId="427A31EA">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（一）部门财政资金收入情况。</w:t>
      </w:r>
    </w:p>
    <w:p w14:paraId="1D8D2492">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区质安站</w:t>
      </w:r>
      <w:r>
        <w:rPr>
          <w:rFonts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rPr>
        <w:t>8年财政拨款183.84万元。</w:t>
      </w:r>
    </w:p>
    <w:p w14:paraId="46819694">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（二）部门财政资金支出情况。</w:t>
      </w:r>
    </w:p>
    <w:p w14:paraId="2F1F2F5A">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区质安站</w:t>
      </w:r>
      <w:r>
        <w:rPr>
          <w:rFonts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rPr>
        <w:t>8年支出183.84万元</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其中工资福利支出</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147.92万元</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商品和服务支出29.02万元</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对个人和家庭的补助支出1.23万元，资本性支出5.67万元。</w:t>
      </w:r>
    </w:p>
    <w:p w14:paraId="49E2E4CF">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三、部门财政支出管理情况</w:t>
      </w:r>
    </w:p>
    <w:p w14:paraId="5E82A846">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（一）预决算编制情况</w:t>
      </w:r>
    </w:p>
    <w:p w14:paraId="122A98B2">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区质安站对</w:t>
      </w:r>
      <w:r>
        <w:rPr>
          <w:rFonts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rPr>
        <w:t>8年度收到的所有财政拨款资金和其他资金的使用情况进行了全面的梳理，按照资金的来源、用途、使用管理的具体要求分项目、分种类、分科目进行了清理。</w:t>
      </w:r>
      <w:r>
        <w:rPr>
          <w:rFonts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rPr>
        <w:t>8年区质安站共收到财政拨款资金183.84万元</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，全年收入总计183.84万元。全年共发生基本支出164.62万元（包括区、事业性支出、医疗保障及离退休支出）。</w:t>
      </w:r>
    </w:p>
    <w:p w14:paraId="0D797CDE">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对照年初的预算，通过编制部门决算报表，全面、真实的反映了区质安站</w:t>
      </w:r>
      <w:r>
        <w:rPr>
          <w:rFonts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rPr>
        <w:t>8年度财政资金的使用情况。</w:t>
      </w:r>
    </w:p>
    <w:p w14:paraId="1006355D">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（二）执行管理情况</w:t>
      </w:r>
    </w:p>
    <w:p w14:paraId="1E2B839B">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本着少花钱、多办事、办好事、遵循有预算的支出原则。</w:t>
      </w:r>
      <w:r>
        <w:rPr>
          <w:rFonts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rPr>
        <w:t>8年总支出183.84万元，其中基本支出164.62万元。</w:t>
      </w:r>
    </w:p>
    <w:p w14:paraId="328BFF4B">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（三）决算编制情况</w:t>
      </w:r>
    </w:p>
    <w:p w14:paraId="7BB746E8">
      <w:pPr>
        <w:pStyle w:val="12"/>
        <w:widowControl/>
        <w:shd w:val="clear" w:color="auto" w:fill="FFFFFF"/>
        <w:spacing w:beforeAutospacing="0" w:afterAutospacing="0" w:line="315" w:lineRule="atLeas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根据攀仁财【</w:t>
      </w:r>
      <w:r>
        <w:rPr>
          <w:rFonts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rPr>
        <w:t>8】</w:t>
      </w:r>
      <w:r>
        <w:rPr>
          <w:rFonts w:ascii="仿宋_GB2312" w:hAnsi="仿宋_GB2312" w:eastAsia="仿宋_GB2312" w:cs="仿宋_GB2312"/>
          <w:color w:val="333333"/>
          <w:sz w:val="32"/>
          <w:szCs w:val="32"/>
          <w:shd w:val="clear" w:color="auto" w:fill="FFFFFF"/>
        </w:rPr>
        <w:t>28</w:t>
      </w:r>
      <w:r>
        <w:rPr>
          <w:rFonts w:hint="eastAsia" w:ascii="仿宋_GB2312" w:hAnsi="仿宋_GB2312" w:eastAsia="仿宋_GB2312" w:cs="仿宋_GB2312"/>
          <w:color w:val="333333"/>
          <w:sz w:val="32"/>
          <w:szCs w:val="32"/>
          <w:shd w:val="clear" w:color="auto" w:fill="FFFFFF"/>
        </w:rPr>
        <w:t>5号编制</w:t>
      </w:r>
      <w:r>
        <w:rPr>
          <w:rFonts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rPr>
        <w:t>8年部门决算。</w:t>
      </w:r>
    </w:p>
    <w:p w14:paraId="3D5D9D8F">
      <w:pPr>
        <w:pStyle w:val="12"/>
        <w:widowControl/>
        <w:shd w:val="clear" w:color="auto" w:fill="FFFFFF"/>
        <w:spacing w:beforeAutospacing="0" w:afterAutospacing="0" w:line="315" w:lineRule="atLeast"/>
        <w:rPr>
          <w:rFonts w:ascii="仿宋_GB2312" w:hAnsi="仿宋" w:eastAsia="仿宋_GB2312"/>
          <w:sz w:val="32"/>
          <w:szCs w:val="32"/>
        </w:rPr>
      </w:pPr>
      <w:r>
        <w:rPr>
          <w:rFonts w:hint="eastAsia" w:ascii="仿宋_GB2312" w:hAnsi="仿宋" w:eastAsia="仿宋_GB2312"/>
          <w:sz w:val="32"/>
          <w:szCs w:val="32"/>
        </w:rPr>
        <w:t>财政拨款核对情况，</w:t>
      </w:r>
      <w:r>
        <w:rPr>
          <w:rFonts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rPr>
        <w:t>8年</w:t>
      </w:r>
      <w:r>
        <w:rPr>
          <w:rFonts w:hint="eastAsia" w:ascii="仿宋_GB2312" w:hAnsi="仿宋" w:eastAsia="仿宋_GB2312"/>
          <w:sz w:val="32"/>
          <w:szCs w:val="32"/>
        </w:rPr>
        <w:t>实际收到的公共预算财政拨款收入</w:t>
      </w:r>
      <w:r>
        <w:rPr>
          <w:rFonts w:hint="eastAsia" w:ascii="仿宋_GB2312" w:hAnsi="仿宋_GB2312" w:eastAsia="仿宋_GB2312" w:cs="仿宋_GB2312"/>
          <w:color w:val="333333"/>
          <w:sz w:val="32"/>
          <w:szCs w:val="32"/>
          <w:shd w:val="clear" w:color="auto" w:fill="FFFFFF"/>
        </w:rPr>
        <w:t>183.84</w:t>
      </w:r>
      <w:r>
        <w:rPr>
          <w:rFonts w:hint="eastAsia" w:ascii="仿宋_GB2312" w:hAnsi="仿宋" w:eastAsia="仿宋_GB2312"/>
          <w:sz w:val="32"/>
          <w:szCs w:val="32"/>
        </w:rPr>
        <w:t>万元，与财政对帐单相符。</w:t>
      </w:r>
    </w:p>
    <w:p w14:paraId="1DE24D9E">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（四）支出绩效情况</w:t>
      </w:r>
    </w:p>
    <w:p w14:paraId="4D561D35">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 1</w:t>
      </w:r>
      <w:r>
        <w:rPr>
          <w:rFonts w:hint="eastAsia" w:ascii="仿宋_GB2312" w:hAnsi="仿宋_GB2312" w:eastAsia="仿宋_GB2312" w:cs="仿宋_GB2312"/>
          <w:color w:val="333333"/>
          <w:sz w:val="32"/>
          <w:szCs w:val="32"/>
          <w:shd w:val="clear" w:color="auto" w:fill="FFFFFF"/>
        </w:rPr>
        <w:t>、行政运转保障</w:t>
      </w:r>
    </w:p>
    <w:p w14:paraId="7ABDD17A">
      <w:pPr>
        <w:pStyle w:val="12"/>
        <w:widowControl/>
        <w:shd w:val="clear" w:color="auto" w:fill="FFFFFF"/>
        <w:spacing w:beforeAutospacing="0" w:afterAutospacing="0" w:line="315"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区质安站预算安排支出主要用于保障区质安站正常运转、完成日常工作任务以及承担相关工作。</w:t>
      </w:r>
    </w:p>
    <w:p w14:paraId="1E9361BF">
      <w:pPr>
        <w:pStyle w:val="12"/>
        <w:widowControl/>
        <w:shd w:val="clear" w:color="auto" w:fill="FFFFFF"/>
        <w:spacing w:beforeAutospacing="0" w:afterAutospacing="0" w:line="315"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基本支出，是用于保障区质安站正常运转的日常支出，包括基本工资、津贴补贴等人员经费以及办公费、印刷费、水电费、办公设备购置等日常公用经费。</w:t>
      </w:r>
    </w:p>
    <w:p w14:paraId="1DB34E2F">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 2</w:t>
      </w:r>
      <w:r>
        <w:rPr>
          <w:rFonts w:hint="eastAsia" w:ascii="仿宋_GB2312" w:hAnsi="仿宋_GB2312" w:eastAsia="仿宋_GB2312" w:cs="仿宋_GB2312"/>
          <w:color w:val="333333"/>
          <w:sz w:val="32"/>
          <w:szCs w:val="32"/>
          <w:shd w:val="clear" w:color="auto" w:fill="FFFFFF"/>
        </w:rPr>
        <w:t>、单位厉行节约</w:t>
      </w:r>
    </w:p>
    <w:p w14:paraId="43E46234">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区质安站</w:t>
      </w:r>
      <w:r>
        <w:rPr>
          <w:rFonts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rPr>
        <w:t>8年未发生公务出国（境）费用，</w:t>
      </w:r>
      <w:r>
        <w:rPr>
          <w:rFonts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rPr>
        <w:t>8年质安站未发生公务接待。公务用车严格派车单制度，机动车辆实行定点维修，维修前由驾驶员提出计划，报领导审核同意后维修。</w:t>
      </w:r>
    </w:p>
    <w:p w14:paraId="52F775C1">
      <w:pPr>
        <w:pStyle w:val="12"/>
        <w:widowControl/>
        <w:shd w:val="clear" w:color="auto" w:fill="FFFFFF"/>
        <w:spacing w:beforeAutospacing="0" w:afterAutospacing="0" w:line="315"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区质安站严格执行中央八项规定，厉行节约，扎实做好五项经费专项督查工作，无乱发钱物情况，不存在超标准报销公务接待费、因公出国经费、会议费、培训费、差旅费等情况。</w:t>
      </w:r>
    </w:p>
    <w:p w14:paraId="4E72A4ED">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  3</w:t>
      </w:r>
      <w:r>
        <w:rPr>
          <w:rFonts w:hint="eastAsia" w:ascii="仿宋_GB2312" w:hAnsi="仿宋_GB2312" w:eastAsia="仿宋_GB2312" w:cs="仿宋_GB2312"/>
          <w:color w:val="333333"/>
          <w:sz w:val="32"/>
          <w:szCs w:val="32"/>
          <w:shd w:val="clear" w:color="auto" w:fill="FFFFFF"/>
        </w:rPr>
        <w:t>、节能降耗</w:t>
      </w:r>
    </w:p>
    <w:p w14:paraId="5EAFFACE">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是执行区住建局单位用电管理制度。办公室、会议室等场所尽量采用自然光，尽可能少开灯。离开办公室要随手关灯，做到人走灯灭，杜绝“长明灯”。电脑、打印机、饮水机等设备要随用随开，下班后自觉关闭各类电器电源。二是逐步加强办公用品及耗材领用管理。三是降低办公电话费开支。自觉利用内部</w:t>
      </w:r>
      <w:r>
        <w:rPr>
          <w:rFonts w:ascii="仿宋_GB2312" w:hAnsi="仿宋_GB2312" w:eastAsia="仿宋_GB2312" w:cs="仿宋_GB2312"/>
          <w:color w:val="333333"/>
          <w:sz w:val="32"/>
          <w:szCs w:val="32"/>
          <w:shd w:val="clear" w:color="auto" w:fill="FFFFFF"/>
        </w:rPr>
        <w:t xml:space="preserve"> v</w:t>
      </w:r>
      <w:r>
        <w:rPr>
          <w:rFonts w:hint="eastAsia" w:ascii="仿宋_GB2312" w:hAnsi="仿宋_GB2312" w:eastAsia="仿宋_GB2312" w:cs="仿宋_GB2312"/>
          <w:color w:val="333333"/>
          <w:sz w:val="32"/>
          <w:szCs w:val="32"/>
          <w:shd w:val="clear" w:color="auto" w:fill="FFFFFF"/>
        </w:rPr>
        <w:t>网通话，严格控制座机数量和长途电话，节约通讯费用。</w:t>
      </w:r>
    </w:p>
    <w:p w14:paraId="581F0301">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在保证单位正常办公的情况下，本着节约、环保的原则，降低机关电、燃油消耗量。</w:t>
      </w:r>
    </w:p>
    <w:p w14:paraId="0258EF3A">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按支出功能分类主要用于以下方面</w:t>
      </w:r>
      <w:r>
        <w:rPr>
          <w:rFonts w:ascii="仿宋_GB2312" w:hAnsi="仿宋_GB2312" w:eastAsia="仿宋_GB2312" w:cs="仿宋_GB2312"/>
          <w:color w:val="333333"/>
          <w:sz w:val="32"/>
          <w:szCs w:val="32"/>
          <w:shd w:val="clear" w:color="auto" w:fill="FFFFFF"/>
        </w:rPr>
        <w:t>:</w:t>
      </w:r>
    </w:p>
    <w:p w14:paraId="5455A49F">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（一）城乡社区支出，主要用于站内人员工资、日常运转以及为完成工作任务支出。</w:t>
      </w:r>
    </w:p>
    <w:p w14:paraId="78F03EAA">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（二）社会保障和就业支出，主要用于站内退休人员支出和单位基本养老保险缴费支出。</w:t>
      </w:r>
    </w:p>
    <w:p w14:paraId="2041C1B0">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（三）医疗卫生与计划生育支出，主要用于质安站按照规定标准为职工缴纳的基本医疗保险及公务员医疗补助等支出。</w:t>
      </w:r>
    </w:p>
    <w:p w14:paraId="79F19487">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（四）住房保障支出，主要用于区质安站按照规定标准为职工发放的住房补贴支。</w:t>
      </w:r>
    </w:p>
    <w:p w14:paraId="75702642">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、绩效目标完成情况</w:t>
      </w:r>
    </w:p>
    <w:p w14:paraId="595637E6">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从经济效益上看，对建设工作质量安全进行监督管理，减少建设工程质量缺陷，延长建设项目使用年限。</w:t>
      </w:r>
    </w:p>
    <w:p w14:paraId="4C8668FB">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从社会效益上看，通过对建设工作质量安全进行监督管理，提升建设工程质量，确保人民生命、财产安全，减少质量投诉，维护社会稳定。</w:t>
      </w:r>
    </w:p>
    <w:p w14:paraId="4DE2A600">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四、财务管理情况</w:t>
      </w:r>
    </w:p>
    <w:p w14:paraId="5AF27DA7">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制定了《仁和建设工程质量安全监督站财务管理制度》，财务人员严格按照财务制度办事。财务人员掌握会计制度和相关法规、费用开支范围和标准，分清资金渠道，专款专用。严格按照会计制度，填制会计凭证、登记会计帐薄、进行会计核算、加强财务管理。对违反财务制度的收支不予办理，并积极做好维护财经纪律的宣传工作。</w:t>
      </w:r>
    </w:p>
    <w:p w14:paraId="0D0FF73C">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五、评价结论及建议</w:t>
      </w:r>
    </w:p>
    <w:p w14:paraId="270AE74E">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（一）评价结论</w:t>
      </w:r>
    </w:p>
    <w:p w14:paraId="33C49930">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我站在对各建设项目实施质量安全监督管理过程中，建立健全相关制度、机制并严格执行，各项工作管理落实到位。社会效果良好。</w:t>
      </w:r>
    </w:p>
    <w:p w14:paraId="79384250">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评价结论为良。</w:t>
      </w:r>
    </w:p>
    <w:p w14:paraId="792C8BD9">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（二）存在问题及改进建议</w:t>
      </w:r>
    </w:p>
    <w:p w14:paraId="7D94A704">
      <w:pPr>
        <w:pStyle w:val="12"/>
        <w:widowControl/>
        <w:shd w:val="clear" w:color="auto" w:fill="FFFFFF"/>
        <w:spacing w:beforeAutospacing="0" w:after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今后我站将进一步贯彻落实中央八项规定，厉行节约，严格控制“三公”经费支出，建立长效机制。进一步规范落实资金的管理和使用，继续探索好的做法，抓好建设工程质量安全管理工作，提升建设工程质量，确保人民生命、财产安全。</w:t>
      </w:r>
    </w:p>
    <w:p w14:paraId="08EC96FA">
      <w:pPr>
        <w:pStyle w:val="12"/>
        <w:widowControl/>
        <w:shd w:val="clear" w:color="auto" w:fill="FFFFFF"/>
        <w:spacing w:beforeAutospacing="0" w:afterAutospacing="0" w:line="315" w:lineRule="atLeast"/>
        <w:rPr>
          <w:rFonts w:ascii="仿宋_GB2312" w:hAnsi="仿宋_GB2312" w:eastAsia="仿宋_GB2312" w:cs="仿宋_GB2312"/>
          <w:color w:val="333333"/>
          <w:sz w:val="32"/>
          <w:szCs w:val="32"/>
          <w:shd w:val="clear" w:color="auto" w:fill="FFFFFF"/>
        </w:rPr>
      </w:pPr>
    </w:p>
    <w:p w14:paraId="75D749A6">
      <w:pPr>
        <w:pStyle w:val="12"/>
        <w:widowControl/>
        <w:shd w:val="clear" w:color="auto" w:fill="FFFFFF"/>
        <w:spacing w:beforeAutospacing="0" w:afterAutospacing="0" w:line="315" w:lineRule="atLeast"/>
        <w:ind w:firstLine="5440" w:firstLineChars="1700"/>
        <w:rPr>
          <w:rFonts w:ascii="仿宋_GB2312" w:hAnsi="仿宋_GB2312" w:eastAsia="仿宋_GB2312" w:cs="仿宋_GB2312"/>
          <w:color w:val="333333"/>
          <w:sz w:val="32"/>
          <w:szCs w:val="32"/>
          <w:shd w:val="clear" w:color="auto" w:fill="FFFFFF"/>
        </w:rPr>
      </w:pPr>
    </w:p>
    <w:p w14:paraId="1ABAC8FA">
      <w:pPr>
        <w:pStyle w:val="12"/>
        <w:widowControl/>
        <w:shd w:val="clear" w:color="auto" w:fill="FFFFFF"/>
        <w:spacing w:beforeAutospacing="0" w:afterAutospacing="0" w:line="315" w:lineRule="atLeast"/>
        <w:ind w:firstLine="5440" w:firstLineChars="1700"/>
        <w:rPr>
          <w:rFonts w:ascii="仿宋_GB2312" w:hAnsi="仿宋_GB2312" w:eastAsia="仿宋_GB2312" w:cs="仿宋_GB2312"/>
          <w:sz w:val="32"/>
          <w:szCs w:val="32"/>
        </w:rPr>
      </w:pPr>
      <w:r>
        <w:rPr>
          <w:rFonts w:ascii="仿宋_GB2312" w:hAnsi="仿宋_GB2312" w:eastAsia="仿宋_GB2312" w:cs="仿宋_GB2312"/>
          <w:sz w:val="32"/>
          <w:szCs w:val="32"/>
        </w:rPr>
        <w:t xml:space="preserve"> 201</w:t>
      </w:r>
      <w:r>
        <w:rPr>
          <w:rFonts w:hint="eastAsia" w:ascii="仿宋_GB2312" w:hAnsi="仿宋_GB2312" w:eastAsia="仿宋_GB2312" w:cs="仿宋_GB2312"/>
          <w:sz w:val="32"/>
          <w:szCs w:val="32"/>
        </w:rPr>
        <w:t>9年5月22日</w:t>
      </w:r>
    </w:p>
    <w:p w14:paraId="1C0AE6A3">
      <w:pPr>
        <w:pStyle w:val="3"/>
        <w:rPr>
          <w:rStyle w:val="25"/>
          <w:rFonts w:ascii="仿宋" w:hAnsi="仿宋" w:eastAsia="仿宋"/>
          <w:b w:val="0"/>
          <w:bCs w:val="0"/>
          <w:sz w:val="32"/>
          <w:szCs w:val="32"/>
        </w:rPr>
      </w:pPr>
    </w:p>
    <w:p w14:paraId="799D6DC1"/>
    <w:bookmarkEnd w:id="61"/>
    <w:p w14:paraId="0806507C">
      <w:pPr>
        <w:spacing w:line="600" w:lineRule="exact"/>
        <w:jc w:val="center"/>
        <w:outlineLvl w:val="0"/>
        <w:rPr>
          <w:rFonts w:ascii="黑体" w:hAnsi="黑体" w:eastAsia="黑体"/>
          <w:color w:val="000000"/>
          <w:sz w:val="44"/>
          <w:szCs w:val="44"/>
        </w:rPr>
      </w:pPr>
      <w:bookmarkStart w:id="62" w:name="_Toc15396618"/>
    </w:p>
    <w:p w14:paraId="42A1ED29">
      <w:pPr>
        <w:spacing w:line="600" w:lineRule="exact"/>
        <w:jc w:val="center"/>
        <w:outlineLvl w:val="0"/>
        <w:rPr>
          <w:rFonts w:ascii="黑体" w:hAnsi="黑体" w:eastAsia="黑体"/>
          <w:color w:val="000000"/>
          <w:sz w:val="44"/>
          <w:szCs w:val="44"/>
        </w:rPr>
      </w:pPr>
    </w:p>
    <w:tbl>
      <w:tblPr>
        <w:tblStyle w:val="13"/>
        <w:tblW w:w="8362" w:type="dxa"/>
        <w:tblInd w:w="93" w:type="dxa"/>
        <w:tblLayout w:type="autofit"/>
        <w:tblCellMar>
          <w:top w:w="0" w:type="dxa"/>
          <w:left w:w="108" w:type="dxa"/>
          <w:bottom w:w="0" w:type="dxa"/>
          <w:right w:w="108" w:type="dxa"/>
        </w:tblCellMar>
      </w:tblPr>
      <w:tblGrid>
        <w:gridCol w:w="616"/>
        <w:gridCol w:w="667"/>
        <w:gridCol w:w="790"/>
        <w:gridCol w:w="492"/>
        <w:gridCol w:w="3985"/>
        <w:gridCol w:w="1812"/>
      </w:tblGrid>
      <w:tr w14:paraId="15315665">
        <w:tblPrEx>
          <w:tblCellMar>
            <w:top w:w="0" w:type="dxa"/>
            <w:left w:w="108" w:type="dxa"/>
            <w:bottom w:w="0" w:type="dxa"/>
            <w:right w:w="108" w:type="dxa"/>
          </w:tblCellMar>
        </w:tblPrEx>
        <w:trPr>
          <w:trHeight w:val="340" w:hRule="atLeast"/>
        </w:trPr>
        <w:tc>
          <w:tcPr>
            <w:tcW w:w="581" w:type="dxa"/>
            <w:tcBorders>
              <w:top w:val="nil"/>
              <w:left w:val="nil"/>
              <w:bottom w:val="nil"/>
              <w:right w:val="nil"/>
            </w:tcBorders>
            <w:shd w:val="clear" w:color="auto" w:fill="auto"/>
            <w:vAlign w:val="center"/>
          </w:tcPr>
          <w:p w14:paraId="5924CDB6">
            <w:pPr>
              <w:widowControl/>
              <w:jc w:val="left"/>
              <w:rPr>
                <w:rFonts w:ascii="宋体" w:hAnsi="宋体" w:cs="宋体"/>
                <w:kern w:val="0"/>
                <w:sz w:val="24"/>
              </w:rPr>
            </w:pPr>
            <w:r>
              <w:rPr>
                <w:rFonts w:hint="eastAsia" w:ascii="宋体" w:hAnsi="宋体" w:cs="宋体"/>
                <w:kern w:val="0"/>
                <w:sz w:val="24"/>
              </w:rPr>
              <w:t>附件3</w:t>
            </w:r>
          </w:p>
        </w:tc>
        <w:tc>
          <w:tcPr>
            <w:tcW w:w="667" w:type="dxa"/>
            <w:tcBorders>
              <w:top w:val="nil"/>
              <w:left w:val="nil"/>
              <w:bottom w:val="nil"/>
              <w:right w:val="nil"/>
            </w:tcBorders>
            <w:shd w:val="clear" w:color="auto" w:fill="auto"/>
            <w:noWrap/>
            <w:vAlign w:val="center"/>
          </w:tcPr>
          <w:p w14:paraId="4A581B4E">
            <w:pPr>
              <w:widowControl/>
              <w:jc w:val="center"/>
              <w:rPr>
                <w:rFonts w:ascii="宋体" w:hAnsi="宋体" w:cs="宋体"/>
                <w:kern w:val="0"/>
                <w:sz w:val="24"/>
              </w:rPr>
            </w:pPr>
          </w:p>
        </w:tc>
        <w:tc>
          <w:tcPr>
            <w:tcW w:w="790" w:type="dxa"/>
            <w:tcBorders>
              <w:top w:val="nil"/>
              <w:left w:val="nil"/>
              <w:bottom w:val="nil"/>
              <w:right w:val="nil"/>
            </w:tcBorders>
            <w:shd w:val="clear" w:color="auto" w:fill="auto"/>
            <w:noWrap/>
            <w:vAlign w:val="center"/>
          </w:tcPr>
          <w:p w14:paraId="62F21A21">
            <w:pPr>
              <w:widowControl/>
              <w:jc w:val="left"/>
              <w:rPr>
                <w:rFonts w:ascii="宋体" w:hAnsi="宋体" w:cs="宋体"/>
                <w:kern w:val="0"/>
                <w:sz w:val="24"/>
              </w:rPr>
            </w:pPr>
          </w:p>
        </w:tc>
        <w:tc>
          <w:tcPr>
            <w:tcW w:w="492" w:type="dxa"/>
            <w:tcBorders>
              <w:top w:val="nil"/>
              <w:left w:val="nil"/>
              <w:bottom w:val="nil"/>
              <w:right w:val="nil"/>
            </w:tcBorders>
            <w:shd w:val="clear" w:color="auto" w:fill="auto"/>
            <w:noWrap/>
            <w:vAlign w:val="center"/>
          </w:tcPr>
          <w:p w14:paraId="6006E2A3">
            <w:pPr>
              <w:widowControl/>
              <w:jc w:val="left"/>
              <w:rPr>
                <w:rFonts w:ascii="宋体" w:hAnsi="宋体" w:cs="宋体"/>
                <w:kern w:val="0"/>
                <w:sz w:val="24"/>
              </w:rPr>
            </w:pPr>
          </w:p>
        </w:tc>
        <w:tc>
          <w:tcPr>
            <w:tcW w:w="3985" w:type="dxa"/>
            <w:tcBorders>
              <w:top w:val="nil"/>
              <w:left w:val="nil"/>
              <w:bottom w:val="nil"/>
              <w:right w:val="nil"/>
            </w:tcBorders>
            <w:shd w:val="clear" w:color="auto" w:fill="auto"/>
            <w:vAlign w:val="center"/>
          </w:tcPr>
          <w:p w14:paraId="22CE5CC9">
            <w:pPr>
              <w:widowControl/>
              <w:jc w:val="left"/>
              <w:rPr>
                <w:rFonts w:ascii="宋体" w:hAnsi="宋体" w:cs="宋体"/>
                <w:kern w:val="0"/>
                <w:sz w:val="24"/>
              </w:rPr>
            </w:pPr>
          </w:p>
        </w:tc>
        <w:tc>
          <w:tcPr>
            <w:tcW w:w="1845" w:type="dxa"/>
            <w:tcBorders>
              <w:top w:val="nil"/>
              <w:left w:val="nil"/>
              <w:bottom w:val="nil"/>
              <w:right w:val="nil"/>
            </w:tcBorders>
            <w:shd w:val="clear" w:color="auto" w:fill="auto"/>
            <w:vAlign w:val="center"/>
          </w:tcPr>
          <w:p w14:paraId="79CE1806">
            <w:pPr>
              <w:widowControl/>
              <w:jc w:val="left"/>
              <w:rPr>
                <w:rFonts w:ascii="宋体" w:hAnsi="宋体" w:cs="宋体"/>
                <w:kern w:val="0"/>
                <w:sz w:val="16"/>
                <w:szCs w:val="16"/>
              </w:rPr>
            </w:pPr>
          </w:p>
        </w:tc>
      </w:tr>
      <w:tr w14:paraId="19A8ED7D">
        <w:tblPrEx>
          <w:tblCellMar>
            <w:top w:w="0" w:type="dxa"/>
            <w:left w:w="108" w:type="dxa"/>
            <w:bottom w:w="0" w:type="dxa"/>
            <w:right w:w="108" w:type="dxa"/>
          </w:tblCellMar>
        </w:tblPrEx>
        <w:trPr>
          <w:trHeight w:val="482" w:hRule="atLeast"/>
        </w:trPr>
        <w:tc>
          <w:tcPr>
            <w:tcW w:w="8362" w:type="dxa"/>
            <w:gridSpan w:val="6"/>
            <w:tcBorders>
              <w:top w:val="nil"/>
              <w:left w:val="nil"/>
              <w:bottom w:val="nil"/>
              <w:right w:val="nil"/>
            </w:tcBorders>
            <w:shd w:val="clear" w:color="auto" w:fill="auto"/>
            <w:vAlign w:val="center"/>
          </w:tcPr>
          <w:p w14:paraId="49E9165A">
            <w:pPr>
              <w:widowControl/>
              <w:jc w:val="center"/>
              <w:rPr>
                <w:rFonts w:ascii="宋体" w:hAnsi="宋体" w:cs="宋体"/>
                <w:b/>
                <w:bCs/>
                <w:kern w:val="0"/>
                <w:sz w:val="32"/>
                <w:szCs w:val="32"/>
              </w:rPr>
            </w:pPr>
            <w:r>
              <w:rPr>
                <w:rFonts w:hint="eastAsia" w:ascii="宋体" w:hAnsi="宋体" w:cs="宋体"/>
                <w:b/>
                <w:bCs/>
                <w:kern w:val="0"/>
                <w:sz w:val="32"/>
                <w:szCs w:val="32"/>
              </w:rPr>
              <w:t>仁和区区级部门支出绩效评价共性指标体系</w:t>
            </w:r>
          </w:p>
        </w:tc>
      </w:tr>
      <w:tr w14:paraId="683FD21A">
        <w:tblPrEx>
          <w:tblCellMar>
            <w:top w:w="0" w:type="dxa"/>
            <w:left w:w="108" w:type="dxa"/>
            <w:bottom w:w="0" w:type="dxa"/>
            <w:right w:w="108" w:type="dxa"/>
          </w:tblCellMar>
        </w:tblPrEx>
        <w:trPr>
          <w:trHeight w:val="410" w:hRule="atLeast"/>
        </w:trPr>
        <w:tc>
          <w:tcPr>
            <w:tcW w:w="6516" w:type="dxa"/>
            <w:gridSpan w:val="5"/>
            <w:tcBorders>
              <w:top w:val="nil"/>
              <w:left w:val="nil"/>
              <w:bottom w:val="nil"/>
              <w:right w:val="nil"/>
            </w:tcBorders>
            <w:shd w:val="clear" w:color="auto" w:fill="auto"/>
            <w:noWrap/>
          </w:tcPr>
          <w:p w14:paraId="4736A75F">
            <w:pPr>
              <w:widowControl/>
              <w:jc w:val="left"/>
              <w:rPr>
                <w:rFonts w:ascii="宋体" w:hAnsi="宋体" w:cs="宋体"/>
                <w:b/>
                <w:bCs/>
                <w:kern w:val="0"/>
                <w:sz w:val="20"/>
                <w:szCs w:val="20"/>
              </w:rPr>
            </w:pPr>
            <w:r>
              <w:rPr>
                <w:rFonts w:hint="eastAsia" w:ascii="宋体" w:hAnsi="宋体" w:cs="宋体"/>
                <w:b/>
                <w:bCs/>
                <w:kern w:val="0"/>
                <w:sz w:val="20"/>
                <w:szCs w:val="20"/>
              </w:rPr>
              <w:t>单位：仁和区建设工程质量安全监督站</w:t>
            </w:r>
          </w:p>
        </w:tc>
        <w:tc>
          <w:tcPr>
            <w:tcW w:w="1845" w:type="dxa"/>
            <w:tcBorders>
              <w:top w:val="nil"/>
              <w:left w:val="nil"/>
              <w:bottom w:val="nil"/>
              <w:right w:val="nil"/>
            </w:tcBorders>
            <w:shd w:val="clear" w:color="auto" w:fill="auto"/>
            <w:vAlign w:val="center"/>
          </w:tcPr>
          <w:p w14:paraId="208E1313">
            <w:pPr>
              <w:widowControl/>
              <w:jc w:val="center"/>
              <w:rPr>
                <w:rFonts w:ascii="宋体" w:hAnsi="宋体" w:cs="宋体"/>
                <w:b/>
                <w:bCs/>
                <w:kern w:val="0"/>
                <w:sz w:val="36"/>
                <w:szCs w:val="36"/>
              </w:rPr>
            </w:pPr>
          </w:p>
        </w:tc>
      </w:tr>
      <w:tr w14:paraId="4179BE62">
        <w:tblPrEx>
          <w:tblCellMar>
            <w:top w:w="0" w:type="dxa"/>
            <w:left w:w="108" w:type="dxa"/>
            <w:bottom w:w="0" w:type="dxa"/>
            <w:right w:w="108" w:type="dxa"/>
          </w:tblCellMar>
        </w:tblPrEx>
        <w:trPr>
          <w:trHeight w:val="621" w:hRule="atLeast"/>
        </w:trPr>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24388594">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667" w:type="dxa"/>
            <w:tcBorders>
              <w:top w:val="single" w:color="auto" w:sz="4" w:space="0"/>
              <w:left w:val="nil"/>
              <w:bottom w:val="single" w:color="auto" w:sz="4" w:space="0"/>
              <w:right w:val="single" w:color="auto" w:sz="4" w:space="0"/>
            </w:tcBorders>
            <w:shd w:val="clear" w:color="auto" w:fill="auto"/>
            <w:vAlign w:val="center"/>
          </w:tcPr>
          <w:p w14:paraId="18ADCAB7">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790" w:type="dxa"/>
            <w:tcBorders>
              <w:top w:val="single" w:color="auto" w:sz="4" w:space="0"/>
              <w:left w:val="nil"/>
              <w:bottom w:val="single" w:color="auto" w:sz="4" w:space="0"/>
              <w:right w:val="single" w:color="auto" w:sz="4" w:space="0"/>
            </w:tcBorders>
            <w:shd w:val="clear" w:color="auto" w:fill="auto"/>
            <w:vAlign w:val="center"/>
          </w:tcPr>
          <w:p w14:paraId="00B6C06B">
            <w:pPr>
              <w:widowControl/>
              <w:jc w:val="center"/>
              <w:rPr>
                <w:rFonts w:ascii="宋体" w:hAnsi="宋体" w:cs="宋体"/>
                <w:b/>
                <w:bCs/>
                <w:kern w:val="0"/>
                <w:sz w:val="20"/>
                <w:szCs w:val="20"/>
              </w:rPr>
            </w:pPr>
            <w:r>
              <w:rPr>
                <w:rFonts w:hint="eastAsia" w:ascii="宋体" w:hAnsi="宋体" w:cs="宋体"/>
                <w:b/>
                <w:bCs/>
                <w:kern w:val="0"/>
                <w:sz w:val="20"/>
                <w:szCs w:val="20"/>
              </w:rPr>
              <w:t>三级指标</w:t>
            </w:r>
          </w:p>
        </w:tc>
        <w:tc>
          <w:tcPr>
            <w:tcW w:w="492" w:type="dxa"/>
            <w:tcBorders>
              <w:top w:val="single" w:color="auto" w:sz="4" w:space="0"/>
              <w:left w:val="nil"/>
              <w:bottom w:val="single" w:color="auto" w:sz="4" w:space="0"/>
              <w:right w:val="single" w:color="auto" w:sz="4" w:space="0"/>
            </w:tcBorders>
            <w:shd w:val="clear" w:color="auto" w:fill="auto"/>
            <w:vAlign w:val="center"/>
          </w:tcPr>
          <w:p w14:paraId="0ECCBCB3">
            <w:pPr>
              <w:widowControl/>
              <w:jc w:val="center"/>
              <w:rPr>
                <w:rFonts w:ascii="宋体" w:hAnsi="宋体" w:cs="宋体"/>
                <w:b/>
                <w:bCs/>
                <w:kern w:val="0"/>
                <w:sz w:val="20"/>
                <w:szCs w:val="20"/>
              </w:rPr>
            </w:pPr>
            <w:r>
              <w:rPr>
                <w:rFonts w:hint="eastAsia" w:ascii="宋体" w:hAnsi="宋体" w:cs="宋体"/>
                <w:b/>
                <w:bCs/>
                <w:kern w:val="0"/>
                <w:sz w:val="20"/>
                <w:szCs w:val="20"/>
              </w:rPr>
              <w:t>自评分</w:t>
            </w:r>
          </w:p>
        </w:tc>
        <w:tc>
          <w:tcPr>
            <w:tcW w:w="3985" w:type="dxa"/>
            <w:tcBorders>
              <w:top w:val="single" w:color="auto" w:sz="4" w:space="0"/>
              <w:left w:val="nil"/>
              <w:bottom w:val="single" w:color="auto" w:sz="4" w:space="0"/>
              <w:right w:val="single" w:color="auto" w:sz="4" w:space="0"/>
            </w:tcBorders>
            <w:shd w:val="clear" w:color="auto" w:fill="auto"/>
            <w:vAlign w:val="center"/>
          </w:tcPr>
          <w:p w14:paraId="20FD60E9">
            <w:pPr>
              <w:widowControl/>
              <w:jc w:val="center"/>
              <w:rPr>
                <w:rFonts w:ascii="宋体" w:hAnsi="宋体" w:cs="宋体"/>
                <w:b/>
                <w:bCs/>
                <w:kern w:val="0"/>
                <w:sz w:val="20"/>
                <w:szCs w:val="20"/>
              </w:rPr>
            </w:pPr>
            <w:r>
              <w:rPr>
                <w:rFonts w:hint="eastAsia" w:ascii="宋体" w:hAnsi="宋体" w:cs="宋体"/>
                <w:b/>
                <w:bCs/>
                <w:kern w:val="0"/>
                <w:sz w:val="20"/>
                <w:szCs w:val="20"/>
              </w:rPr>
              <w:t>指标解释</w:t>
            </w:r>
          </w:p>
        </w:tc>
        <w:tc>
          <w:tcPr>
            <w:tcW w:w="1845" w:type="dxa"/>
            <w:tcBorders>
              <w:top w:val="single" w:color="auto" w:sz="4" w:space="0"/>
              <w:left w:val="nil"/>
              <w:bottom w:val="single" w:color="auto" w:sz="4" w:space="0"/>
              <w:right w:val="single" w:color="auto" w:sz="4" w:space="0"/>
            </w:tcBorders>
            <w:shd w:val="clear" w:color="auto" w:fill="auto"/>
            <w:vAlign w:val="center"/>
          </w:tcPr>
          <w:p w14:paraId="5E7DCC15">
            <w:pPr>
              <w:widowControl/>
              <w:jc w:val="center"/>
              <w:rPr>
                <w:rFonts w:ascii="宋体" w:hAnsi="宋体" w:cs="宋体"/>
                <w:b/>
                <w:bCs/>
                <w:kern w:val="0"/>
                <w:sz w:val="20"/>
                <w:szCs w:val="20"/>
              </w:rPr>
            </w:pPr>
            <w:r>
              <w:rPr>
                <w:rFonts w:hint="eastAsia" w:ascii="宋体" w:hAnsi="宋体" w:cs="宋体"/>
                <w:b/>
                <w:bCs/>
                <w:kern w:val="0"/>
                <w:sz w:val="20"/>
                <w:szCs w:val="20"/>
              </w:rPr>
              <w:t>备 注</w:t>
            </w:r>
          </w:p>
        </w:tc>
      </w:tr>
      <w:tr w14:paraId="395D86BF">
        <w:tblPrEx>
          <w:tblCellMar>
            <w:top w:w="0" w:type="dxa"/>
            <w:left w:w="108" w:type="dxa"/>
            <w:bottom w:w="0" w:type="dxa"/>
            <w:right w:w="108" w:type="dxa"/>
          </w:tblCellMar>
        </w:tblPrEx>
        <w:trPr>
          <w:trHeight w:val="621" w:hRule="atLeast"/>
        </w:trPr>
        <w:tc>
          <w:tcPr>
            <w:tcW w:w="581" w:type="dxa"/>
            <w:vMerge w:val="restart"/>
            <w:tcBorders>
              <w:top w:val="nil"/>
              <w:left w:val="single" w:color="auto" w:sz="4" w:space="0"/>
              <w:bottom w:val="nil"/>
              <w:right w:val="single" w:color="auto" w:sz="4" w:space="0"/>
            </w:tcBorders>
            <w:shd w:val="clear" w:color="auto" w:fill="auto"/>
            <w:vAlign w:val="center"/>
          </w:tcPr>
          <w:p w14:paraId="7D1F734C">
            <w:pPr>
              <w:widowControl/>
              <w:jc w:val="center"/>
              <w:rPr>
                <w:rFonts w:ascii="宋体" w:hAnsi="宋体" w:cs="宋体"/>
                <w:kern w:val="0"/>
                <w:sz w:val="20"/>
                <w:szCs w:val="20"/>
              </w:rPr>
            </w:pPr>
            <w:r>
              <w:rPr>
                <w:rFonts w:hint="eastAsia" w:ascii="宋体" w:hAnsi="宋体" w:cs="宋体"/>
                <w:kern w:val="0"/>
                <w:sz w:val="20"/>
                <w:szCs w:val="20"/>
              </w:rPr>
              <w:t>预决算编制（10分）</w:t>
            </w: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14:paraId="3DC007BF">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预算编制（5分）</w:t>
            </w:r>
          </w:p>
        </w:tc>
        <w:tc>
          <w:tcPr>
            <w:tcW w:w="790" w:type="dxa"/>
            <w:tcBorders>
              <w:top w:val="nil"/>
              <w:left w:val="nil"/>
              <w:bottom w:val="single" w:color="auto" w:sz="4" w:space="0"/>
              <w:right w:val="single" w:color="auto" w:sz="4" w:space="0"/>
            </w:tcBorders>
            <w:shd w:val="clear" w:color="auto" w:fill="auto"/>
            <w:vAlign w:val="center"/>
          </w:tcPr>
          <w:p w14:paraId="740583FD">
            <w:pPr>
              <w:widowControl/>
              <w:jc w:val="left"/>
              <w:rPr>
                <w:rFonts w:ascii="宋体" w:hAnsi="宋体" w:cs="宋体"/>
                <w:kern w:val="0"/>
                <w:sz w:val="20"/>
                <w:szCs w:val="20"/>
              </w:rPr>
            </w:pPr>
            <w:r>
              <w:rPr>
                <w:rFonts w:hint="eastAsia" w:ascii="宋体" w:hAnsi="宋体" w:cs="宋体"/>
                <w:kern w:val="0"/>
                <w:sz w:val="20"/>
                <w:szCs w:val="20"/>
              </w:rPr>
              <w:t>报送时效（2分）</w:t>
            </w:r>
          </w:p>
        </w:tc>
        <w:tc>
          <w:tcPr>
            <w:tcW w:w="492" w:type="dxa"/>
            <w:tcBorders>
              <w:top w:val="nil"/>
              <w:left w:val="nil"/>
              <w:bottom w:val="single" w:color="auto" w:sz="4" w:space="0"/>
              <w:right w:val="single" w:color="auto" w:sz="4" w:space="0"/>
            </w:tcBorders>
            <w:shd w:val="clear" w:color="auto" w:fill="auto"/>
            <w:vAlign w:val="center"/>
          </w:tcPr>
          <w:p w14:paraId="23BA1D0D">
            <w:pPr>
              <w:widowControl/>
              <w:jc w:val="center"/>
              <w:rPr>
                <w:rFonts w:ascii="宋体" w:hAnsi="宋体" w:cs="宋体"/>
                <w:kern w:val="0"/>
                <w:sz w:val="20"/>
                <w:szCs w:val="20"/>
              </w:rPr>
            </w:pPr>
            <w:r>
              <w:rPr>
                <w:rFonts w:hint="eastAsia" w:ascii="宋体" w:hAnsi="宋体" w:cs="宋体"/>
                <w:kern w:val="0"/>
                <w:sz w:val="20"/>
                <w:szCs w:val="20"/>
              </w:rPr>
              <w:t>2</w:t>
            </w:r>
          </w:p>
        </w:tc>
        <w:tc>
          <w:tcPr>
            <w:tcW w:w="3985" w:type="dxa"/>
            <w:tcBorders>
              <w:top w:val="nil"/>
              <w:left w:val="nil"/>
              <w:bottom w:val="single" w:color="auto" w:sz="4" w:space="0"/>
              <w:right w:val="single" w:color="auto" w:sz="4" w:space="0"/>
            </w:tcBorders>
            <w:shd w:val="clear" w:color="auto" w:fill="auto"/>
            <w:vAlign w:val="center"/>
          </w:tcPr>
          <w:p w14:paraId="75828D5C">
            <w:pPr>
              <w:widowControl/>
              <w:jc w:val="left"/>
              <w:rPr>
                <w:rFonts w:ascii="宋体" w:hAnsi="宋体" w:cs="宋体"/>
                <w:kern w:val="0"/>
                <w:sz w:val="20"/>
                <w:szCs w:val="20"/>
              </w:rPr>
            </w:pPr>
            <w:r>
              <w:rPr>
                <w:rFonts w:hint="eastAsia" w:ascii="宋体" w:hAnsi="宋体" w:cs="宋体"/>
                <w:kern w:val="0"/>
                <w:sz w:val="20"/>
                <w:szCs w:val="20"/>
              </w:rPr>
              <w:t>部门是否按照区级部门预算编制通知和有关要求，预算编制程序是否规范、按时报送。</w:t>
            </w:r>
          </w:p>
        </w:tc>
        <w:tc>
          <w:tcPr>
            <w:tcW w:w="1845" w:type="dxa"/>
            <w:tcBorders>
              <w:top w:val="nil"/>
              <w:left w:val="nil"/>
              <w:bottom w:val="single" w:color="auto" w:sz="4" w:space="0"/>
              <w:right w:val="single" w:color="auto" w:sz="4" w:space="0"/>
            </w:tcBorders>
            <w:shd w:val="clear" w:color="auto" w:fill="auto"/>
            <w:vAlign w:val="center"/>
          </w:tcPr>
          <w:p w14:paraId="1FD1887C">
            <w:pPr>
              <w:widowControl/>
              <w:jc w:val="left"/>
              <w:rPr>
                <w:rFonts w:ascii="宋体" w:hAnsi="宋体" w:cs="宋体"/>
                <w:kern w:val="0"/>
                <w:sz w:val="20"/>
                <w:szCs w:val="20"/>
              </w:rPr>
            </w:pPr>
            <w:r>
              <w:rPr>
                <w:rFonts w:hint="eastAsia" w:ascii="宋体" w:hAnsi="宋体" w:cs="宋体"/>
                <w:kern w:val="0"/>
                <w:sz w:val="20"/>
                <w:szCs w:val="20"/>
              </w:rPr>
              <w:t>在规定时间内报送得2分，否则不得分。</w:t>
            </w:r>
          </w:p>
        </w:tc>
      </w:tr>
      <w:tr w14:paraId="5D2C7895">
        <w:tblPrEx>
          <w:tblCellMar>
            <w:top w:w="0" w:type="dxa"/>
            <w:left w:w="108" w:type="dxa"/>
            <w:bottom w:w="0" w:type="dxa"/>
            <w:right w:w="108" w:type="dxa"/>
          </w:tblCellMar>
        </w:tblPrEx>
        <w:trPr>
          <w:trHeight w:val="1679" w:hRule="atLeast"/>
        </w:trPr>
        <w:tc>
          <w:tcPr>
            <w:tcW w:w="581" w:type="dxa"/>
            <w:vMerge w:val="continue"/>
            <w:tcBorders>
              <w:top w:val="nil"/>
              <w:left w:val="single" w:color="auto" w:sz="4" w:space="0"/>
              <w:bottom w:val="nil"/>
              <w:right w:val="single" w:color="auto" w:sz="4" w:space="0"/>
            </w:tcBorders>
            <w:vAlign w:val="center"/>
          </w:tcPr>
          <w:p w14:paraId="13F25BAD">
            <w:pPr>
              <w:widowControl/>
              <w:jc w:val="left"/>
              <w:rPr>
                <w:rFonts w:ascii="宋体" w:hAnsi="宋体" w:cs="宋体"/>
                <w:kern w:val="0"/>
                <w:sz w:val="20"/>
                <w:szCs w:val="20"/>
              </w:rPr>
            </w:pPr>
          </w:p>
        </w:tc>
        <w:tc>
          <w:tcPr>
            <w:tcW w:w="667" w:type="dxa"/>
            <w:vMerge w:val="continue"/>
            <w:tcBorders>
              <w:top w:val="nil"/>
              <w:left w:val="single" w:color="auto" w:sz="4" w:space="0"/>
              <w:bottom w:val="single" w:color="000000" w:sz="4" w:space="0"/>
              <w:right w:val="single" w:color="auto" w:sz="4" w:space="0"/>
            </w:tcBorders>
            <w:vAlign w:val="center"/>
          </w:tcPr>
          <w:p w14:paraId="29B25A64">
            <w:pPr>
              <w:widowControl/>
              <w:jc w:val="left"/>
              <w:rPr>
                <w:rFonts w:ascii="宋体" w:hAnsi="宋体" w:cs="宋体"/>
                <w:color w:val="000000"/>
                <w:kern w:val="0"/>
                <w:sz w:val="20"/>
                <w:szCs w:val="20"/>
              </w:rPr>
            </w:pPr>
          </w:p>
        </w:tc>
        <w:tc>
          <w:tcPr>
            <w:tcW w:w="790" w:type="dxa"/>
            <w:tcBorders>
              <w:top w:val="nil"/>
              <w:left w:val="nil"/>
              <w:bottom w:val="single" w:color="auto" w:sz="4" w:space="0"/>
              <w:right w:val="single" w:color="auto" w:sz="4" w:space="0"/>
            </w:tcBorders>
            <w:shd w:val="clear" w:color="auto" w:fill="auto"/>
            <w:vAlign w:val="center"/>
          </w:tcPr>
          <w:p w14:paraId="5E118FF9">
            <w:pPr>
              <w:widowControl/>
              <w:jc w:val="left"/>
              <w:rPr>
                <w:rFonts w:ascii="宋体" w:hAnsi="宋体" w:cs="宋体"/>
                <w:kern w:val="0"/>
                <w:sz w:val="20"/>
                <w:szCs w:val="20"/>
              </w:rPr>
            </w:pPr>
            <w:r>
              <w:rPr>
                <w:rFonts w:hint="eastAsia" w:ascii="宋体" w:hAnsi="宋体" w:cs="宋体"/>
                <w:kern w:val="0"/>
                <w:sz w:val="20"/>
                <w:szCs w:val="20"/>
              </w:rPr>
              <w:t>编制质量（3分）</w:t>
            </w:r>
          </w:p>
        </w:tc>
        <w:tc>
          <w:tcPr>
            <w:tcW w:w="492" w:type="dxa"/>
            <w:tcBorders>
              <w:top w:val="nil"/>
              <w:left w:val="nil"/>
              <w:bottom w:val="single" w:color="auto" w:sz="4" w:space="0"/>
              <w:right w:val="single" w:color="auto" w:sz="4" w:space="0"/>
            </w:tcBorders>
            <w:shd w:val="clear" w:color="auto" w:fill="auto"/>
            <w:vAlign w:val="center"/>
          </w:tcPr>
          <w:p w14:paraId="2C91267B">
            <w:pPr>
              <w:widowControl/>
              <w:jc w:val="center"/>
              <w:rPr>
                <w:rFonts w:ascii="宋体" w:hAnsi="宋体" w:cs="宋体"/>
                <w:kern w:val="0"/>
                <w:sz w:val="20"/>
                <w:szCs w:val="20"/>
              </w:rPr>
            </w:pPr>
            <w:r>
              <w:rPr>
                <w:rFonts w:hint="eastAsia" w:ascii="宋体" w:hAnsi="宋体" w:cs="宋体"/>
                <w:kern w:val="0"/>
                <w:sz w:val="20"/>
                <w:szCs w:val="20"/>
              </w:rPr>
              <w:t>3</w:t>
            </w:r>
          </w:p>
        </w:tc>
        <w:tc>
          <w:tcPr>
            <w:tcW w:w="3985" w:type="dxa"/>
            <w:tcBorders>
              <w:top w:val="nil"/>
              <w:left w:val="nil"/>
              <w:bottom w:val="single" w:color="auto" w:sz="4" w:space="0"/>
              <w:right w:val="single" w:color="auto" w:sz="4" w:space="0"/>
            </w:tcBorders>
            <w:shd w:val="clear" w:color="auto" w:fill="auto"/>
            <w:vAlign w:val="center"/>
          </w:tcPr>
          <w:p w14:paraId="36426823">
            <w:pPr>
              <w:widowControl/>
              <w:jc w:val="left"/>
              <w:rPr>
                <w:rFonts w:ascii="宋体" w:hAnsi="宋体" w:cs="宋体"/>
                <w:kern w:val="0"/>
                <w:sz w:val="20"/>
                <w:szCs w:val="20"/>
              </w:rPr>
            </w:pPr>
            <w:r>
              <w:rPr>
                <w:rFonts w:hint="eastAsia" w:ascii="宋体" w:hAnsi="宋体" w:cs="宋体"/>
                <w:kern w:val="0"/>
                <w:sz w:val="20"/>
                <w:szCs w:val="20"/>
              </w:rPr>
              <w:t>部门预算编制是否规范，科目使用是否正确，公用经费是否按照区级部门预算编制标准计算，并按单位需求细化经济科目。</w:t>
            </w:r>
          </w:p>
        </w:tc>
        <w:tc>
          <w:tcPr>
            <w:tcW w:w="1845" w:type="dxa"/>
            <w:tcBorders>
              <w:top w:val="nil"/>
              <w:left w:val="nil"/>
              <w:bottom w:val="single" w:color="auto" w:sz="4" w:space="0"/>
              <w:right w:val="single" w:color="auto" w:sz="4" w:space="0"/>
            </w:tcBorders>
            <w:shd w:val="clear" w:color="auto" w:fill="auto"/>
            <w:vAlign w:val="center"/>
          </w:tcPr>
          <w:p w14:paraId="574EBCE2">
            <w:pPr>
              <w:widowControl/>
              <w:jc w:val="left"/>
              <w:rPr>
                <w:rFonts w:ascii="宋体" w:hAnsi="宋体" w:cs="宋体"/>
                <w:kern w:val="0"/>
                <w:sz w:val="20"/>
                <w:szCs w:val="20"/>
              </w:rPr>
            </w:pPr>
            <w:r>
              <w:rPr>
                <w:rFonts w:hint="eastAsia" w:ascii="宋体" w:hAnsi="宋体" w:cs="宋体"/>
                <w:kern w:val="0"/>
                <w:sz w:val="20"/>
                <w:szCs w:val="20"/>
              </w:rPr>
              <w:t>科目使用不正确一个扣1分，未按标准计算编制公用经费扣2分，经济科目细化偏差大，不合理的扣2分，扣分不超过5分。</w:t>
            </w:r>
          </w:p>
        </w:tc>
      </w:tr>
      <w:tr w14:paraId="4CEEEDEB">
        <w:tblPrEx>
          <w:tblCellMar>
            <w:top w:w="0" w:type="dxa"/>
            <w:left w:w="108" w:type="dxa"/>
            <w:bottom w:w="0" w:type="dxa"/>
            <w:right w:w="108" w:type="dxa"/>
          </w:tblCellMar>
        </w:tblPrEx>
        <w:trPr>
          <w:trHeight w:val="893" w:hRule="atLeast"/>
        </w:trPr>
        <w:tc>
          <w:tcPr>
            <w:tcW w:w="581" w:type="dxa"/>
            <w:vMerge w:val="continue"/>
            <w:tcBorders>
              <w:top w:val="nil"/>
              <w:left w:val="single" w:color="auto" w:sz="4" w:space="0"/>
              <w:bottom w:val="nil"/>
              <w:right w:val="single" w:color="auto" w:sz="4" w:space="0"/>
            </w:tcBorders>
            <w:vAlign w:val="center"/>
          </w:tcPr>
          <w:p w14:paraId="258A0021">
            <w:pPr>
              <w:widowControl/>
              <w:jc w:val="left"/>
              <w:rPr>
                <w:rFonts w:ascii="宋体" w:hAnsi="宋体" w:cs="宋体"/>
                <w:kern w:val="0"/>
                <w:sz w:val="20"/>
                <w:szCs w:val="20"/>
              </w:rPr>
            </w:pPr>
          </w:p>
        </w:tc>
        <w:tc>
          <w:tcPr>
            <w:tcW w:w="667" w:type="dxa"/>
            <w:vMerge w:val="restart"/>
            <w:tcBorders>
              <w:top w:val="nil"/>
              <w:left w:val="single" w:color="auto" w:sz="4" w:space="0"/>
              <w:bottom w:val="single" w:color="auto" w:sz="4" w:space="0"/>
              <w:right w:val="single" w:color="auto" w:sz="4" w:space="0"/>
            </w:tcBorders>
            <w:shd w:val="clear" w:color="auto" w:fill="auto"/>
            <w:vAlign w:val="center"/>
          </w:tcPr>
          <w:p w14:paraId="5604323A">
            <w:pPr>
              <w:widowControl/>
              <w:jc w:val="center"/>
              <w:rPr>
                <w:rFonts w:ascii="宋体" w:hAnsi="宋体" w:cs="宋体"/>
                <w:color w:val="000000"/>
                <w:kern w:val="0"/>
                <w:sz w:val="20"/>
                <w:szCs w:val="20"/>
              </w:rPr>
            </w:pPr>
            <w:r>
              <w:rPr>
                <w:rFonts w:hint="eastAsia" w:ascii="宋体" w:hAnsi="宋体" w:cs="宋体"/>
                <w:color w:val="000000"/>
                <w:kern w:val="0"/>
                <w:sz w:val="20"/>
                <w:szCs w:val="20"/>
              </w:rPr>
              <w:t>决算编制（5分）</w:t>
            </w:r>
          </w:p>
        </w:tc>
        <w:tc>
          <w:tcPr>
            <w:tcW w:w="790" w:type="dxa"/>
            <w:tcBorders>
              <w:top w:val="nil"/>
              <w:left w:val="nil"/>
              <w:bottom w:val="single" w:color="auto" w:sz="4" w:space="0"/>
              <w:right w:val="single" w:color="auto" w:sz="4" w:space="0"/>
            </w:tcBorders>
            <w:shd w:val="clear" w:color="auto" w:fill="auto"/>
            <w:vAlign w:val="center"/>
          </w:tcPr>
          <w:p w14:paraId="322C8993">
            <w:pPr>
              <w:widowControl/>
              <w:jc w:val="left"/>
              <w:rPr>
                <w:rFonts w:ascii="宋体" w:hAnsi="宋体" w:cs="宋体"/>
                <w:kern w:val="0"/>
                <w:sz w:val="20"/>
                <w:szCs w:val="20"/>
              </w:rPr>
            </w:pPr>
            <w:r>
              <w:rPr>
                <w:rFonts w:hint="eastAsia" w:ascii="宋体" w:hAnsi="宋体" w:cs="宋体"/>
                <w:kern w:val="0"/>
                <w:sz w:val="20"/>
                <w:szCs w:val="20"/>
              </w:rPr>
              <w:t>报送时效（2分）</w:t>
            </w:r>
          </w:p>
        </w:tc>
        <w:tc>
          <w:tcPr>
            <w:tcW w:w="492" w:type="dxa"/>
            <w:tcBorders>
              <w:top w:val="nil"/>
              <w:left w:val="nil"/>
              <w:bottom w:val="single" w:color="auto" w:sz="4" w:space="0"/>
              <w:right w:val="single" w:color="auto" w:sz="4" w:space="0"/>
            </w:tcBorders>
            <w:shd w:val="clear" w:color="auto" w:fill="auto"/>
            <w:vAlign w:val="center"/>
          </w:tcPr>
          <w:p w14:paraId="230E30BE">
            <w:pPr>
              <w:widowControl/>
              <w:jc w:val="center"/>
              <w:rPr>
                <w:rFonts w:ascii="宋体" w:hAnsi="宋体" w:cs="宋体"/>
                <w:kern w:val="0"/>
                <w:sz w:val="20"/>
                <w:szCs w:val="20"/>
              </w:rPr>
            </w:pPr>
            <w:r>
              <w:rPr>
                <w:rFonts w:hint="eastAsia" w:ascii="宋体" w:hAnsi="宋体" w:cs="宋体"/>
                <w:kern w:val="0"/>
                <w:sz w:val="20"/>
                <w:szCs w:val="20"/>
              </w:rPr>
              <w:t>2</w:t>
            </w:r>
          </w:p>
        </w:tc>
        <w:tc>
          <w:tcPr>
            <w:tcW w:w="3985" w:type="dxa"/>
            <w:tcBorders>
              <w:top w:val="nil"/>
              <w:left w:val="nil"/>
              <w:bottom w:val="single" w:color="auto" w:sz="4" w:space="0"/>
              <w:right w:val="single" w:color="auto" w:sz="4" w:space="0"/>
            </w:tcBorders>
            <w:shd w:val="clear" w:color="auto" w:fill="auto"/>
            <w:vAlign w:val="center"/>
          </w:tcPr>
          <w:p w14:paraId="10BFC6AE">
            <w:pPr>
              <w:widowControl/>
              <w:jc w:val="left"/>
              <w:rPr>
                <w:rFonts w:ascii="宋体" w:hAnsi="宋体" w:cs="宋体"/>
                <w:kern w:val="0"/>
                <w:sz w:val="20"/>
                <w:szCs w:val="20"/>
              </w:rPr>
            </w:pPr>
            <w:r>
              <w:rPr>
                <w:rFonts w:hint="eastAsia" w:ascii="宋体" w:hAnsi="宋体" w:cs="宋体"/>
                <w:kern w:val="0"/>
                <w:sz w:val="20"/>
                <w:szCs w:val="20"/>
              </w:rPr>
              <w:t>部门是否按照区级部门决算编制通知和有关要求，决算编制程序是否规范、按时报送。</w:t>
            </w:r>
          </w:p>
        </w:tc>
        <w:tc>
          <w:tcPr>
            <w:tcW w:w="1845" w:type="dxa"/>
            <w:tcBorders>
              <w:top w:val="nil"/>
              <w:left w:val="nil"/>
              <w:bottom w:val="single" w:color="auto" w:sz="4" w:space="0"/>
              <w:right w:val="single" w:color="auto" w:sz="4" w:space="0"/>
            </w:tcBorders>
            <w:shd w:val="clear" w:color="auto" w:fill="auto"/>
            <w:vAlign w:val="center"/>
          </w:tcPr>
          <w:p w14:paraId="3C301885">
            <w:pPr>
              <w:widowControl/>
              <w:jc w:val="left"/>
              <w:rPr>
                <w:rFonts w:ascii="宋体" w:hAnsi="宋体" w:cs="宋体"/>
                <w:kern w:val="0"/>
                <w:sz w:val="20"/>
                <w:szCs w:val="20"/>
              </w:rPr>
            </w:pPr>
            <w:r>
              <w:rPr>
                <w:rFonts w:hint="eastAsia" w:ascii="宋体" w:hAnsi="宋体" w:cs="宋体"/>
                <w:kern w:val="0"/>
                <w:sz w:val="20"/>
                <w:szCs w:val="20"/>
              </w:rPr>
              <w:t>在规定时间内报送得2分，否则不得分。</w:t>
            </w:r>
          </w:p>
        </w:tc>
      </w:tr>
      <w:tr w14:paraId="4D9AF6B2">
        <w:tblPrEx>
          <w:tblCellMar>
            <w:top w:w="0" w:type="dxa"/>
            <w:left w:w="108" w:type="dxa"/>
            <w:bottom w:w="0" w:type="dxa"/>
            <w:right w:w="108" w:type="dxa"/>
          </w:tblCellMar>
        </w:tblPrEx>
        <w:trPr>
          <w:trHeight w:val="621" w:hRule="atLeast"/>
        </w:trPr>
        <w:tc>
          <w:tcPr>
            <w:tcW w:w="581" w:type="dxa"/>
            <w:vMerge w:val="continue"/>
            <w:tcBorders>
              <w:top w:val="nil"/>
              <w:left w:val="single" w:color="auto" w:sz="4" w:space="0"/>
              <w:bottom w:val="nil"/>
              <w:right w:val="single" w:color="auto" w:sz="4" w:space="0"/>
            </w:tcBorders>
            <w:vAlign w:val="center"/>
          </w:tcPr>
          <w:p w14:paraId="6EF6A2B0">
            <w:pPr>
              <w:widowControl/>
              <w:jc w:val="left"/>
              <w:rPr>
                <w:rFonts w:ascii="宋体" w:hAnsi="宋体" w:cs="宋体"/>
                <w:kern w:val="0"/>
                <w:sz w:val="20"/>
                <w:szCs w:val="20"/>
              </w:rPr>
            </w:pPr>
          </w:p>
        </w:tc>
        <w:tc>
          <w:tcPr>
            <w:tcW w:w="667" w:type="dxa"/>
            <w:vMerge w:val="continue"/>
            <w:tcBorders>
              <w:top w:val="nil"/>
              <w:left w:val="single" w:color="auto" w:sz="4" w:space="0"/>
              <w:bottom w:val="single" w:color="auto" w:sz="4" w:space="0"/>
              <w:right w:val="single" w:color="auto" w:sz="4" w:space="0"/>
            </w:tcBorders>
            <w:vAlign w:val="center"/>
          </w:tcPr>
          <w:p w14:paraId="43C63F43">
            <w:pPr>
              <w:widowControl/>
              <w:jc w:val="left"/>
              <w:rPr>
                <w:rFonts w:ascii="宋体" w:hAnsi="宋体" w:cs="宋体"/>
                <w:color w:val="000000"/>
                <w:kern w:val="0"/>
                <w:sz w:val="20"/>
                <w:szCs w:val="20"/>
              </w:rPr>
            </w:pPr>
          </w:p>
        </w:tc>
        <w:tc>
          <w:tcPr>
            <w:tcW w:w="790" w:type="dxa"/>
            <w:tcBorders>
              <w:top w:val="nil"/>
              <w:left w:val="nil"/>
              <w:bottom w:val="single" w:color="auto" w:sz="4" w:space="0"/>
              <w:right w:val="single" w:color="auto" w:sz="4" w:space="0"/>
            </w:tcBorders>
            <w:shd w:val="clear" w:color="auto" w:fill="auto"/>
            <w:vAlign w:val="center"/>
          </w:tcPr>
          <w:p w14:paraId="32C6F04F">
            <w:pPr>
              <w:widowControl/>
              <w:jc w:val="left"/>
              <w:rPr>
                <w:rFonts w:ascii="宋体" w:hAnsi="宋体" w:cs="宋体"/>
                <w:kern w:val="0"/>
                <w:sz w:val="20"/>
                <w:szCs w:val="20"/>
              </w:rPr>
            </w:pPr>
            <w:r>
              <w:rPr>
                <w:rFonts w:hint="eastAsia" w:ascii="宋体" w:hAnsi="宋体" w:cs="宋体"/>
                <w:kern w:val="0"/>
                <w:sz w:val="20"/>
                <w:szCs w:val="20"/>
              </w:rPr>
              <w:t>编制质量（3分）</w:t>
            </w:r>
          </w:p>
        </w:tc>
        <w:tc>
          <w:tcPr>
            <w:tcW w:w="492" w:type="dxa"/>
            <w:tcBorders>
              <w:top w:val="nil"/>
              <w:left w:val="nil"/>
              <w:bottom w:val="single" w:color="auto" w:sz="4" w:space="0"/>
              <w:right w:val="single" w:color="auto" w:sz="4" w:space="0"/>
            </w:tcBorders>
            <w:shd w:val="clear" w:color="auto" w:fill="auto"/>
            <w:vAlign w:val="center"/>
          </w:tcPr>
          <w:p w14:paraId="43E92DD3">
            <w:pPr>
              <w:widowControl/>
              <w:jc w:val="center"/>
              <w:rPr>
                <w:rFonts w:ascii="宋体" w:hAnsi="宋体" w:cs="宋体"/>
                <w:kern w:val="0"/>
                <w:sz w:val="20"/>
                <w:szCs w:val="20"/>
              </w:rPr>
            </w:pPr>
            <w:r>
              <w:rPr>
                <w:rFonts w:hint="eastAsia" w:ascii="宋体" w:hAnsi="宋体" w:cs="宋体"/>
                <w:kern w:val="0"/>
                <w:sz w:val="20"/>
                <w:szCs w:val="20"/>
              </w:rPr>
              <w:t>3</w:t>
            </w:r>
          </w:p>
        </w:tc>
        <w:tc>
          <w:tcPr>
            <w:tcW w:w="3985" w:type="dxa"/>
            <w:tcBorders>
              <w:top w:val="nil"/>
              <w:left w:val="nil"/>
              <w:bottom w:val="single" w:color="auto" w:sz="4" w:space="0"/>
              <w:right w:val="single" w:color="auto" w:sz="4" w:space="0"/>
            </w:tcBorders>
            <w:shd w:val="clear" w:color="auto" w:fill="auto"/>
            <w:vAlign w:val="center"/>
          </w:tcPr>
          <w:p w14:paraId="00007D46">
            <w:pPr>
              <w:widowControl/>
              <w:jc w:val="left"/>
              <w:rPr>
                <w:rFonts w:ascii="宋体" w:hAnsi="宋体" w:cs="宋体"/>
                <w:kern w:val="0"/>
                <w:sz w:val="20"/>
                <w:szCs w:val="20"/>
              </w:rPr>
            </w:pPr>
            <w:r>
              <w:rPr>
                <w:rFonts w:hint="eastAsia" w:ascii="宋体" w:hAnsi="宋体" w:cs="宋体"/>
                <w:kern w:val="0"/>
                <w:sz w:val="20"/>
                <w:szCs w:val="20"/>
              </w:rPr>
              <w:t>部门决算编制是否规范，无应编未编、错误列编、虚假混编等问题。</w:t>
            </w:r>
          </w:p>
        </w:tc>
        <w:tc>
          <w:tcPr>
            <w:tcW w:w="1845" w:type="dxa"/>
            <w:tcBorders>
              <w:top w:val="nil"/>
              <w:left w:val="nil"/>
              <w:bottom w:val="single" w:color="auto" w:sz="4" w:space="0"/>
              <w:right w:val="single" w:color="auto" w:sz="4" w:space="0"/>
            </w:tcBorders>
            <w:shd w:val="clear" w:color="auto" w:fill="auto"/>
            <w:vAlign w:val="center"/>
          </w:tcPr>
          <w:p w14:paraId="2328BFA9">
            <w:pPr>
              <w:widowControl/>
              <w:jc w:val="left"/>
              <w:rPr>
                <w:rFonts w:ascii="宋体" w:hAnsi="宋体" w:cs="宋体"/>
                <w:kern w:val="0"/>
                <w:sz w:val="20"/>
                <w:szCs w:val="20"/>
              </w:rPr>
            </w:pPr>
            <w:r>
              <w:rPr>
                <w:rFonts w:hint="eastAsia" w:ascii="宋体" w:hAnsi="宋体" w:cs="宋体"/>
                <w:kern w:val="0"/>
                <w:sz w:val="20"/>
                <w:szCs w:val="20"/>
              </w:rPr>
              <w:t>发现问题，一次扣1分。扣分不超过5分。</w:t>
            </w:r>
          </w:p>
        </w:tc>
      </w:tr>
      <w:tr w14:paraId="162EF8FB">
        <w:tblPrEx>
          <w:tblCellMar>
            <w:top w:w="0" w:type="dxa"/>
            <w:left w:w="108" w:type="dxa"/>
            <w:bottom w:w="0" w:type="dxa"/>
            <w:right w:w="108" w:type="dxa"/>
          </w:tblCellMar>
        </w:tblPrEx>
        <w:trPr>
          <w:trHeight w:val="1357" w:hRule="atLeast"/>
        </w:trPr>
        <w:tc>
          <w:tcPr>
            <w:tcW w:w="5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99AEAE6">
            <w:pPr>
              <w:widowControl/>
              <w:jc w:val="center"/>
              <w:rPr>
                <w:rFonts w:ascii="宋体" w:hAnsi="宋体" w:cs="宋体"/>
                <w:kern w:val="0"/>
                <w:sz w:val="20"/>
                <w:szCs w:val="20"/>
              </w:rPr>
            </w:pPr>
            <w:r>
              <w:rPr>
                <w:rFonts w:hint="eastAsia" w:ascii="宋体" w:hAnsi="宋体" w:cs="宋体"/>
                <w:kern w:val="0"/>
                <w:sz w:val="20"/>
                <w:szCs w:val="20"/>
              </w:rPr>
              <w:t>预算执行（15分）</w:t>
            </w:r>
          </w:p>
        </w:tc>
        <w:tc>
          <w:tcPr>
            <w:tcW w:w="667" w:type="dxa"/>
            <w:tcBorders>
              <w:top w:val="nil"/>
              <w:left w:val="nil"/>
              <w:bottom w:val="nil"/>
              <w:right w:val="single" w:color="auto" w:sz="4" w:space="0"/>
            </w:tcBorders>
            <w:shd w:val="clear" w:color="auto" w:fill="auto"/>
            <w:vAlign w:val="center"/>
          </w:tcPr>
          <w:p w14:paraId="7594BF37">
            <w:pPr>
              <w:widowControl/>
              <w:jc w:val="center"/>
              <w:rPr>
                <w:rFonts w:ascii="宋体" w:hAnsi="宋体" w:cs="宋体"/>
                <w:kern w:val="0"/>
                <w:sz w:val="20"/>
                <w:szCs w:val="20"/>
              </w:rPr>
            </w:pPr>
            <w:r>
              <w:rPr>
                <w:rFonts w:hint="eastAsia" w:ascii="宋体" w:hAnsi="宋体" w:cs="宋体"/>
                <w:kern w:val="0"/>
                <w:sz w:val="20"/>
                <w:szCs w:val="20"/>
              </w:rPr>
              <w:t>执行进度（5分）</w:t>
            </w:r>
          </w:p>
        </w:tc>
        <w:tc>
          <w:tcPr>
            <w:tcW w:w="790" w:type="dxa"/>
            <w:tcBorders>
              <w:top w:val="nil"/>
              <w:left w:val="nil"/>
              <w:bottom w:val="single" w:color="auto" w:sz="4" w:space="0"/>
              <w:right w:val="single" w:color="auto" w:sz="4" w:space="0"/>
            </w:tcBorders>
            <w:shd w:val="clear" w:color="auto" w:fill="auto"/>
            <w:vAlign w:val="center"/>
          </w:tcPr>
          <w:p w14:paraId="31E988BA">
            <w:pPr>
              <w:widowControl/>
              <w:jc w:val="left"/>
              <w:rPr>
                <w:rFonts w:ascii="宋体" w:hAnsi="宋体" w:cs="宋体"/>
                <w:kern w:val="0"/>
                <w:sz w:val="20"/>
                <w:szCs w:val="20"/>
              </w:rPr>
            </w:pPr>
            <w:r>
              <w:rPr>
                <w:rFonts w:hint="eastAsia" w:ascii="宋体" w:hAnsi="宋体" w:cs="宋体"/>
                <w:kern w:val="0"/>
                <w:sz w:val="20"/>
                <w:szCs w:val="20"/>
              </w:rPr>
              <w:t>预算执行率（5分）</w:t>
            </w:r>
          </w:p>
        </w:tc>
        <w:tc>
          <w:tcPr>
            <w:tcW w:w="492" w:type="dxa"/>
            <w:tcBorders>
              <w:top w:val="nil"/>
              <w:left w:val="nil"/>
              <w:bottom w:val="single" w:color="auto" w:sz="4" w:space="0"/>
              <w:right w:val="single" w:color="auto" w:sz="4" w:space="0"/>
            </w:tcBorders>
            <w:shd w:val="clear" w:color="auto" w:fill="auto"/>
            <w:vAlign w:val="center"/>
          </w:tcPr>
          <w:p w14:paraId="4DC6C9F2">
            <w:pPr>
              <w:widowControl/>
              <w:jc w:val="center"/>
              <w:rPr>
                <w:rFonts w:ascii="宋体" w:hAnsi="宋体" w:cs="宋体"/>
                <w:kern w:val="0"/>
                <w:sz w:val="20"/>
                <w:szCs w:val="20"/>
              </w:rPr>
            </w:pPr>
            <w:r>
              <w:rPr>
                <w:rFonts w:hint="eastAsia" w:ascii="宋体" w:hAnsi="宋体" w:cs="宋体"/>
                <w:kern w:val="0"/>
                <w:sz w:val="20"/>
                <w:szCs w:val="20"/>
              </w:rPr>
              <w:t>4</w:t>
            </w:r>
          </w:p>
        </w:tc>
        <w:tc>
          <w:tcPr>
            <w:tcW w:w="3985" w:type="dxa"/>
            <w:tcBorders>
              <w:top w:val="nil"/>
              <w:left w:val="nil"/>
              <w:bottom w:val="single" w:color="auto" w:sz="4" w:space="0"/>
              <w:right w:val="single" w:color="auto" w:sz="4" w:space="0"/>
            </w:tcBorders>
            <w:shd w:val="clear" w:color="auto" w:fill="auto"/>
            <w:vAlign w:val="center"/>
          </w:tcPr>
          <w:p w14:paraId="19013545">
            <w:pPr>
              <w:widowControl/>
              <w:jc w:val="left"/>
              <w:rPr>
                <w:rFonts w:ascii="宋体" w:hAnsi="宋体" w:cs="宋体"/>
                <w:kern w:val="0"/>
                <w:sz w:val="20"/>
                <w:szCs w:val="20"/>
              </w:rPr>
            </w:pPr>
            <w:r>
              <w:rPr>
                <w:rFonts w:hint="eastAsia" w:ascii="宋体" w:hAnsi="宋体" w:cs="宋体"/>
                <w:kern w:val="0"/>
                <w:sz w:val="20"/>
                <w:szCs w:val="20"/>
              </w:rPr>
              <w:t>通过对部门整体预算执行数与预算数的比较，反映和评价部门预算的执行情况。</w:t>
            </w:r>
            <w:r>
              <w:rPr>
                <w:rFonts w:hint="eastAsia" w:ascii="宋体" w:hAnsi="宋体" w:cs="宋体"/>
                <w:kern w:val="0"/>
                <w:sz w:val="20"/>
                <w:szCs w:val="20"/>
              </w:rPr>
              <w:br w:type="textWrapping"/>
            </w:r>
            <w:r>
              <w:rPr>
                <w:rFonts w:hint="eastAsia" w:ascii="宋体" w:hAnsi="宋体" w:cs="宋体"/>
                <w:kern w:val="0"/>
                <w:sz w:val="20"/>
                <w:szCs w:val="20"/>
              </w:rPr>
              <w:t>预算执行率=部门全年实际支出÷（上年结余结转+本年部门预算安排+全年执行中追加追减）×100%。</w:t>
            </w:r>
          </w:p>
        </w:tc>
        <w:tc>
          <w:tcPr>
            <w:tcW w:w="1845" w:type="dxa"/>
            <w:tcBorders>
              <w:top w:val="nil"/>
              <w:left w:val="nil"/>
              <w:bottom w:val="single" w:color="auto" w:sz="4" w:space="0"/>
              <w:right w:val="single" w:color="auto" w:sz="4" w:space="0"/>
            </w:tcBorders>
            <w:shd w:val="clear" w:color="auto" w:fill="auto"/>
            <w:vAlign w:val="center"/>
          </w:tcPr>
          <w:p w14:paraId="1FC51AFE">
            <w:pPr>
              <w:widowControl/>
              <w:jc w:val="left"/>
              <w:rPr>
                <w:rFonts w:ascii="宋体" w:hAnsi="宋体" w:cs="宋体"/>
                <w:kern w:val="0"/>
                <w:sz w:val="20"/>
                <w:szCs w:val="20"/>
              </w:rPr>
            </w:pPr>
            <w:r>
              <w:rPr>
                <w:rFonts w:hint="eastAsia" w:ascii="宋体" w:hAnsi="宋体" w:cs="宋体"/>
                <w:kern w:val="0"/>
                <w:sz w:val="20"/>
                <w:szCs w:val="20"/>
              </w:rPr>
              <w:t>全年预算执行率≥95%得5分，每下降5%扣0.5分，低于70%不得分。</w:t>
            </w:r>
          </w:p>
        </w:tc>
      </w:tr>
      <w:tr w14:paraId="7C08F186">
        <w:tblPrEx>
          <w:tblCellMar>
            <w:top w:w="0" w:type="dxa"/>
            <w:left w:w="108" w:type="dxa"/>
            <w:bottom w:w="0" w:type="dxa"/>
            <w:right w:w="108" w:type="dxa"/>
          </w:tblCellMar>
        </w:tblPrEx>
        <w:trPr>
          <w:trHeight w:val="1393" w:hRule="atLeast"/>
        </w:trPr>
        <w:tc>
          <w:tcPr>
            <w:tcW w:w="581" w:type="dxa"/>
            <w:vMerge w:val="continue"/>
            <w:tcBorders>
              <w:top w:val="single" w:color="auto" w:sz="4" w:space="0"/>
              <w:left w:val="single" w:color="auto" w:sz="4" w:space="0"/>
              <w:bottom w:val="single" w:color="000000" w:sz="4" w:space="0"/>
              <w:right w:val="single" w:color="auto" w:sz="4" w:space="0"/>
            </w:tcBorders>
            <w:vAlign w:val="center"/>
          </w:tcPr>
          <w:p w14:paraId="019DAE05">
            <w:pPr>
              <w:widowControl/>
              <w:jc w:val="left"/>
              <w:rPr>
                <w:rFonts w:ascii="宋体" w:hAnsi="宋体" w:cs="宋体"/>
                <w:kern w:val="0"/>
                <w:sz w:val="20"/>
                <w:szCs w:val="20"/>
              </w:rPr>
            </w:pPr>
          </w:p>
        </w:tc>
        <w:tc>
          <w:tcPr>
            <w:tcW w:w="667" w:type="dxa"/>
            <w:tcBorders>
              <w:top w:val="single" w:color="auto" w:sz="4" w:space="0"/>
              <w:left w:val="nil"/>
              <w:bottom w:val="single" w:color="auto" w:sz="4" w:space="0"/>
              <w:right w:val="single" w:color="auto" w:sz="4" w:space="0"/>
            </w:tcBorders>
            <w:shd w:val="clear" w:color="auto" w:fill="auto"/>
            <w:vAlign w:val="center"/>
          </w:tcPr>
          <w:p w14:paraId="27D0003F">
            <w:pPr>
              <w:widowControl/>
              <w:jc w:val="center"/>
              <w:rPr>
                <w:rFonts w:ascii="宋体" w:hAnsi="宋体" w:cs="宋体"/>
                <w:kern w:val="0"/>
                <w:sz w:val="20"/>
                <w:szCs w:val="20"/>
              </w:rPr>
            </w:pPr>
            <w:r>
              <w:rPr>
                <w:rFonts w:hint="eastAsia" w:ascii="宋体" w:hAnsi="宋体" w:cs="宋体"/>
                <w:kern w:val="0"/>
                <w:sz w:val="20"/>
                <w:szCs w:val="20"/>
              </w:rPr>
              <w:t>预算调整（3分）</w:t>
            </w:r>
          </w:p>
        </w:tc>
        <w:tc>
          <w:tcPr>
            <w:tcW w:w="790" w:type="dxa"/>
            <w:tcBorders>
              <w:top w:val="nil"/>
              <w:left w:val="nil"/>
              <w:bottom w:val="single" w:color="auto" w:sz="4" w:space="0"/>
              <w:right w:val="single" w:color="auto" w:sz="4" w:space="0"/>
            </w:tcBorders>
            <w:shd w:val="clear" w:color="auto" w:fill="auto"/>
            <w:vAlign w:val="center"/>
          </w:tcPr>
          <w:p w14:paraId="7DC0B609">
            <w:pPr>
              <w:widowControl/>
              <w:jc w:val="left"/>
              <w:rPr>
                <w:rFonts w:ascii="宋体" w:hAnsi="宋体" w:cs="宋体"/>
                <w:kern w:val="0"/>
                <w:sz w:val="20"/>
                <w:szCs w:val="20"/>
              </w:rPr>
            </w:pPr>
            <w:r>
              <w:rPr>
                <w:rFonts w:hint="eastAsia" w:ascii="宋体" w:hAnsi="宋体" w:cs="宋体"/>
                <w:kern w:val="0"/>
                <w:sz w:val="20"/>
                <w:szCs w:val="20"/>
              </w:rPr>
              <w:t>预算调整率（3分）</w:t>
            </w:r>
          </w:p>
        </w:tc>
        <w:tc>
          <w:tcPr>
            <w:tcW w:w="492" w:type="dxa"/>
            <w:tcBorders>
              <w:top w:val="nil"/>
              <w:left w:val="nil"/>
              <w:bottom w:val="nil"/>
              <w:right w:val="single" w:color="auto" w:sz="4" w:space="0"/>
            </w:tcBorders>
            <w:shd w:val="clear" w:color="auto" w:fill="auto"/>
            <w:vAlign w:val="center"/>
          </w:tcPr>
          <w:p w14:paraId="3BB13F53">
            <w:pPr>
              <w:widowControl/>
              <w:jc w:val="center"/>
              <w:rPr>
                <w:rFonts w:ascii="宋体" w:hAnsi="宋体" w:cs="宋体"/>
                <w:kern w:val="0"/>
                <w:sz w:val="20"/>
                <w:szCs w:val="20"/>
              </w:rPr>
            </w:pPr>
            <w:r>
              <w:rPr>
                <w:rFonts w:hint="eastAsia" w:ascii="宋体" w:hAnsi="宋体" w:cs="宋体"/>
                <w:kern w:val="0"/>
                <w:sz w:val="20"/>
                <w:szCs w:val="20"/>
              </w:rPr>
              <w:t>2</w:t>
            </w:r>
          </w:p>
        </w:tc>
        <w:tc>
          <w:tcPr>
            <w:tcW w:w="3985" w:type="dxa"/>
            <w:tcBorders>
              <w:top w:val="nil"/>
              <w:left w:val="nil"/>
              <w:bottom w:val="nil"/>
              <w:right w:val="single" w:color="auto" w:sz="4" w:space="0"/>
            </w:tcBorders>
            <w:shd w:val="clear" w:color="auto" w:fill="auto"/>
            <w:vAlign w:val="center"/>
          </w:tcPr>
          <w:p w14:paraId="673B9730">
            <w:pPr>
              <w:widowControl/>
              <w:jc w:val="left"/>
              <w:rPr>
                <w:rFonts w:ascii="宋体" w:hAnsi="宋体" w:cs="宋体"/>
                <w:kern w:val="0"/>
                <w:sz w:val="20"/>
                <w:szCs w:val="20"/>
              </w:rPr>
            </w:pPr>
            <w:r>
              <w:rPr>
                <w:rFonts w:hint="eastAsia" w:ascii="宋体" w:hAnsi="宋体" w:cs="宋体"/>
                <w:kern w:val="0"/>
                <w:sz w:val="20"/>
                <w:szCs w:val="20"/>
              </w:rPr>
              <w:t>预算调整率=（预算调整数/预算数）×100%。 预算调整数：部门（单位）在本-度内涉及预算的追加、追减或结构调整的资金总和（因落实国家政策，发生不可抗力、上级部门或本级党委政府临时交办而产生的调整除外）。</w:t>
            </w:r>
          </w:p>
        </w:tc>
        <w:tc>
          <w:tcPr>
            <w:tcW w:w="1845" w:type="dxa"/>
            <w:tcBorders>
              <w:top w:val="nil"/>
              <w:left w:val="nil"/>
              <w:bottom w:val="single" w:color="auto" w:sz="4" w:space="0"/>
              <w:right w:val="single" w:color="auto" w:sz="4" w:space="0"/>
            </w:tcBorders>
            <w:shd w:val="clear" w:color="auto" w:fill="auto"/>
            <w:vAlign w:val="center"/>
          </w:tcPr>
          <w:p w14:paraId="7FE20629">
            <w:pPr>
              <w:widowControl/>
              <w:jc w:val="left"/>
              <w:rPr>
                <w:rFonts w:ascii="宋体" w:hAnsi="宋体" w:cs="宋体"/>
                <w:kern w:val="0"/>
                <w:sz w:val="20"/>
                <w:szCs w:val="20"/>
              </w:rPr>
            </w:pPr>
            <w:r>
              <w:rPr>
                <w:rFonts w:hint="eastAsia" w:ascii="宋体" w:hAnsi="宋体" w:cs="宋体"/>
                <w:kern w:val="0"/>
                <w:sz w:val="20"/>
                <w:szCs w:val="20"/>
              </w:rPr>
              <w:t>预算调整率=0，计3分； 0-10%（含），计2分； 10-20%（含），计1分； 20-30%（含），计0.5分； 大于30%不得分。</w:t>
            </w:r>
          </w:p>
        </w:tc>
      </w:tr>
      <w:tr w14:paraId="70A0678D">
        <w:tblPrEx>
          <w:tblCellMar>
            <w:top w:w="0" w:type="dxa"/>
            <w:left w:w="108" w:type="dxa"/>
            <w:bottom w:w="0" w:type="dxa"/>
            <w:right w:w="108" w:type="dxa"/>
          </w:tblCellMar>
        </w:tblPrEx>
        <w:trPr>
          <w:trHeight w:val="340" w:hRule="atLeast"/>
        </w:trPr>
        <w:tc>
          <w:tcPr>
            <w:tcW w:w="581" w:type="dxa"/>
            <w:vMerge w:val="continue"/>
            <w:tcBorders>
              <w:top w:val="single" w:color="auto" w:sz="4" w:space="0"/>
              <w:left w:val="single" w:color="auto" w:sz="4" w:space="0"/>
              <w:bottom w:val="single" w:color="000000" w:sz="4" w:space="0"/>
              <w:right w:val="single" w:color="auto" w:sz="4" w:space="0"/>
            </w:tcBorders>
            <w:vAlign w:val="center"/>
          </w:tcPr>
          <w:p w14:paraId="4ADC6027">
            <w:pPr>
              <w:widowControl/>
              <w:jc w:val="left"/>
              <w:rPr>
                <w:rFonts w:ascii="宋体" w:hAnsi="宋体" w:cs="宋体"/>
                <w:kern w:val="0"/>
                <w:sz w:val="20"/>
                <w:szCs w:val="20"/>
              </w:rPr>
            </w:pP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14:paraId="0404ED6D">
            <w:pPr>
              <w:widowControl/>
              <w:jc w:val="center"/>
              <w:rPr>
                <w:rFonts w:ascii="宋体" w:hAnsi="宋体" w:cs="宋体"/>
                <w:kern w:val="0"/>
                <w:sz w:val="20"/>
                <w:szCs w:val="20"/>
              </w:rPr>
            </w:pPr>
            <w:r>
              <w:rPr>
                <w:rFonts w:hint="eastAsia" w:ascii="宋体" w:hAnsi="宋体" w:cs="宋体"/>
                <w:kern w:val="0"/>
                <w:sz w:val="20"/>
                <w:szCs w:val="20"/>
              </w:rPr>
              <w:t>行政成本（7分）</w:t>
            </w:r>
          </w:p>
        </w:tc>
        <w:tc>
          <w:tcPr>
            <w:tcW w:w="790" w:type="dxa"/>
            <w:tcBorders>
              <w:top w:val="nil"/>
              <w:left w:val="nil"/>
              <w:bottom w:val="single" w:color="auto" w:sz="4" w:space="0"/>
              <w:right w:val="single" w:color="auto" w:sz="4" w:space="0"/>
            </w:tcBorders>
            <w:shd w:val="clear" w:color="auto" w:fill="auto"/>
            <w:vAlign w:val="center"/>
          </w:tcPr>
          <w:p w14:paraId="6091501E">
            <w:pPr>
              <w:widowControl/>
              <w:jc w:val="left"/>
              <w:rPr>
                <w:rFonts w:ascii="宋体" w:hAnsi="宋体" w:cs="宋体"/>
                <w:kern w:val="0"/>
                <w:sz w:val="20"/>
                <w:szCs w:val="20"/>
              </w:rPr>
            </w:pPr>
            <w:r>
              <w:rPr>
                <w:rFonts w:hint="eastAsia" w:ascii="宋体" w:hAnsi="宋体" w:cs="宋体"/>
                <w:kern w:val="0"/>
                <w:sz w:val="20"/>
                <w:szCs w:val="20"/>
              </w:rPr>
              <w:t>节能降耗（3分）</w:t>
            </w:r>
          </w:p>
        </w:tc>
        <w:tc>
          <w:tcPr>
            <w:tcW w:w="492" w:type="dxa"/>
            <w:tcBorders>
              <w:top w:val="single" w:color="auto" w:sz="4" w:space="0"/>
              <w:left w:val="nil"/>
              <w:bottom w:val="single" w:color="auto" w:sz="4" w:space="0"/>
              <w:right w:val="single" w:color="auto" w:sz="4" w:space="0"/>
            </w:tcBorders>
            <w:shd w:val="clear" w:color="auto" w:fill="auto"/>
            <w:vAlign w:val="center"/>
          </w:tcPr>
          <w:p w14:paraId="0A76EEEA">
            <w:pPr>
              <w:widowControl/>
              <w:jc w:val="center"/>
              <w:rPr>
                <w:rFonts w:ascii="宋体" w:hAnsi="宋体" w:cs="宋体"/>
                <w:kern w:val="0"/>
                <w:sz w:val="20"/>
                <w:szCs w:val="20"/>
              </w:rPr>
            </w:pPr>
            <w:r>
              <w:rPr>
                <w:rFonts w:hint="eastAsia" w:ascii="宋体" w:hAnsi="宋体" w:cs="宋体"/>
                <w:kern w:val="0"/>
                <w:sz w:val="20"/>
                <w:szCs w:val="20"/>
              </w:rPr>
              <w:t>3</w:t>
            </w:r>
          </w:p>
        </w:tc>
        <w:tc>
          <w:tcPr>
            <w:tcW w:w="3985" w:type="dxa"/>
            <w:tcBorders>
              <w:top w:val="single" w:color="auto" w:sz="4" w:space="0"/>
              <w:left w:val="nil"/>
              <w:bottom w:val="single" w:color="auto" w:sz="4" w:space="0"/>
              <w:right w:val="single" w:color="auto" w:sz="4" w:space="0"/>
            </w:tcBorders>
            <w:shd w:val="clear" w:color="auto" w:fill="auto"/>
            <w:vAlign w:val="center"/>
          </w:tcPr>
          <w:p w14:paraId="4A7F3205">
            <w:pPr>
              <w:widowControl/>
              <w:jc w:val="left"/>
              <w:rPr>
                <w:rFonts w:ascii="宋体" w:hAnsi="宋体" w:cs="宋体"/>
                <w:kern w:val="0"/>
                <w:sz w:val="20"/>
                <w:szCs w:val="20"/>
              </w:rPr>
            </w:pPr>
            <w:r>
              <w:rPr>
                <w:rFonts w:hint="eastAsia" w:ascii="宋体" w:hAnsi="宋体" w:cs="宋体"/>
                <w:kern w:val="0"/>
                <w:sz w:val="20"/>
                <w:szCs w:val="20"/>
              </w:rPr>
              <w:t>根据机关事务管理局节能考核换算得分</w:t>
            </w:r>
          </w:p>
        </w:tc>
        <w:tc>
          <w:tcPr>
            <w:tcW w:w="1845" w:type="dxa"/>
            <w:tcBorders>
              <w:top w:val="nil"/>
              <w:left w:val="nil"/>
              <w:bottom w:val="single" w:color="auto" w:sz="4" w:space="0"/>
              <w:right w:val="single" w:color="auto" w:sz="4" w:space="0"/>
            </w:tcBorders>
            <w:shd w:val="clear" w:color="auto" w:fill="auto"/>
            <w:vAlign w:val="center"/>
          </w:tcPr>
          <w:p w14:paraId="1D74D7BD">
            <w:pPr>
              <w:widowControl/>
              <w:jc w:val="left"/>
              <w:rPr>
                <w:rFonts w:ascii="宋体" w:hAnsi="宋体" w:cs="宋体"/>
                <w:kern w:val="0"/>
                <w:sz w:val="20"/>
                <w:szCs w:val="20"/>
              </w:rPr>
            </w:pPr>
            <w:r>
              <w:rPr>
                <w:rFonts w:hint="eastAsia" w:ascii="宋体" w:hAnsi="宋体" w:cs="宋体"/>
                <w:kern w:val="0"/>
                <w:sz w:val="20"/>
                <w:szCs w:val="20"/>
              </w:rPr>
              <w:t>　</w:t>
            </w:r>
          </w:p>
        </w:tc>
      </w:tr>
      <w:tr w14:paraId="08047C62">
        <w:tblPrEx>
          <w:tblCellMar>
            <w:top w:w="0" w:type="dxa"/>
            <w:left w:w="108" w:type="dxa"/>
            <w:bottom w:w="0" w:type="dxa"/>
            <w:right w:w="108" w:type="dxa"/>
          </w:tblCellMar>
        </w:tblPrEx>
        <w:trPr>
          <w:trHeight w:val="1285" w:hRule="atLeast"/>
        </w:trPr>
        <w:tc>
          <w:tcPr>
            <w:tcW w:w="581" w:type="dxa"/>
            <w:vMerge w:val="continue"/>
            <w:tcBorders>
              <w:top w:val="single" w:color="auto" w:sz="4" w:space="0"/>
              <w:left w:val="single" w:color="auto" w:sz="4" w:space="0"/>
              <w:bottom w:val="single" w:color="000000" w:sz="4" w:space="0"/>
              <w:right w:val="single" w:color="auto" w:sz="4" w:space="0"/>
            </w:tcBorders>
            <w:vAlign w:val="center"/>
          </w:tcPr>
          <w:p w14:paraId="6EFDD170">
            <w:pPr>
              <w:widowControl/>
              <w:jc w:val="left"/>
              <w:rPr>
                <w:rFonts w:ascii="宋体" w:hAnsi="宋体" w:cs="宋体"/>
                <w:kern w:val="0"/>
                <w:sz w:val="20"/>
                <w:szCs w:val="20"/>
              </w:rPr>
            </w:pPr>
          </w:p>
        </w:tc>
        <w:tc>
          <w:tcPr>
            <w:tcW w:w="667" w:type="dxa"/>
            <w:vMerge w:val="continue"/>
            <w:tcBorders>
              <w:top w:val="nil"/>
              <w:left w:val="single" w:color="auto" w:sz="4" w:space="0"/>
              <w:bottom w:val="single" w:color="000000" w:sz="4" w:space="0"/>
              <w:right w:val="single" w:color="auto" w:sz="4" w:space="0"/>
            </w:tcBorders>
            <w:vAlign w:val="center"/>
          </w:tcPr>
          <w:p w14:paraId="1C1EBEEF">
            <w:pPr>
              <w:widowControl/>
              <w:jc w:val="left"/>
              <w:rPr>
                <w:rFonts w:ascii="宋体" w:hAnsi="宋体" w:cs="宋体"/>
                <w:kern w:val="0"/>
                <w:sz w:val="20"/>
                <w:szCs w:val="20"/>
              </w:rPr>
            </w:pPr>
          </w:p>
        </w:tc>
        <w:tc>
          <w:tcPr>
            <w:tcW w:w="790" w:type="dxa"/>
            <w:tcBorders>
              <w:top w:val="nil"/>
              <w:left w:val="nil"/>
              <w:bottom w:val="single" w:color="auto" w:sz="4" w:space="0"/>
              <w:right w:val="single" w:color="auto" w:sz="4" w:space="0"/>
            </w:tcBorders>
            <w:shd w:val="clear" w:color="auto" w:fill="auto"/>
            <w:vAlign w:val="center"/>
          </w:tcPr>
          <w:p w14:paraId="67319F80">
            <w:pPr>
              <w:widowControl/>
              <w:jc w:val="left"/>
              <w:rPr>
                <w:rFonts w:ascii="宋体" w:hAnsi="宋体" w:cs="宋体"/>
                <w:color w:val="000000"/>
                <w:kern w:val="0"/>
                <w:sz w:val="20"/>
                <w:szCs w:val="20"/>
              </w:rPr>
            </w:pPr>
            <w:r>
              <w:rPr>
                <w:rFonts w:hint="eastAsia" w:ascii="宋体" w:hAnsi="宋体" w:cs="宋体"/>
                <w:color w:val="000000"/>
                <w:kern w:val="0"/>
                <w:sz w:val="20"/>
                <w:szCs w:val="20"/>
              </w:rPr>
              <w:t>三公经费控制率（4分）</w:t>
            </w:r>
          </w:p>
        </w:tc>
        <w:tc>
          <w:tcPr>
            <w:tcW w:w="492" w:type="dxa"/>
            <w:tcBorders>
              <w:top w:val="nil"/>
              <w:left w:val="nil"/>
              <w:bottom w:val="single" w:color="auto" w:sz="4" w:space="0"/>
              <w:right w:val="single" w:color="auto" w:sz="4" w:space="0"/>
            </w:tcBorders>
            <w:shd w:val="clear" w:color="auto" w:fill="auto"/>
            <w:vAlign w:val="center"/>
          </w:tcPr>
          <w:p w14:paraId="71B66288">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985" w:type="dxa"/>
            <w:tcBorders>
              <w:top w:val="nil"/>
              <w:left w:val="nil"/>
              <w:bottom w:val="single" w:color="auto" w:sz="4" w:space="0"/>
              <w:right w:val="single" w:color="auto" w:sz="4" w:space="0"/>
            </w:tcBorders>
            <w:shd w:val="clear" w:color="auto" w:fill="auto"/>
            <w:vAlign w:val="center"/>
          </w:tcPr>
          <w:p w14:paraId="488E2168">
            <w:pPr>
              <w:widowControl/>
              <w:jc w:val="left"/>
              <w:rPr>
                <w:rFonts w:ascii="宋体" w:hAnsi="宋体" w:cs="宋体"/>
                <w:kern w:val="0"/>
                <w:sz w:val="20"/>
                <w:szCs w:val="20"/>
              </w:rPr>
            </w:pPr>
            <w:r>
              <w:rPr>
                <w:rFonts w:hint="eastAsia" w:ascii="宋体" w:hAnsi="宋体" w:cs="宋体"/>
                <w:kern w:val="0"/>
                <w:sz w:val="20"/>
                <w:szCs w:val="20"/>
              </w:rPr>
              <w:t>以100%为标准。三公经费控制率≦100%，计4分； 每超过一个百分点扣1分，扣完为止。</w:t>
            </w:r>
          </w:p>
        </w:tc>
        <w:tc>
          <w:tcPr>
            <w:tcW w:w="1845" w:type="dxa"/>
            <w:tcBorders>
              <w:top w:val="nil"/>
              <w:left w:val="nil"/>
              <w:bottom w:val="single" w:color="auto" w:sz="4" w:space="0"/>
              <w:right w:val="single" w:color="auto" w:sz="4" w:space="0"/>
            </w:tcBorders>
            <w:shd w:val="clear" w:color="auto" w:fill="auto"/>
            <w:vAlign w:val="center"/>
          </w:tcPr>
          <w:p w14:paraId="1CA182C6">
            <w:pPr>
              <w:widowControl/>
              <w:jc w:val="left"/>
              <w:rPr>
                <w:rFonts w:ascii="宋体" w:hAnsi="宋体" w:cs="宋体"/>
                <w:kern w:val="0"/>
                <w:sz w:val="20"/>
                <w:szCs w:val="20"/>
              </w:rPr>
            </w:pPr>
            <w:r>
              <w:rPr>
                <w:rFonts w:hint="eastAsia" w:ascii="宋体" w:hAnsi="宋体" w:cs="宋体"/>
                <w:kern w:val="0"/>
                <w:sz w:val="20"/>
                <w:szCs w:val="20"/>
              </w:rPr>
              <w:t>“三公”经费控制率-（“三公”经费实际支出数/“三公”经费</w:t>
            </w:r>
            <w:bookmarkStart w:id="76" w:name="_GoBack"/>
            <w:bookmarkEnd w:id="76"/>
            <w:r>
              <w:rPr>
                <w:rFonts w:hint="eastAsia" w:ascii="宋体" w:hAnsi="宋体" w:cs="宋体"/>
                <w:kern w:val="0"/>
                <w:sz w:val="20"/>
                <w:szCs w:val="20"/>
              </w:rPr>
              <w:t>预算安排数）×100%。</w:t>
            </w:r>
          </w:p>
        </w:tc>
      </w:tr>
      <w:tr w14:paraId="45EDBC1B">
        <w:tblPrEx>
          <w:tblCellMar>
            <w:top w:w="0" w:type="dxa"/>
            <w:left w:w="108" w:type="dxa"/>
            <w:bottom w:w="0" w:type="dxa"/>
            <w:right w:w="108" w:type="dxa"/>
          </w:tblCellMar>
        </w:tblPrEx>
        <w:trPr>
          <w:trHeight w:val="875" w:hRule="atLeast"/>
        </w:trPr>
        <w:tc>
          <w:tcPr>
            <w:tcW w:w="581" w:type="dxa"/>
            <w:vMerge w:val="restart"/>
            <w:tcBorders>
              <w:top w:val="nil"/>
              <w:left w:val="single" w:color="auto" w:sz="4" w:space="0"/>
              <w:bottom w:val="single" w:color="auto" w:sz="4" w:space="0"/>
              <w:right w:val="single" w:color="auto" w:sz="4" w:space="0"/>
            </w:tcBorders>
            <w:shd w:val="clear" w:color="auto" w:fill="auto"/>
            <w:vAlign w:val="center"/>
          </w:tcPr>
          <w:p w14:paraId="12CE782B">
            <w:pPr>
              <w:widowControl/>
              <w:jc w:val="center"/>
              <w:rPr>
                <w:rFonts w:ascii="宋体" w:hAnsi="宋体" w:cs="宋体"/>
                <w:kern w:val="0"/>
                <w:sz w:val="20"/>
                <w:szCs w:val="20"/>
              </w:rPr>
            </w:pPr>
            <w:r>
              <w:rPr>
                <w:rFonts w:hint="eastAsia" w:ascii="宋体" w:hAnsi="宋体" w:cs="宋体"/>
                <w:kern w:val="0"/>
                <w:sz w:val="20"/>
                <w:szCs w:val="20"/>
              </w:rPr>
              <w:t>预算管理（50分）</w:t>
            </w: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14:paraId="5A511A51">
            <w:pPr>
              <w:widowControl/>
              <w:jc w:val="center"/>
              <w:rPr>
                <w:rFonts w:ascii="宋体" w:hAnsi="宋体" w:cs="宋体"/>
                <w:kern w:val="0"/>
                <w:sz w:val="20"/>
                <w:szCs w:val="20"/>
              </w:rPr>
            </w:pPr>
            <w:r>
              <w:rPr>
                <w:rFonts w:hint="eastAsia" w:ascii="宋体" w:hAnsi="宋体" w:cs="宋体"/>
                <w:kern w:val="0"/>
                <w:sz w:val="20"/>
                <w:szCs w:val="20"/>
              </w:rPr>
              <w:t>信息公开（5 分）</w:t>
            </w:r>
          </w:p>
        </w:tc>
        <w:tc>
          <w:tcPr>
            <w:tcW w:w="790" w:type="dxa"/>
            <w:tcBorders>
              <w:top w:val="nil"/>
              <w:left w:val="nil"/>
              <w:bottom w:val="single" w:color="auto" w:sz="4" w:space="0"/>
              <w:right w:val="single" w:color="auto" w:sz="4" w:space="0"/>
            </w:tcBorders>
            <w:shd w:val="clear" w:color="auto" w:fill="auto"/>
            <w:vAlign w:val="center"/>
          </w:tcPr>
          <w:p w14:paraId="2B74E53F">
            <w:pPr>
              <w:widowControl/>
              <w:jc w:val="left"/>
              <w:rPr>
                <w:rFonts w:ascii="宋体" w:hAnsi="宋体" w:cs="宋体"/>
                <w:color w:val="000000"/>
                <w:kern w:val="0"/>
                <w:sz w:val="20"/>
                <w:szCs w:val="20"/>
              </w:rPr>
            </w:pPr>
            <w:r>
              <w:rPr>
                <w:rFonts w:hint="eastAsia" w:ascii="宋体" w:hAnsi="宋体" w:cs="宋体"/>
                <w:color w:val="000000"/>
                <w:kern w:val="0"/>
                <w:sz w:val="20"/>
                <w:szCs w:val="20"/>
              </w:rPr>
              <w:t>公开时效（2分）</w:t>
            </w:r>
          </w:p>
        </w:tc>
        <w:tc>
          <w:tcPr>
            <w:tcW w:w="492" w:type="dxa"/>
            <w:tcBorders>
              <w:top w:val="nil"/>
              <w:left w:val="nil"/>
              <w:bottom w:val="single" w:color="auto" w:sz="4" w:space="0"/>
              <w:right w:val="single" w:color="auto" w:sz="4" w:space="0"/>
            </w:tcBorders>
            <w:shd w:val="clear" w:color="auto" w:fill="auto"/>
            <w:vAlign w:val="center"/>
          </w:tcPr>
          <w:p w14:paraId="56871E0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985" w:type="dxa"/>
            <w:tcBorders>
              <w:top w:val="nil"/>
              <w:left w:val="nil"/>
              <w:bottom w:val="single" w:color="auto" w:sz="4" w:space="0"/>
              <w:right w:val="single" w:color="auto" w:sz="4" w:space="0"/>
            </w:tcBorders>
            <w:shd w:val="clear" w:color="auto" w:fill="auto"/>
            <w:vAlign w:val="center"/>
          </w:tcPr>
          <w:p w14:paraId="5BFA88D7">
            <w:pPr>
              <w:widowControl/>
              <w:jc w:val="left"/>
              <w:rPr>
                <w:rFonts w:ascii="宋体" w:hAnsi="宋体" w:cs="宋体"/>
                <w:kern w:val="0"/>
                <w:sz w:val="20"/>
                <w:szCs w:val="20"/>
              </w:rPr>
            </w:pPr>
            <w:r>
              <w:rPr>
                <w:rFonts w:hint="eastAsia" w:ascii="宋体" w:hAnsi="宋体" w:cs="宋体"/>
                <w:kern w:val="0"/>
                <w:sz w:val="20"/>
                <w:szCs w:val="20"/>
              </w:rPr>
              <w:t>是否在区级政府门户网站上在规定时间内按时公开部门预算、决算、“三公”经费预算；</w:t>
            </w:r>
          </w:p>
        </w:tc>
        <w:tc>
          <w:tcPr>
            <w:tcW w:w="1845" w:type="dxa"/>
            <w:tcBorders>
              <w:top w:val="nil"/>
              <w:left w:val="nil"/>
              <w:bottom w:val="single" w:color="auto" w:sz="4" w:space="0"/>
              <w:right w:val="single" w:color="auto" w:sz="4" w:space="0"/>
            </w:tcBorders>
            <w:shd w:val="clear" w:color="auto" w:fill="auto"/>
            <w:vAlign w:val="center"/>
          </w:tcPr>
          <w:p w14:paraId="4104C3FB">
            <w:pPr>
              <w:widowControl/>
              <w:jc w:val="left"/>
              <w:rPr>
                <w:rFonts w:ascii="宋体" w:hAnsi="宋体" w:cs="宋体"/>
                <w:kern w:val="0"/>
                <w:sz w:val="20"/>
                <w:szCs w:val="20"/>
              </w:rPr>
            </w:pPr>
            <w:r>
              <w:rPr>
                <w:rFonts w:hint="eastAsia" w:ascii="宋体" w:hAnsi="宋体" w:cs="宋体"/>
                <w:kern w:val="0"/>
                <w:sz w:val="20"/>
                <w:szCs w:val="20"/>
              </w:rPr>
              <w:t>未在规定时间内，在区级政府门户网站上进行公开不得分。</w:t>
            </w:r>
          </w:p>
        </w:tc>
      </w:tr>
      <w:tr w14:paraId="1E4BDD94">
        <w:tblPrEx>
          <w:tblCellMar>
            <w:top w:w="0" w:type="dxa"/>
            <w:left w:w="108" w:type="dxa"/>
            <w:bottom w:w="0" w:type="dxa"/>
            <w:right w:w="108" w:type="dxa"/>
          </w:tblCellMar>
        </w:tblPrEx>
        <w:trPr>
          <w:trHeight w:val="1018" w:hRule="atLeast"/>
        </w:trPr>
        <w:tc>
          <w:tcPr>
            <w:tcW w:w="581" w:type="dxa"/>
            <w:vMerge w:val="continue"/>
            <w:tcBorders>
              <w:top w:val="nil"/>
              <w:left w:val="single" w:color="auto" w:sz="4" w:space="0"/>
              <w:bottom w:val="single" w:color="auto" w:sz="4" w:space="0"/>
              <w:right w:val="single" w:color="auto" w:sz="4" w:space="0"/>
            </w:tcBorders>
            <w:vAlign w:val="center"/>
          </w:tcPr>
          <w:p w14:paraId="3EEDF8C7">
            <w:pPr>
              <w:widowControl/>
              <w:jc w:val="left"/>
              <w:rPr>
                <w:rFonts w:ascii="宋体" w:hAnsi="宋体" w:cs="宋体"/>
                <w:kern w:val="0"/>
                <w:sz w:val="20"/>
                <w:szCs w:val="20"/>
              </w:rPr>
            </w:pPr>
          </w:p>
        </w:tc>
        <w:tc>
          <w:tcPr>
            <w:tcW w:w="667" w:type="dxa"/>
            <w:vMerge w:val="continue"/>
            <w:tcBorders>
              <w:top w:val="nil"/>
              <w:left w:val="single" w:color="auto" w:sz="4" w:space="0"/>
              <w:bottom w:val="single" w:color="000000" w:sz="4" w:space="0"/>
              <w:right w:val="single" w:color="auto" w:sz="4" w:space="0"/>
            </w:tcBorders>
            <w:vAlign w:val="center"/>
          </w:tcPr>
          <w:p w14:paraId="1B6FD1A0">
            <w:pPr>
              <w:widowControl/>
              <w:jc w:val="left"/>
              <w:rPr>
                <w:rFonts w:ascii="宋体" w:hAnsi="宋体" w:cs="宋体"/>
                <w:kern w:val="0"/>
                <w:sz w:val="20"/>
                <w:szCs w:val="20"/>
              </w:rPr>
            </w:pPr>
          </w:p>
        </w:tc>
        <w:tc>
          <w:tcPr>
            <w:tcW w:w="790" w:type="dxa"/>
            <w:tcBorders>
              <w:top w:val="nil"/>
              <w:left w:val="nil"/>
              <w:bottom w:val="single" w:color="auto" w:sz="4" w:space="0"/>
              <w:right w:val="single" w:color="auto" w:sz="4" w:space="0"/>
            </w:tcBorders>
            <w:shd w:val="clear" w:color="auto" w:fill="auto"/>
            <w:vAlign w:val="center"/>
          </w:tcPr>
          <w:p w14:paraId="2F755F11">
            <w:pPr>
              <w:widowControl/>
              <w:jc w:val="left"/>
              <w:rPr>
                <w:rFonts w:ascii="宋体" w:hAnsi="宋体" w:cs="宋体"/>
                <w:color w:val="000000"/>
                <w:kern w:val="0"/>
                <w:sz w:val="20"/>
                <w:szCs w:val="20"/>
              </w:rPr>
            </w:pPr>
            <w:r>
              <w:rPr>
                <w:rFonts w:hint="eastAsia" w:ascii="宋体" w:hAnsi="宋体" w:cs="宋体"/>
                <w:color w:val="000000"/>
                <w:kern w:val="0"/>
                <w:sz w:val="20"/>
                <w:szCs w:val="20"/>
              </w:rPr>
              <w:t>公开质量（3分）</w:t>
            </w:r>
          </w:p>
        </w:tc>
        <w:tc>
          <w:tcPr>
            <w:tcW w:w="492" w:type="dxa"/>
            <w:tcBorders>
              <w:top w:val="nil"/>
              <w:left w:val="nil"/>
              <w:bottom w:val="single" w:color="auto" w:sz="4" w:space="0"/>
              <w:right w:val="single" w:color="auto" w:sz="4" w:space="0"/>
            </w:tcBorders>
            <w:shd w:val="clear" w:color="auto" w:fill="auto"/>
            <w:vAlign w:val="center"/>
          </w:tcPr>
          <w:p w14:paraId="6F8FFE69">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985" w:type="dxa"/>
            <w:tcBorders>
              <w:top w:val="nil"/>
              <w:left w:val="nil"/>
              <w:bottom w:val="single" w:color="auto" w:sz="4" w:space="0"/>
              <w:right w:val="single" w:color="auto" w:sz="4" w:space="0"/>
            </w:tcBorders>
            <w:shd w:val="clear" w:color="auto" w:fill="auto"/>
            <w:vAlign w:val="center"/>
          </w:tcPr>
          <w:p w14:paraId="252E2E0A">
            <w:pPr>
              <w:widowControl/>
              <w:jc w:val="left"/>
              <w:rPr>
                <w:rFonts w:ascii="宋体" w:hAnsi="宋体" w:cs="宋体"/>
                <w:kern w:val="0"/>
                <w:sz w:val="20"/>
                <w:szCs w:val="20"/>
              </w:rPr>
            </w:pPr>
            <w:r>
              <w:rPr>
                <w:rFonts w:hint="eastAsia" w:ascii="宋体" w:hAnsi="宋体" w:cs="宋体"/>
                <w:kern w:val="0"/>
                <w:sz w:val="20"/>
                <w:szCs w:val="20"/>
              </w:rPr>
              <w:t>依照《攀枝花市仁和区推进预算公开实施方案》（攀仁委办〔2017〕172号）中“三、公开内容”要求来具体考核。</w:t>
            </w:r>
          </w:p>
        </w:tc>
        <w:tc>
          <w:tcPr>
            <w:tcW w:w="1845" w:type="dxa"/>
            <w:tcBorders>
              <w:top w:val="nil"/>
              <w:left w:val="nil"/>
              <w:bottom w:val="single" w:color="auto" w:sz="4" w:space="0"/>
              <w:right w:val="single" w:color="auto" w:sz="4" w:space="0"/>
            </w:tcBorders>
            <w:shd w:val="clear" w:color="auto" w:fill="auto"/>
            <w:vAlign w:val="center"/>
          </w:tcPr>
          <w:p w14:paraId="1A84291A">
            <w:pPr>
              <w:widowControl/>
              <w:jc w:val="left"/>
              <w:rPr>
                <w:rFonts w:ascii="宋体" w:hAnsi="宋体" w:cs="宋体"/>
                <w:kern w:val="0"/>
                <w:sz w:val="20"/>
                <w:szCs w:val="20"/>
              </w:rPr>
            </w:pPr>
            <w:r>
              <w:rPr>
                <w:rFonts w:hint="eastAsia" w:ascii="宋体" w:hAnsi="宋体" w:cs="宋体"/>
                <w:kern w:val="0"/>
                <w:sz w:val="20"/>
                <w:szCs w:val="20"/>
              </w:rPr>
              <w:t>公开内容一项未达要求扣一分，扣分不超过3分。</w:t>
            </w:r>
          </w:p>
        </w:tc>
      </w:tr>
      <w:tr w14:paraId="32F65BCD">
        <w:tblPrEx>
          <w:tblCellMar>
            <w:top w:w="0" w:type="dxa"/>
            <w:left w:w="108" w:type="dxa"/>
            <w:bottom w:w="0" w:type="dxa"/>
            <w:right w:w="108" w:type="dxa"/>
          </w:tblCellMar>
        </w:tblPrEx>
        <w:trPr>
          <w:trHeight w:val="679" w:hRule="atLeast"/>
        </w:trPr>
        <w:tc>
          <w:tcPr>
            <w:tcW w:w="581" w:type="dxa"/>
            <w:vMerge w:val="continue"/>
            <w:tcBorders>
              <w:top w:val="nil"/>
              <w:left w:val="single" w:color="auto" w:sz="4" w:space="0"/>
              <w:bottom w:val="single" w:color="auto" w:sz="4" w:space="0"/>
              <w:right w:val="single" w:color="auto" w:sz="4" w:space="0"/>
            </w:tcBorders>
            <w:vAlign w:val="center"/>
          </w:tcPr>
          <w:p w14:paraId="347DAEBD">
            <w:pPr>
              <w:widowControl/>
              <w:jc w:val="left"/>
              <w:rPr>
                <w:rFonts w:ascii="宋体" w:hAnsi="宋体" w:cs="宋体"/>
                <w:kern w:val="0"/>
                <w:sz w:val="20"/>
                <w:szCs w:val="20"/>
              </w:rPr>
            </w:pPr>
          </w:p>
        </w:tc>
        <w:tc>
          <w:tcPr>
            <w:tcW w:w="667" w:type="dxa"/>
            <w:tcBorders>
              <w:top w:val="nil"/>
              <w:left w:val="nil"/>
              <w:bottom w:val="single" w:color="auto" w:sz="4" w:space="0"/>
              <w:right w:val="single" w:color="auto" w:sz="4" w:space="0"/>
            </w:tcBorders>
            <w:shd w:val="clear" w:color="auto" w:fill="auto"/>
            <w:vAlign w:val="center"/>
          </w:tcPr>
          <w:p w14:paraId="4092B3D6">
            <w:pPr>
              <w:widowControl/>
              <w:jc w:val="center"/>
              <w:rPr>
                <w:rFonts w:ascii="宋体" w:hAnsi="宋体" w:cs="宋体"/>
                <w:kern w:val="0"/>
                <w:sz w:val="20"/>
                <w:szCs w:val="20"/>
              </w:rPr>
            </w:pPr>
            <w:r>
              <w:rPr>
                <w:rFonts w:hint="eastAsia" w:ascii="宋体" w:hAnsi="宋体" w:cs="宋体"/>
                <w:kern w:val="0"/>
                <w:sz w:val="20"/>
                <w:szCs w:val="20"/>
              </w:rPr>
              <w:t>制度建设（5分）</w:t>
            </w:r>
          </w:p>
        </w:tc>
        <w:tc>
          <w:tcPr>
            <w:tcW w:w="790" w:type="dxa"/>
            <w:tcBorders>
              <w:top w:val="nil"/>
              <w:left w:val="nil"/>
              <w:bottom w:val="single" w:color="auto" w:sz="4" w:space="0"/>
              <w:right w:val="single" w:color="auto" w:sz="4" w:space="0"/>
            </w:tcBorders>
            <w:shd w:val="clear" w:color="auto" w:fill="auto"/>
            <w:vAlign w:val="center"/>
          </w:tcPr>
          <w:p w14:paraId="269CE666">
            <w:pPr>
              <w:widowControl/>
              <w:jc w:val="left"/>
              <w:rPr>
                <w:rFonts w:ascii="宋体" w:hAnsi="宋体" w:cs="宋体"/>
                <w:kern w:val="0"/>
                <w:sz w:val="20"/>
                <w:szCs w:val="20"/>
              </w:rPr>
            </w:pPr>
            <w:r>
              <w:rPr>
                <w:rFonts w:hint="eastAsia" w:ascii="宋体" w:hAnsi="宋体" w:cs="宋体"/>
                <w:kern w:val="0"/>
                <w:sz w:val="20"/>
                <w:szCs w:val="20"/>
              </w:rPr>
              <w:t>内控制度建设（5分）</w:t>
            </w:r>
          </w:p>
        </w:tc>
        <w:tc>
          <w:tcPr>
            <w:tcW w:w="492" w:type="dxa"/>
            <w:tcBorders>
              <w:top w:val="nil"/>
              <w:left w:val="nil"/>
              <w:bottom w:val="single" w:color="auto" w:sz="4" w:space="0"/>
              <w:right w:val="single" w:color="auto" w:sz="4" w:space="0"/>
            </w:tcBorders>
            <w:shd w:val="clear" w:color="auto" w:fill="auto"/>
            <w:vAlign w:val="center"/>
          </w:tcPr>
          <w:p w14:paraId="72FE0F07">
            <w:pPr>
              <w:widowControl/>
              <w:jc w:val="center"/>
              <w:rPr>
                <w:rFonts w:ascii="宋体" w:hAnsi="宋体" w:cs="宋体"/>
                <w:kern w:val="0"/>
                <w:sz w:val="20"/>
                <w:szCs w:val="20"/>
              </w:rPr>
            </w:pPr>
            <w:r>
              <w:rPr>
                <w:rFonts w:hint="eastAsia" w:ascii="宋体" w:hAnsi="宋体" w:cs="宋体"/>
                <w:kern w:val="0"/>
                <w:sz w:val="20"/>
                <w:szCs w:val="20"/>
              </w:rPr>
              <w:t>4</w:t>
            </w:r>
          </w:p>
        </w:tc>
        <w:tc>
          <w:tcPr>
            <w:tcW w:w="3985" w:type="dxa"/>
            <w:tcBorders>
              <w:top w:val="nil"/>
              <w:left w:val="nil"/>
              <w:bottom w:val="single" w:color="auto" w:sz="4" w:space="0"/>
              <w:right w:val="single" w:color="auto" w:sz="4" w:space="0"/>
            </w:tcBorders>
            <w:shd w:val="clear" w:color="auto" w:fill="auto"/>
            <w:vAlign w:val="center"/>
          </w:tcPr>
          <w:p w14:paraId="004C6967">
            <w:pPr>
              <w:widowControl/>
              <w:jc w:val="left"/>
              <w:rPr>
                <w:rFonts w:ascii="宋体" w:hAnsi="宋体" w:cs="宋体"/>
                <w:kern w:val="0"/>
                <w:sz w:val="20"/>
                <w:szCs w:val="20"/>
              </w:rPr>
            </w:pPr>
            <w:r>
              <w:rPr>
                <w:rFonts w:hint="eastAsia" w:ascii="宋体" w:hAnsi="宋体" w:cs="宋体"/>
                <w:kern w:val="0"/>
                <w:sz w:val="20"/>
                <w:szCs w:val="20"/>
              </w:rPr>
              <w:t>按照行政事业单位内控制度要求建立健全内控制度，内控制度是否完善。</w:t>
            </w:r>
          </w:p>
        </w:tc>
        <w:tc>
          <w:tcPr>
            <w:tcW w:w="1845" w:type="dxa"/>
            <w:tcBorders>
              <w:top w:val="nil"/>
              <w:left w:val="nil"/>
              <w:bottom w:val="single" w:color="auto" w:sz="4" w:space="0"/>
              <w:right w:val="single" w:color="auto" w:sz="4" w:space="0"/>
            </w:tcBorders>
            <w:shd w:val="clear" w:color="auto" w:fill="auto"/>
            <w:vAlign w:val="center"/>
          </w:tcPr>
          <w:p w14:paraId="6DE40319">
            <w:pPr>
              <w:widowControl/>
              <w:jc w:val="left"/>
              <w:rPr>
                <w:rFonts w:ascii="宋体" w:hAnsi="宋体" w:cs="宋体"/>
                <w:kern w:val="0"/>
                <w:sz w:val="20"/>
                <w:szCs w:val="20"/>
              </w:rPr>
            </w:pPr>
            <w:r>
              <w:rPr>
                <w:rFonts w:hint="eastAsia" w:ascii="宋体" w:hAnsi="宋体" w:cs="宋体"/>
                <w:kern w:val="0"/>
                <w:sz w:val="20"/>
                <w:szCs w:val="20"/>
              </w:rPr>
              <w:t>按照单位上报的2017年行政事业单位内控报告得分换算，请财税法规股提供打分依据。</w:t>
            </w:r>
          </w:p>
        </w:tc>
      </w:tr>
      <w:tr w14:paraId="5CEFC191">
        <w:tblPrEx>
          <w:tblCellMar>
            <w:top w:w="0" w:type="dxa"/>
            <w:left w:w="108" w:type="dxa"/>
            <w:bottom w:w="0" w:type="dxa"/>
            <w:right w:w="108" w:type="dxa"/>
          </w:tblCellMar>
        </w:tblPrEx>
        <w:trPr>
          <w:trHeight w:val="3161" w:hRule="atLeast"/>
        </w:trPr>
        <w:tc>
          <w:tcPr>
            <w:tcW w:w="581" w:type="dxa"/>
            <w:vMerge w:val="continue"/>
            <w:tcBorders>
              <w:top w:val="nil"/>
              <w:left w:val="single" w:color="auto" w:sz="4" w:space="0"/>
              <w:bottom w:val="single" w:color="auto" w:sz="4" w:space="0"/>
              <w:right w:val="single" w:color="auto" w:sz="4" w:space="0"/>
            </w:tcBorders>
            <w:vAlign w:val="center"/>
          </w:tcPr>
          <w:p w14:paraId="4F62237F">
            <w:pPr>
              <w:widowControl/>
              <w:jc w:val="left"/>
              <w:rPr>
                <w:rFonts w:ascii="宋体" w:hAnsi="宋体" w:cs="宋体"/>
                <w:kern w:val="0"/>
                <w:sz w:val="20"/>
                <w:szCs w:val="20"/>
              </w:rPr>
            </w:pP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14:paraId="5913D0AF">
            <w:pPr>
              <w:widowControl/>
              <w:jc w:val="center"/>
              <w:rPr>
                <w:rFonts w:ascii="宋体" w:hAnsi="宋体" w:cs="宋体"/>
                <w:kern w:val="0"/>
                <w:sz w:val="20"/>
                <w:szCs w:val="20"/>
              </w:rPr>
            </w:pPr>
            <w:r>
              <w:rPr>
                <w:rFonts w:hint="eastAsia" w:ascii="宋体" w:hAnsi="宋体" w:cs="宋体"/>
                <w:kern w:val="0"/>
                <w:sz w:val="20"/>
                <w:szCs w:val="20"/>
              </w:rPr>
              <w:t>财务管理（40分）</w:t>
            </w:r>
          </w:p>
        </w:tc>
        <w:tc>
          <w:tcPr>
            <w:tcW w:w="790" w:type="dxa"/>
            <w:tcBorders>
              <w:top w:val="nil"/>
              <w:left w:val="nil"/>
              <w:bottom w:val="single" w:color="auto" w:sz="4" w:space="0"/>
              <w:right w:val="single" w:color="auto" w:sz="4" w:space="0"/>
            </w:tcBorders>
            <w:shd w:val="clear" w:color="auto" w:fill="auto"/>
            <w:vAlign w:val="center"/>
          </w:tcPr>
          <w:p w14:paraId="530C7BBF">
            <w:pPr>
              <w:widowControl/>
              <w:jc w:val="left"/>
              <w:rPr>
                <w:rFonts w:ascii="宋体" w:hAnsi="宋体" w:cs="宋体"/>
                <w:kern w:val="0"/>
                <w:sz w:val="20"/>
                <w:szCs w:val="20"/>
              </w:rPr>
            </w:pPr>
            <w:r>
              <w:rPr>
                <w:rFonts w:hint="eastAsia" w:ascii="宋体" w:hAnsi="宋体" w:cs="宋体"/>
                <w:kern w:val="0"/>
                <w:sz w:val="20"/>
                <w:szCs w:val="20"/>
              </w:rPr>
              <w:t>会计核算及管理（10分）</w:t>
            </w:r>
          </w:p>
        </w:tc>
        <w:tc>
          <w:tcPr>
            <w:tcW w:w="492" w:type="dxa"/>
            <w:tcBorders>
              <w:top w:val="nil"/>
              <w:left w:val="nil"/>
              <w:bottom w:val="single" w:color="auto" w:sz="4" w:space="0"/>
              <w:right w:val="single" w:color="auto" w:sz="4" w:space="0"/>
            </w:tcBorders>
            <w:shd w:val="clear" w:color="auto" w:fill="auto"/>
            <w:vAlign w:val="center"/>
          </w:tcPr>
          <w:p w14:paraId="34836939">
            <w:pPr>
              <w:widowControl/>
              <w:jc w:val="center"/>
              <w:rPr>
                <w:rFonts w:ascii="宋体" w:hAnsi="宋体" w:cs="宋体"/>
                <w:kern w:val="0"/>
                <w:sz w:val="20"/>
                <w:szCs w:val="20"/>
              </w:rPr>
            </w:pPr>
            <w:r>
              <w:rPr>
                <w:rFonts w:hint="eastAsia" w:ascii="宋体" w:hAnsi="宋体" w:cs="宋体"/>
                <w:kern w:val="0"/>
                <w:sz w:val="20"/>
                <w:szCs w:val="20"/>
              </w:rPr>
              <w:t>8</w:t>
            </w:r>
          </w:p>
        </w:tc>
        <w:tc>
          <w:tcPr>
            <w:tcW w:w="3985" w:type="dxa"/>
            <w:tcBorders>
              <w:top w:val="nil"/>
              <w:left w:val="nil"/>
              <w:bottom w:val="single" w:color="auto" w:sz="4" w:space="0"/>
              <w:right w:val="single" w:color="auto" w:sz="4" w:space="0"/>
            </w:tcBorders>
            <w:shd w:val="clear" w:color="auto" w:fill="auto"/>
            <w:vAlign w:val="center"/>
          </w:tcPr>
          <w:p w14:paraId="06F2AB9A">
            <w:pPr>
              <w:widowControl/>
              <w:jc w:val="left"/>
              <w:rPr>
                <w:rFonts w:ascii="宋体" w:hAnsi="宋体" w:cs="宋体"/>
                <w:kern w:val="0"/>
                <w:sz w:val="20"/>
                <w:szCs w:val="20"/>
              </w:rPr>
            </w:pPr>
            <w:r>
              <w:rPr>
                <w:rFonts w:hint="eastAsia" w:ascii="宋体" w:hAnsi="宋体" w:cs="宋体"/>
                <w:kern w:val="0"/>
                <w:sz w:val="20"/>
                <w:szCs w:val="20"/>
              </w:rPr>
              <w:t>会计账务处理是否及时；会计核算是否规范；资金是否专款专用，资金支付依据和开支标准是否合法合规。</w:t>
            </w:r>
          </w:p>
        </w:tc>
        <w:tc>
          <w:tcPr>
            <w:tcW w:w="1845" w:type="dxa"/>
            <w:tcBorders>
              <w:top w:val="nil"/>
              <w:left w:val="nil"/>
              <w:bottom w:val="single" w:color="auto" w:sz="4" w:space="0"/>
              <w:right w:val="single" w:color="auto" w:sz="4" w:space="0"/>
            </w:tcBorders>
            <w:shd w:val="clear" w:color="auto" w:fill="auto"/>
            <w:vAlign w:val="center"/>
          </w:tcPr>
          <w:p w14:paraId="2A466F98">
            <w:pPr>
              <w:widowControl/>
              <w:jc w:val="left"/>
              <w:rPr>
                <w:rFonts w:ascii="宋体" w:hAnsi="宋体" w:cs="宋体"/>
                <w:kern w:val="0"/>
                <w:sz w:val="20"/>
                <w:szCs w:val="20"/>
              </w:rPr>
            </w:pPr>
            <w:r>
              <w:rPr>
                <w:rFonts w:hint="eastAsia" w:ascii="宋体" w:hAnsi="宋体" w:cs="宋体"/>
                <w:kern w:val="0"/>
                <w:sz w:val="20"/>
                <w:szCs w:val="20"/>
              </w:rPr>
              <w:t>账务处理不及时扣2分；会计核算不规范一次扣1分；未专款专用发现一次扣1分；资金支付依据和开支标准不合规，一次扣0.5分。记账凭证和会计账簿未及时装订扣2分；装订不规范扣2分；归档保管不规范，扣1分。扣分不超过10分。</w:t>
            </w:r>
          </w:p>
        </w:tc>
      </w:tr>
      <w:tr w14:paraId="6656EF8E">
        <w:tblPrEx>
          <w:tblCellMar>
            <w:top w:w="0" w:type="dxa"/>
            <w:left w:w="108" w:type="dxa"/>
            <w:bottom w:w="0" w:type="dxa"/>
            <w:right w:w="108" w:type="dxa"/>
          </w:tblCellMar>
        </w:tblPrEx>
        <w:trPr>
          <w:trHeight w:val="572" w:hRule="atLeast"/>
        </w:trPr>
        <w:tc>
          <w:tcPr>
            <w:tcW w:w="581" w:type="dxa"/>
            <w:vMerge w:val="continue"/>
            <w:tcBorders>
              <w:top w:val="nil"/>
              <w:left w:val="single" w:color="auto" w:sz="4" w:space="0"/>
              <w:bottom w:val="single" w:color="auto" w:sz="4" w:space="0"/>
              <w:right w:val="single" w:color="auto" w:sz="4" w:space="0"/>
            </w:tcBorders>
            <w:vAlign w:val="center"/>
          </w:tcPr>
          <w:p w14:paraId="78E5A46C">
            <w:pPr>
              <w:widowControl/>
              <w:jc w:val="left"/>
              <w:rPr>
                <w:rFonts w:ascii="宋体" w:hAnsi="宋体" w:cs="宋体"/>
                <w:kern w:val="0"/>
                <w:sz w:val="20"/>
                <w:szCs w:val="20"/>
              </w:rPr>
            </w:pPr>
          </w:p>
        </w:tc>
        <w:tc>
          <w:tcPr>
            <w:tcW w:w="667" w:type="dxa"/>
            <w:vMerge w:val="continue"/>
            <w:tcBorders>
              <w:top w:val="nil"/>
              <w:left w:val="single" w:color="auto" w:sz="4" w:space="0"/>
              <w:bottom w:val="single" w:color="000000" w:sz="4" w:space="0"/>
              <w:right w:val="single" w:color="auto" w:sz="4" w:space="0"/>
            </w:tcBorders>
            <w:vAlign w:val="center"/>
          </w:tcPr>
          <w:p w14:paraId="2E24724E">
            <w:pPr>
              <w:widowControl/>
              <w:jc w:val="left"/>
              <w:rPr>
                <w:rFonts w:ascii="宋体" w:hAnsi="宋体" w:cs="宋体"/>
                <w:kern w:val="0"/>
                <w:sz w:val="20"/>
                <w:szCs w:val="20"/>
              </w:rPr>
            </w:pPr>
          </w:p>
        </w:tc>
        <w:tc>
          <w:tcPr>
            <w:tcW w:w="790" w:type="dxa"/>
            <w:tcBorders>
              <w:top w:val="nil"/>
              <w:left w:val="nil"/>
              <w:bottom w:val="single" w:color="auto" w:sz="4" w:space="0"/>
              <w:right w:val="single" w:color="auto" w:sz="4" w:space="0"/>
            </w:tcBorders>
            <w:shd w:val="clear" w:color="auto" w:fill="auto"/>
            <w:vAlign w:val="center"/>
          </w:tcPr>
          <w:p w14:paraId="69951F46">
            <w:pPr>
              <w:widowControl/>
              <w:jc w:val="left"/>
              <w:rPr>
                <w:rFonts w:ascii="宋体" w:hAnsi="宋体" w:cs="宋体"/>
                <w:kern w:val="0"/>
                <w:sz w:val="20"/>
                <w:szCs w:val="20"/>
              </w:rPr>
            </w:pPr>
            <w:r>
              <w:rPr>
                <w:rFonts w:hint="eastAsia" w:ascii="宋体" w:hAnsi="宋体" w:cs="宋体"/>
                <w:kern w:val="0"/>
                <w:sz w:val="20"/>
                <w:szCs w:val="20"/>
              </w:rPr>
              <w:t>政府采购（5分）</w:t>
            </w:r>
          </w:p>
        </w:tc>
        <w:tc>
          <w:tcPr>
            <w:tcW w:w="492" w:type="dxa"/>
            <w:tcBorders>
              <w:top w:val="nil"/>
              <w:left w:val="nil"/>
              <w:bottom w:val="single" w:color="auto" w:sz="4" w:space="0"/>
              <w:right w:val="single" w:color="auto" w:sz="4" w:space="0"/>
            </w:tcBorders>
            <w:shd w:val="clear" w:color="auto" w:fill="auto"/>
            <w:vAlign w:val="center"/>
          </w:tcPr>
          <w:p w14:paraId="7CAA680D">
            <w:pPr>
              <w:widowControl/>
              <w:jc w:val="center"/>
              <w:rPr>
                <w:rFonts w:ascii="宋体" w:hAnsi="宋体" w:cs="宋体"/>
                <w:kern w:val="0"/>
                <w:sz w:val="20"/>
                <w:szCs w:val="20"/>
              </w:rPr>
            </w:pPr>
            <w:r>
              <w:rPr>
                <w:rFonts w:hint="eastAsia" w:ascii="宋体" w:hAnsi="宋体" w:cs="宋体"/>
                <w:kern w:val="0"/>
                <w:sz w:val="20"/>
                <w:szCs w:val="20"/>
              </w:rPr>
              <w:t>5</w:t>
            </w:r>
          </w:p>
        </w:tc>
        <w:tc>
          <w:tcPr>
            <w:tcW w:w="3985" w:type="dxa"/>
            <w:tcBorders>
              <w:top w:val="nil"/>
              <w:left w:val="nil"/>
              <w:bottom w:val="single" w:color="auto" w:sz="4" w:space="0"/>
              <w:right w:val="single" w:color="auto" w:sz="4" w:space="0"/>
            </w:tcBorders>
            <w:shd w:val="clear" w:color="auto" w:fill="auto"/>
            <w:vAlign w:val="center"/>
          </w:tcPr>
          <w:p w14:paraId="49A426C9">
            <w:pPr>
              <w:widowControl/>
              <w:jc w:val="left"/>
              <w:rPr>
                <w:rFonts w:ascii="宋体" w:hAnsi="宋体" w:cs="宋体"/>
                <w:kern w:val="0"/>
                <w:sz w:val="20"/>
                <w:szCs w:val="20"/>
              </w:rPr>
            </w:pPr>
            <w:r>
              <w:rPr>
                <w:rFonts w:hint="eastAsia" w:ascii="宋体" w:hAnsi="宋体" w:cs="宋体"/>
                <w:kern w:val="0"/>
                <w:sz w:val="20"/>
                <w:szCs w:val="20"/>
              </w:rPr>
              <w:t>是否按规定实施政府采购并符合法定程序。</w:t>
            </w:r>
          </w:p>
        </w:tc>
        <w:tc>
          <w:tcPr>
            <w:tcW w:w="1845" w:type="dxa"/>
            <w:tcBorders>
              <w:top w:val="nil"/>
              <w:left w:val="nil"/>
              <w:bottom w:val="single" w:color="auto" w:sz="4" w:space="0"/>
              <w:right w:val="single" w:color="auto" w:sz="4" w:space="0"/>
            </w:tcBorders>
            <w:shd w:val="clear" w:color="auto" w:fill="auto"/>
            <w:vAlign w:val="center"/>
          </w:tcPr>
          <w:p w14:paraId="10E49F1A">
            <w:pPr>
              <w:widowControl/>
              <w:jc w:val="left"/>
              <w:rPr>
                <w:rFonts w:ascii="宋体" w:hAnsi="宋体" w:cs="宋体"/>
                <w:kern w:val="0"/>
                <w:sz w:val="20"/>
                <w:szCs w:val="20"/>
              </w:rPr>
            </w:pPr>
            <w:r>
              <w:rPr>
                <w:rFonts w:hint="eastAsia" w:ascii="宋体" w:hAnsi="宋体" w:cs="宋体"/>
                <w:kern w:val="0"/>
                <w:sz w:val="20"/>
                <w:szCs w:val="20"/>
              </w:rPr>
              <w:t>违反一次扣1分。扣分不超过5分。</w:t>
            </w:r>
          </w:p>
        </w:tc>
      </w:tr>
      <w:tr w14:paraId="1DF66FF6">
        <w:tblPrEx>
          <w:tblCellMar>
            <w:top w:w="0" w:type="dxa"/>
            <w:left w:w="108" w:type="dxa"/>
            <w:bottom w:w="0" w:type="dxa"/>
            <w:right w:w="108" w:type="dxa"/>
          </w:tblCellMar>
        </w:tblPrEx>
        <w:trPr>
          <w:trHeight w:val="1447" w:hRule="atLeast"/>
        </w:trPr>
        <w:tc>
          <w:tcPr>
            <w:tcW w:w="581" w:type="dxa"/>
            <w:vMerge w:val="continue"/>
            <w:tcBorders>
              <w:top w:val="nil"/>
              <w:left w:val="single" w:color="auto" w:sz="4" w:space="0"/>
              <w:bottom w:val="single" w:color="auto" w:sz="4" w:space="0"/>
              <w:right w:val="single" w:color="auto" w:sz="4" w:space="0"/>
            </w:tcBorders>
            <w:vAlign w:val="center"/>
          </w:tcPr>
          <w:p w14:paraId="7081BFD9">
            <w:pPr>
              <w:widowControl/>
              <w:jc w:val="left"/>
              <w:rPr>
                <w:rFonts w:ascii="宋体" w:hAnsi="宋体" w:cs="宋体"/>
                <w:kern w:val="0"/>
                <w:sz w:val="20"/>
                <w:szCs w:val="20"/>
              </w:rPr>
            </w:pPr>
          </w:p>
        </w:tc>
        <w:tc>
          <w:tcPr>
            <w:tcW w:w="667" w:type="dxa"/>
            <w:vMerge w:val="continue"/>
            <w:tcBorders>
              <w:top w:val="nil"/>
              <w:left w:val="single" w:color="auto" w:sz="4" w:space="0"/>
              <w:bottom w:val="single" w:color="000000" w:sz="4" w:space="0"/>
              <w:right w:val="single" w:color="auto" w:sz="4" w:space="0"/>
            </w:tcBorders>
            <w:vAlign w:val="center"/>
          </w:tcPr>
          <w:p w14:paraId="535FB101">
            <w:pPr>
              <w:widowControl/>
              <w:jc w:val="left"/>
              <w:rPr>
                <w:rFonts w:ascii="宋体" w:hAnsi="宋体" w:cs="宋体"/>
                <w:kern w:val="0"/>
                <w:sz w:val="20"/>
                <w:szCs w:val="20"/>
              </w:rPr>
            </w:pPr>
          </w:p>
        </w:tc>
        <w:tc>
          <w:tcPr>
            <w:tcW w:w="790" w:type="dxa"/>
            <w:tcBorders>
              <w:top w:val="nil"/>
              <w:left w:val="nil"/>
              <w:bottom w:val="single" w:color="auto" w:sz="4" w:space="0"/>
              <w:right w:val="single" w:color="auto" w:sz="4" w:space="0"/>
            </w:tcBorders>
            <w:shd w:val="clear" w:color="auto" w:fill="auto"/>
            <w:vAlign w:val="center"/>
          </w:tcPr>
          <w:p w14:paraId="452A66A3">
            <w:pPr>
              <w:widowControl/>
              <w:jc w:val="left"/>
              <w:rPr>
                <w:rFonts w:ascii="宋体" w:hAnsi="宋体" w:cs="宋体"/>
                <w:kern w:val="0"/>
                <w:sz w:val="20"/>
                <w:szCs w:val="20"/>
              </w:rPr>
            </w:pPr>
            <w:r>
              <w:rPr>
                <w:rFonts w:hint="eastAsia" w:ascii="宋体" w:hAnsi="宋体" w:cs="宋体"/>
                <w:kern w:val="0"/>
                <w:sz w:val="20"/>
                <w:szCs w:val="20"/>
              </w:rPr>
              <w:t>资金支付（10分）</w:t>
            </w:r>
          </w:p>
        </w:tc>
        <w:tc>
          <w:tcPr>
            <w:tcW w:w="492" w:type="dxa"/>
            <w:tcBorders>
              <w:top w:val="nil"/>
              <w:left w:val="nil"/>
              <w:bottom w:val="single" w:color="auto" w:sz="4" w:space="0"/>
              <w:right w:val="single" w:color="auto" w:sz="4" w:space="0"/>
            </w:tcBorders>
            <w:shd w:val="clear" w:color="auto" w:fill="auto"/>
            <w:vAlign w:val="center"/>
          </w:tcPr>
          <w:p w14:paraId="05C825A5">
            <w:pPr>
              <w:widowControl/>
              <w:jc w:val="center"/>
              <w:rPr>
                <w:rFonts w:ascii="宋体" w:hAnsi="宋体" w:cs="宋体"/>
                <w:kern w:val="0"/>
                <w:sz w:val="20"/>
                <w:szCs w:val="20"/>
              </w:rPr>
            </w:pPr>
            <w:r>
              <w:rPr>
                <w:rFonts w:hint="eastAsia" w:ascii="宋体" w:hAnsi="宋体" w:cs="宋体"/>
                <w:kern w:val="0"/>
                <w:sz w:val="20"/>
                <w:szCs w:val="20"/>
              </w:rPr>
              <w:t>5</w:t>
            </w:r>
          </w:p>
        </w:tc>
        <w:tc>
          <w:tcPr>
            <w:tcW w:w="3985" w:type="dxa"/>
            <w:tcBorders>
              <w:top w:val="nil"/>
              <w:left w:val="nil"/>
              <w:bottom w:val="single" w:color="auto" w:sz="4" w:space="0"/>
              <w:right w:val="single" w:color="auto" w:sz="4" w:space="0"/>
            </w:tcBorders>
            <w:shd w:val="clear" w:color="auto" w:fill="auto"/>
            <w:vAlign w:val="center"/>
          </w:tcPr>
          <w:p w14:paraId="1F8FF26A">
            <w:pPr>
              <w:widowControl/>
              <w:jc w:val="left"/>
              <w:rPr>
                <w:rFonts w:ascii="宋体" w:hAnsi="宋体" w:cs="宋体"/>
                <w:kern w:val="0"/>
                <w:sz w:val="20"/>
                <w:szCs w:val="20"/>
              </w:rPr>
            </w:pPr>
            <w:r>
              <w:rPr>
                <w:rFonts w:hint="eastAsia" w:ascii="宋体" w:hAnsi="宋体" w:cs="宋体"/>
                <w:kern w:val="0"/>
                <w:sz w:val="20"/>
                <w:szCs w:val="20"/>
              </w:rPr>
              <w:t>现金支付是否符合相关规定；规定使用公务卡支付的款项是否按照规定使用公务卡支付。</w:t>
            </w:r>
          </w:p>
        </w:tc>
        <w:tc>
          <w:tcPr>
            <w:tcW w:w="1845" w:type="dxa"/>
            <w:tcBorders>
              <w:top w:val="nil"/>
              <w:left w:val="nil"/>
              <w:bottom w:val="single" w:color="auto" w:sz="4" w:space="0"/>
              <w:right w:val="single" w:color="auto" w:sz="4" w:space="0"/>
            </w:tcBorders>
            <w:shd w:val="clear" w:color="auto" w:fill="auto"/>
            <w:vAlign w:val="center"/>
          </w:tcPr>
          <w:p w14:paraId="61D1B1BC">
            <w:pPr>
              <w:widowControl/>
              <w:jc w:val="left"/>
              <w:rPr>
                <w:rFonts w:ascii="宋体" w:hAnsi="宋体" w:cs="宋体"/>
                <w:kern w:val="0"/>
                <w:sz w:val="20"/>
                <w:szCs w:val="20"/>
              </w:rPr>
            </w:pPr>
            <w:r>
              <w:rPr>
                <w:rFonts w:hint="eastAsia" w:ascii="宋体" w:hAnsi="宋体" w:cs="宋体"/>
                <w:kern w:val="0"/>
                <w:sz w:val="20"/>
                <w:szCs w:val="20"/>
              </w:rPr>
              <w:t>现金支付不符合规定一次扣0.5分；未按规定使用公务卡支付一次扣0.5分。扣分不超过10分</w:t>
            </w:r>
          </w:p>
        </w:tc>
      </w:tr>
      <w:tr w14:paraId="01CD4A4C">
        <w:tblPrEx>
          <w:tblCellMar>
            <w:top w:w="0" w:type="dxa"/>
            <w:left w:w="108" w:type="dxa"/>
            <w:bottom w:w="0" w:type="dxa"/>
            <w:right w:w="108" w:type="dxa"/>
          </w:tblCellMar>
        </w:tblPrEx>
        <w:trPr>
          <w:trHeight w:val="1767" w:hRule="atLeast"/>
        </w:trPr>
        <w:tc>
          <w:tcPr>
            <w:tcW w:w="581" w:type="dxa"/>
            <w:vMerge w:val="continue"/>
            <w:tcBorders>
              <w:top w:val="nil"/>
              <w:left w:val="single" w:color="auto" w:sz="4" w:space="0"/>
              <w:bottom w:val="single" w:color="auto" w:sz="4" w:space="0"/>
              <w:right w:val="single" w:color="auto" w:sz="4" w:space="0"/>
            </w:tcBorders>
            <w:vAlign w:val="center"/>
          </w:tcPr>
          <w:p w14:paraId="22B18582">
            <w:pPr>
              <w:widowControl/>
              <w:jc w:val="left"/>
              <w:rPr>
                <w:rFonts w:ascii="宋体" w:hAnsi="宋体" w:cs="宋体"/>
                <w:kern w:val="0"/>
                <w:sz w:val="20"/>
                <w:szCs w:val="20"/>
              </w:rPr>
            </w:pPr>
          </w:p>
        </w:tc>
        <w:tc>
          <w:tcPr>
            <w:tcW w:w="667" w:type="dxa"/>
            <w:vMerge w:val="continue"/>
            <w:tcBorders>
              <w:top w:val="nil"/>
              <w:left w:val="single" w:color="auto" w:sz="4" w:space="0"/>
              <w:bottom w:val="single" w:color="000000" w:sz="4" w:space="0"/>
              <w:right w:val="single" w:color="auto" w:sz="4" w:space="0"/>
            </w:tcBorders>
            <w:vAlign w:val="center"/>
          </w:tcPr>
          <w:p w14:paraId="39473D7C">
            <w:pPr>
              <w:widowControl/>
              <w:jc w:val="left"/>
              <w:rPr>
                <w:rFonts w:ascii="宋体" w:hAnsi="宋体" w:cs="宋体"/>
                <w:kern w:val="0"/>
                <w:sz w:val="20"/>
                <w:szCs w:val="20"/>
              </w:rPr>
            </w:pPr>
          </w:p>
        </w:tc>
        <w:tc>
          <w:tcPr>
            <w:tcW w:w="790" w:type="dxa"/>
            <w:tcBorders>
              <w:top w:val="nil"/>
              <w:left w:val="nil"/>
              <w:bottom w:val="single" w:color="auto" w:sz="4" w:space="0"/>
              <w:right w:val="single" w:color="auto" w:sz="4" w:space="0"/>
            </w:tcBorders>
            <w:shd w:val="clear" w:color="auto" w:fill="auto"/>
            <w:vAlign w:val="center"/>
          </w:tcPr>
          <w:p w14:paraId="2F0DC312">
            <w:pPr>
              <w:widowControl/>
              <w:jc w:val="left"/>
              <w:rPr>
                <w:rFonts w:ascii="宋体" w:hAnsi="宋体" w:cs="宋体"/>
                <w:kern w:val="0"/>
                <w:sz w:val="20"/>
                <w:szCs w:val="20"/>
              </w:rPr>
            </w:pPr>
            <w:r>
              <w:rPr>
                <w:rFonts w:hint="eastAsia" w:ascii="宋体" w:hAnsi="宋体" w:cs="宋体"/>
                <w:kern w:val="0"/>
                <w:sz w:val="20"/>
                <w:szCs w:val="20"/>
              </w:rPr>
              <w:t>资金使用合规性（10分）</w:t>
            </w:r>
          </w:p>
        </w:tc>
        <w:tc>
          <w:tcPr>
            <w:tcW w:w="492" w:type="dxa"/>
            <w:tcBorders>
              <w:top w:val="nil"/>
              <w:left w:val="nil"/>
              <w:bottom w:val="single" w:color="auto" w:sz="4" w:space="0"/>
              <w:right w:val="single" w:color="auto" w:sz="4" w:space="0"/>
            </w:tcBorders>
            <w:shd w:val="clear" w:color="auto" w:fill="auto"/>
            <w:vAlign w:val="center"/>
          </w:tcPr>
          <w:p w14:paraId="4AA7E5A7">
            <w:pPr>
              <w:widowControl/>
              <w:jc w:val="center"/>
              <w:rPr>
                <w:rFonts w:ascii="宋体" w:hAnsi="宋体" w:cs="宋体"/>
                <w:kern w:val="0"/>
                <w:sz w:val="20"/>
                <w:szCs w:val="20"/>
              </w:rPr>
            </w:pPr>
            <w:r>
              <w:rPr>
                <w:rFonts w:hint="eastAsia" w:ascii="宋体" w:hAnsi="宋体" w:cs="宋体"/>
                <w:kern w:val="0"/>
                <w:sz w:val="20"/>
                <w:szCs w:val="20"/>
              </w:rPr>
              <w:t>10</w:t>
            </w:r>
          </w:p>
        </w:tc>
        <w:tc>
          <w:tcPr>
            <w:tcW w:w="3985" w:type="dxa"/>
            <w:tcBorders>
              <w:top w:val="nil"/>
              <w:left w:val="nil"/>
              <w:bottom w:val="single" w:color="auto" w:sz="4" w:space="0"/>
              <w:right w:val="single" w:color="auto" w:sz="4" w:space="0"/>
            </w:tcBorders>
            <w:shd w:val="clear" w:color="auto" w:fill="auto"/>
            <w:vAlign w:val="center"/>
          </w:tcPr>
          <w:p w14:paraId="7A1A7489">
            <w:pPr>
              <w:widowControl/>
              <w:jc w:val="left"/>
              <w:rPr>
                <w:rFonts w:ascii="宋体" w:hAnsi="宋体" w:cs="宋体"/>
                <w:kern w:val="0"/>
                <w:sz w:val="20"/>
                <w:szCs w:val="20"/>
              </w:rPr>
            </w:pPr>
            <w:r>
              <w:rPr>
                <w:rFonts w:hint="eastAsia" w:ascii="宋体" w:hAnsi="宋体" w:cs="宋体"/>
                <w:kern w:val="0"/>
                <w:sz w:val="20"/>
                <w:szCs w:val="20"/>
              </w:rPr>
              <w:t>①支出符合国家财经法规和财务管理制度规定以及有关专项资金管理办法的规定； ②资金拨付有完整的审批程序和手续； ③支出符合部门预算批复的用途；  ④资金使用无截留、挤占、挪用、虚列支出等情况。 以上情况每出现一例不符合要求的扣1分，扣完为止。</w:t>
            </w:r>
          </w:p>
        </w:tc>
        <w:tc>
          <w:tcPr>
            <w:tcW w:w="1845" w:type="dxa"/>
            <w:tcBorders>
              <w:top w:val="nil"/>
              <w:left w:val="nil"/>
              <w:bottom w:val="single" w:color="auto" w:sz="4" w:space="0"/>
              <w:right w:val="single" w:color="auto" w:sz="4" w:space="0"/>
            </w:tcBorders>
            <w:shd w:val="clear" w:color="auto" w:fill="auto"/>
            <w:vAlign w:val="center"/>
          </w:tcPr>
          <w:p w14:paraId="41E271D0">
            <w:pPr>
              <w:widowControl/>
              <w:jc w:val="left"/>
              <w:rPr>
                <w:rFonts w:ascii="宋体" w:hAnsi="宋体" w:cs="宋体"/>
                <w:kern w:val="0"/>
                <w:sz w:val="20"/>
                <w:szCs w:val="20"/>
              </w:rPr>
            </w:pPr>
            <w:r>
              <w:rPr>
                <w:rFonts w:hint="eastAsia" w:ascii="宋体" w:hAnsi="宋体" w:cs="宋体"/>
                <w:kern w:val="0"/>
                <w:sz w:val="20"/>
                <w:szCs w:val="20"/>
              </w:rPr>
              <w:t>部门（单位）使用预算资金是否符合相关的预算财务管理制度的规定，用以反映和考核部门（单位）预算资金的规范运行情况。</w:t>
            </w:r>
          </w:p>
        </w:tc>
      </w:tr>
      <w:tr w14:paraId="4D47FB0E">
        <w:tblPrEx>
          <w:tblCellMar>
            <w:top w:w="0" w:type="dxa"/>
            <w:left w:w="108" w:type="dxa"/>
            <w:bottom w:w="0" w:type="dxa"/>
            <w:right w:w="108" w:type="dxa"/>
          </w:tblCellMar>
        </w:tblPrEx>
        <w:trPr>
          <w:trHeight w:val="2107" w:hRule="atLeast"/>
        </w:trPr>
        <w:tc>
          <w:tcPr>
            <w:tcW w:w="581" w:type="dxa"/>
            <w:vMerge w:val="continue"/>
            <w:tcBorders>
              <w:top w:val="nil"/>
              <w:left w:val="single" w:color="auto" w:sz="4" w:space="0"/>
              <w:bottom w:val="single" w:color="auto" w:sz="4" w:space="0"/>
              <w:right w:val="single" w:color="auto" w:sz="4" w:space="0"/>
            </w:tcBorders>
            <w:vAlign w:val="center"/>
          </w:tcPr>
          <w:p w14:paraId="15B64D4F">
            <w:pPr>
              <w:widowControl/>
              <w:jc w:val="left"/>
              <w:rPr>
                <w:rFonts w:ascii="宋体" w:hAnsi="宋体" w:cs="宋体"/>
                <w:kern w:val="0"/>
                <w:sz w:val="20"/>
                <w:szCs w:val="20"/>
              </w:rPr>
            </w:pPr>
          </w:p>
        </w:tc>
        <w:tc>
          <w:tcPr>
            <w:tcW w:w="667" w:type="dxa"/>
            <w:vMerge w:val="continue"/>
            <w:tcBorders>
              <w:top w:val="nil"/>
              <w:left w:val="single" w:color="auto" w:sz="4" w:space="0"/>
              <w:bottom w:val="single" w:color="000000" w:sz="4" w:space="0"/>
              <w:right w:val="single" w:color="auto" w:sz="4" w:space="0"/>
            </w:tcBorders>
            <w:vAlign w:val="center"/>
          </w:tcPr>
          <w:p w14:paraId="3D32800A">
            <w:pPr>
              <w:widowControl/>
              <w:jc w:val="left"/>
              <w:rPr>
                <w:rFonts w:ascii="宋体" w:hAnsi="宋体" w:cs="宋体"/>
                <w:kern w:val="0"/>
                <w:sz w:val="20"/>
                <w:szCs w:val="20"/>
              </w:rPr>
            </w:pPr>
          </w:p>
        </w:tc>
        <w:tc>
          <w:tcPr>
            <w:tcW w:w="790" w:type="dxa"/>
            <w:tcBorders>
              <w:top w:val="nil"/>
              <w:left w:val="nil"/>
              <w:bottom w:val="nil"/>
              <w:right w:val="single" w:color="auto" w:sz="4" w:space="0"/>
            </w:tcBorders>
            <w:shd w:val="clear" w:color="auto" w:fill="auto"/>
            <w:vAlign w:val="center"/>
          </w:tcPr>
          <w:p w14:paraId="1EDCBAE1">
            <w:pPr>
              <w:widowControl/>
              <w:jc w:val="left"/>
              <w:rPr>
                <w:rFonts w:ascii="宋体" w:hAnsi="宋体" w:cs="宋体"/>
                <w:kern w:val="0"/>
                <w:sz w:val="20"/>
                <w:szCs w:val="20"/>
              </w:rPr>
            </w:pPr>
            <w:r>
              <w:rPr>
                <w:rFonts w:hint="eastAsia" w:ascii="宋体" w:hAnsi="宋体" w:cs="宋体"/>
                <w:kern w:val="0"/>
                <w:sz w:val="20"/>
                <w:szCs w:val="20"/>
              </w:rPr>
              <w:t>资产管理安全性（5分）</w:t>
            </w:r>
          </w:p>
        </w:tc>
        <w:tc>
          <w:tcPr>
            <w:tcW w:w="492" w:type="dxa"/>
            <w:tcBorders>
              <w:top w:val="nil"/>
              <w:left w:val="nil"/>
              <w:bottom w:val="nil"/>
              <w:right w:val="single" w:color="auto" w:sz="4" w:space="0"/>
            </w:tcBorders>
            <w:shd w:val="clear" w:color="auto" w:fill="auto"/>
            <w:vAlign w:val="center"/>
          </w:tcPr>
          <w:p w14:paraId="2D9E2471">
            <w:pPr>
              <w:widowControl/>
              <w:jc w:val="center"/>
              <w:rPr>
                <w:rFonts w:ascii="宋体" w:hAnsi="宋体" w:cs="宋体"/>
                <w:kern w:val="0"/>
                <w:sz w:val="20"/>
                <w:szCs w:val="20"/>
              </w:rPr>
            </w:pPr>
            <w:r>
              <w:rPr>
                <w:rFonts w:hint="eastAsia" w:ascii="宋体" w:hAnsi="宋体" w:cs="宋体"/>
                <w:kern w:val="0"/>
                <w:sz w:val="20"/>
                <w:szCs w:val="20"/>
              </w:rPr>
              <w:t>5</w:t>
            </w:r>
          </w:p>
        </w:tc>
        <w:tc>
          <w:tcPr>
            <w:tcW w:w="3985" w:type="dxa"/>
            <w:tcBorders>
              <w:top w:val="nil"/>
              <w:left w:val="nil"/>
              <w:bottom w:val="single" w:color="auto" w:sz="4" w:space="0"/>
              <w:right w:val="single" w:color="auto" w:sz="4" w:space="0"/>
            </w:tcBorders>
            <w:shd w:val="clear" w:color="auto" w:fill="auto"/>
            <w:vAlign w:val="center"/>
          </w:tcPr>
          <w:p w14:paraId="19CEA4B2">
            <w:pPr>
              <w:widowControl/>
              <w:jc w:val="left"/>
              <w:rPr>
                <w:rFonts w:ascii="宋体" w:hAnsi="宋体" w:cs="宋体"/>
                <w:kern w:val="0"/>
                <w:sz w:val="20"/>
                <w:szCs w:val="20"/>
              </w:rPr>
            </w:pPr>
            <w:r>
              <w:rPr>
                <w:rFonts w:hint="eastAsia" w:ascii="宋体" w:hAnsi="宋体" w:cs="宋体"/>
                <w:kern w:val="0"/>
                <w:sz w:val="20"/>
                <w:szCs w:val="20"/>
              </w:rPr>
              <w:t>①资产保存完整； ②资产配置合理； ③资产处置规范； ④资产账务管理合规，帐实相符； ⑤资产有偿使用及处置收入及时足额上缴； 以上情况每出现一例不符合有关要求的扣1分，扣完为止。</w:t>
            </w:r>
          </w:p>
        </w:tc>
        <w:tc>
          <w:tcPr>
            <w:tcW w:w="1845" w:type="dxa"/>
            <w:tcBorders>
              <w:top w:val="nil"/>
              <w:left w:val="nil"/>
              <w:bottom w:val="single" w:color="auto" w:sz="4" w:space="0"/>
              <w:right w:val="single" w:color="auto" w:sz="4" w:space="0"/>
            </w:tcBorders>
            <w:shd w:val="clear" w:color="auto" w:fill="auto"/>
            <w:vAlign w:val="center"/>
          </w:tcPr>
          <w:p w14:paraId="1809B34B">
            <w:pPr>
              <w:widowControl/>
              <w:jc w:val="left"/>
              <w:rPr>
                <w:rFonts w:ascii="宋体" w:hAnsi="宋体" w:cs="宋体"/>
                <w:kern w:val="0"/>
                <w:sz w:val="20"/>
                <w:szCs w:val="20"/>
              </w:rPr>
            </w:pPr>
            <w:r>
              <w:rPr>
                <w:rFonts w:hint="eastAsia" w:ascii="宋体" w:hAnsi="宋体" w:cs="宋体"/>
                <w:kern w:val="0"/>
                <w:sz w:val="20"/>
                <w:szCs w:val="20"/>
              </w:rPr>
              <w:t>部门（单位）的资产是否保存完整，使用合规、配置合理、处置规范、收入及时足额上缴，用以反映和考核部门（单位）资产安全运行情况</w:t>
            </w:r>
          </w:p>
        </w:tc>
      </w:tr>
      <w:tr w14:paraId="45042286">
        <w:tblPrEx>
          <w:tblCellMar>
            <w:top w:w="0" w:type="dxa"/>
            <w:left w:w="108" w:type="dxa"/>
            <w:bottom w:w="0" w:type="dxa"/>
            <w:right w:w="108" w:type="dxa"/>
          </w:tblCellMar>
        </w:tblPrEx>
        <w:trPr>
          <w:trHeight w:val="34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14:paraId="4FD183D8">
            <w:pPr>
              <w:widowControl/>
              <w:jc w:val="center"/>
              <w:rPr>
                <w:rFonts w:ascii="宋体" w:hAnsi="宋体" w:cs="宋体"/>
                <w:kern w:val="0"/>
                <w:sz w:val="20"/>
                <w:szCs w:val="20"/>
              </w:rPr>
            </w:pPr>
            <w:r>
              <w:rPr>
                <w:rFonts w:hint="eastAsia" w:ascii="宋体" w:hAnsi="宋体" w:cs="宋体"/>
                <w:kern w:val="0"/>
                <w:sz w:val="20"/>
                <w:szCs w:val="20"/>
              </w:rPr>
              <w:t>支出绩效（25</w:t>
            </w:r>
            <w:r>
              <w:rPr>
                <w:rFonts w:hint="eastAsia" w:ascii="宋体" w:hAnsi="宋体" w:cs="宋体"/>
                <w:color w:val="000000"/>
                <w:kern w:val="0"/>
                <w:sz w:val="20"/>
                <w:szCs w:val="20"/>
              </w:rPr>
              <w:t>分</w:t>
            </w:r>
            <w:r>
              <w:rPr>
                <w:rFonts w:hint="eastAsia" w:ascii="宋体" w:hAnsi="宋体" w:cs="宋体"/>
                <w:kern w:val="0"/>
                <w:sz w:val="20"/>
                <w:szCs w:val="20"/>
              </w:rPr>
              <w:t>）</w:t>
            </w: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14:paraId="24A4E93D">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绩效评价（25分）</w:t>
            </w:r>
          </w:p>
        </w:tc>
        <w:tc>
          <w:tcPr>
            <w:tcW w:w="790" w:type="dxa"/>
            <w:tcBorders>
              <w:top w:val="single" w:color="auto" w:sz="4" w:space="0"/>
              <w:left w:val="nil"/>
              <w:bottom w:val="single" w:color="auto" w:sz="4" w:space="0"/>
              <w:right w:val="single" w:color="auto" w:sz="4" w:space="0"/>
            </w:tcBorders>
            <w:shd w:val="clear" w:color="auto" w:fill="auto"/>
            <w:vAlign w:val="center"/>
          </w:tcPr>
          <w:p w14:paraId="449E5013">
            <w:pPr>
              <w:widowControl/>
              <w:jc w:val="left"/>
              <w:rPr>
                <w:rFonts w:ascii="宋体" w:hAnsi="宋体" w:cs="宋体"/>
                <w:kern w:val="0"/>
                <w:sz w:val="20"/>
                <w:szCs w:val="20"/>
              </w:rPr>
            </w:pPr>
            <w:r>
              <w:rPr>
                <w:rFonts w:hint="eastAsia" w:ascii="宋体" w:hAnsi="宋体" w:cs="宋体"/>
                <w:kern w:val="0"/>
                <w:sz w:val="20"/>
                <w:szCs w:val="20"/>
              </w:rPr>
              <w:t>绩效自评（5</w:t>
            </w:r>
            <w:r>
              <w:rPr>
                <w:rFonts w:hint="eastAsia" w:ascii="宋体" w:hAnsi="宋体" w:cs="宋体"/>
                <w:color w:val="000000"/>
                <w:kern w:val="0"/>
                <w:sz w:val="20"/>
                <w:szCs w:val="20"/>
              </w:rPr>
              <w:t>分）</w:t>
            </w:r>
          </w:p>
        </w:tc>
        <w:tc>
          <w:tcPr>
            <w:tcW w:w="492" w:type="dxa"/>
            <w:tcBorders>
              <w:top w:val="single" w:color="auto" w:sz="4" w:space="0"/>
              <w:left w:val="nil"/>
              <w:bottom w:val="single" w:color="auto" w:sz="4" w:space="0"/>
              <w:right w:val="single" w:color="auto" w:sz="4" w:space="0"/>
            </w:tcBorders>
            <w:shd w:val="clear" w:color="auto" w:fill="auto"/>
            <w:vAlign w:val="center"/>
          </w:tcPr>
          <w:p w14:paraId="5CCEAC30">
            <w:pPr>
              <w:widowControl/>
              <w:jc w:val="center"/>
              <w:rPr>
                <w:rFonts w:ascii="宋体" w:hAnsi="宋体" w:cs="宋体"/>
                <w:kern w:val="0"/>
                <w:sz w:val="20"/>
                <w:szCs w:val="20"/>
              </w:rPr>
            </w:pPr>
            <w:r>
              <w:rPr>
                <w:rFonts w:hint="eastAsia" w:ascii="宋体" w:hAnsi="宋体" w:cs="宋体"/>
                <w:kern w:val="0"/>
                <w:sz w:val="20"/>
                <w:szCs w:val="20"/>
              </w:rPr>
              <w:t>4</w:t>
            </w:r>
          </w:p>
        </w:tc>
        <w:tc>
          <w:tcPr>
            <w:tcW w:w="3985" w:type="dxa"/>
            <w:tcBorders>
              <w:top w:val="nil"/>
              <w:left w:val="nil"/>
              <w:bottom w:val="single" w:color="auto" w:sz="4" w:space="0"/>
              <w:right w:val="single" w:color="auto" w:sz="4" w:space="0"/>
            </w:tcBorders>
            <w:shd w:val="clear" w:color="auto" w:fill="auto"/>
            <w:vAlign w:val="center"/>
          </w:tcPr>
          <w:p w14:paraId="274A6811">
            <w:pPr>
              <w:widowControl/>
              <w:jc w:val="left"/>
              <w:rPr>
                <w:rFonts w:ascii="宋体" w:hAnsi="宋体" w:cs="宋体"/>
                <w:kern w:val="0"/>
                <w:sz w:val="20"/>
                <w:szCs w:val="20"/>
              </w:rPr>
            </w:pPr>
            <w:r>
              <w:rPr>
                <w:rFonts w:hint="eastAsia" w:ascii="宋体" w:hAnsi="宋体" w:cs="宋体"/>
                <w:kern w:val="0"/>
                <w:sz w:val="20"/>
                <w:szCs w:val="20"/>
              </w:rPr>
              <w:t>单位部门预算绩效评价自评工作开展情况</w:t>
            </w:r>
          </w:p>
        </w:tc>
        <w:tc>
          <w:tcPr>
            <w:tcW w:w="1845" w:type="dxa"/>
            <w:tcBorders>
              <w:top w:val="nil"/>
              <w:left w:val="nil"/>
              <w:bottom w:val="single" w:color="auto" w:sz="4" w:space="0"/>
              <w:right w:val="single" w:color="auto" w:sz="4" w:space="0"/>
            </w:tcBorders>
            <w:shd w:val="clear" w:color="auto" w:fill="auto"/>
            <w:vAlign w:val="center"/>
          </w:tcPr>
          <w:p w14:paraId="04D6FB7B">
            <w:pPr>
              <w:widowControl/>
              <w:jc w:val="left"/>
              <w:rPr>
                <w:rFonts w:ascii="宋体" w:hAnsi="宋体" w:cs="宋体"/>
                <w:kern w:val="0"/>
                <w:sz w:val="20"/>
                <w:szCs w:val="20"/>
              </w:rPr>
            </w:pPr>
            <w:r>
              <w:rPr>
                <w:rFonts w:hint="eastAsia" w:ascii="宋体" w:hAnsi="宋体" w:cs="宋体"/>
                <w:kern w:val="0"/>
                <w:sz w:val="20"/>
                <w:szCs w:val="20"/>
              </w:rPr>
              <w:t>　</w:t>
            </w:r>
          </w:p>
        </w:tc>
      </w:tr>
      <w:tr w14:paraId="1425C8C9">
        <w:tblPrEx>
          <w:tblCellMar>
            <w:top w:w="0" w:type="dxa"/>
            <w:left w:w="108" w:type="dxa"/>
            <w:bottom w:w="0" w:type="dxa"/>
            <w:right w:w="108" w:type="dxa"/>
          </w:tblCellMar>
        </w:tblPrEx>
        <w:trPr>
          <w:trHeight w:val="1125" w:hRule="atLeast"/>
        </w:trPr>
        <w:tc>
          <w:tcPr>
            <w:tcW w:w="581" w:type="dxa"/>
            <w:vMerge w:val="continue"/>
            <w:tcBorders>
              <w:top w:val="nil"/>
              <w:left w:val="single" w:color="auto" w:sz="4" w:space="0"/>
              <w:bottom w:val="single" w:color="000000" w:sz="4" w:space="0"/>
              <w:right w:val="single" w:color="auto" w:sz="4" w:space="0"/>
            </w:tcBorders>
            <w:vAlign w:val="center"/>
          </w:tcPr>
          <w:p w14:paraId="19FE6EB1">
            <w:pPr>
              <w:widowControl/>
              <w:jc w:val="left"/>
              <w:rPr>
                <w:rFonts w:ascii="宋体" w:hAnsi="宋体" w:cs="宋体"/>
                <w:kern w:val="0"/>
                <w:sz w:val="20"/>
                <w:szCs w:val="20"/>
              </w:rPr>
            </w:pPr>
          </w:p>
        </w:tc>
        <w:tc>
          <w:tcPr>
            <w:tcW w:w="667" w:type="dxa"/>
            <w:vMerge w:val="continue"/>
            <w:tcBorders>
              <w:top w:val="nil"/>
              <w:left w:val="single" w:color="auto" w:sz="4" w:space="0"/>
              <w:bottom w:val="single" w:color="000000" w:sz="4" w:space="0"/>
              <w:right w:val="single" w:color="auto" w:sz="4" w:space="0"/>
            </w:tcBorders>
            <w:vAlign w:val="center"/>
          </w:tcPr>
          <w:p w14:paraId="2F41DA4F">
            <w:pPr>
              <w:widowControl/>
              <w:jc w:val="left"/>
              <w:rPr>
                <w:rFonts w:ascii="宋体" w:hAnsi="宋体" w:cs="宋体"/>
                <w:color w:val="000000"/>
                <w:kern w:val="0"/>
                <w:sz w:val="20"/>
                <w:szCs w:val="20"/>
              </w:rPr>
            </w:pPr>
          </w:p>
        </w:tc>
        <w:tc>
          <w:tcPr>
            <w:tcW w:w="790" w:type="dxa"/>
            <w:tcBorders>
              <w:top w:val="nil"/>
              <w:left w:val="nil"/>
              <w:bottom w:val="single" w:color="auto" w:sz="4" w:space="0"/>
              <w:right w:val="single" w:color="auto" w:sz="4" w:space="0"/>
            </w:tcBorders>
            <w:shd w:val="clear" w:color="auto" w:fill="auto"/>
            <w:vAlign w:val="center"/>
          </w:tcPr>
          <w:p w14:paraId="7E14D8B6">
            <w:pPr>
              <w:widowControl/>
              <w:jc w:val="left"/>
              <w:rPr>
                <w:rFonts w:ascii="宋体" w:hAnsi="宋体" w:cs="宋体"/>
                <w:kern w:val="0"/>
                <w:sz w:val="20"/>
                <w:szCs w:val="20"/>
              </w:rPr>
            </w:pPr>
            <w:r>
              <w:rPr>
                <w:rFonts w:hint="eastAsia" w:ascii="宋体" w:hAnsi="宋体" w:cs="宋体"/>
                <w:kern w:val="0"/>
                <w:sz w:val="20"/>
                <w:szCs w:val="20"/>
              </w:rPr>
              <w:t>绩效考核（20</w:t>
            </w:r>
            <w:r>
              <w:rPr>
                <w:rFonts w:hint="eastAsia" w:ascii="宋体" w:hAnsi="宋体" w:cs="宋体"/>
                <w:color w:val="000000"/>
                <w:kern w:val="0"/>
                <w:sz w:val="20"/>
                <w:szCs w:val="20"/>
              </w:rPr>
              <w:t>分）</w:t>
            </w:r>
          </w:p>
        </w:tc>
        <w:tc>
          <w:tcPr>
            <w:tcW w:w="492" w:type="dxa"/>
            <w:tcBorders>
              <w:top w:val="nil"/>
              <w:left w:val="nil"/>
              <w:bottom w:val="single" w:color="auto" w:sz="4" w:space="0"/>
              <w:right w:val="single" w:color="auto" w:sz="4" w:space="0"/>
            </w:tcBorders>
            <w:shd w:val="clear" w:color="auto" w:fill="auto"/>
            <w:vAlign w:val="center"/>
          </w:tcPr>
          <w:p w14:paraId="4CCD65C9">
            <w:pPr>
              <w:widowControl/>
              <w:jc w:val="center"/>
              <w:rPr>
                <w:rFonts w:ascii="宋体" w:hAnsi="宋体" w:cs="宋体"/>
                <w:kern w:val="0"/>
                <w:sz w:val="20"/>
                <w:szCs w:val="20"/>
              </w:rPr>
            </w:pPr>
            <w:r>
              <w:rPr>
                <w:rFonts w:hint="eastAsia" w:ascii="宋体" w:hAnsi="宋体" w:cs="宋体"/>
                <w:kern w:val="0"/>
                <w:sz w:val="20"/>
                <w:szCs w:val="20"/>
              </w:rPr>
              <w:t>20</w:t>
            </w:r>
          </w:p>
        </w:tc>
        <w:tc>
          <w:tcPr>
            <w:tcW w:w="3985" w:type="dxa"/>
            <w:tcBorders>
              <w:top w:val="nil"/>
              <w:left w:val="nil"/>
              <w:bottom w:val="single" w:color="auto" w:sz="4" w:space="0"/>
              <w:right w:val="single" w:color="auto" w:sz="4" w:space="0"/>
            </w:tcBorders>
            <w:shd w:val="clear" w:color="auto" w:fill="auto"/>
            <w:vAlign w:val="center"/>
          </w:tcPr>
          <w:p w14:paraId="6EFE23D0">
            <w:pPr>
              <w:widowControl/>
              <w:jc w:val="left"/>
              <w:rPr>
                <w:rFonts w:ascii="宋体" w:hAnsi="宋体" w:cs="宋体"/>
                <w:kern w:val="0"/>
                <w:sz w:val="20"/>
                <w:szCs w:val="20"/>
              </w:rPr>
            </w:pPr>
            <w:r>
              <w:rPr>
                <w:rFonts w:hint="eastAsia" w:ascii="宋体" w:hAnsi="宋体" w:cs="宋体"/>
                <w:kern w:val="0"/>
                <w:sz w:val="20"/>
                <w:szCs w:val="20"/>
              </w:rPr>
              <w:t>财政部门对单位进行绩效考评工作，包括项目决策、项目完成、项目管理、项目效果三个方面</w:t>
            </w:r>
          </w:p>
        </w:tc>
        <w:tc>
          <w:tcPr>
            <w:tcW w:w="1845" w:type="dxa"/>
            <w:tcBorders>
              <w:top w:val="nil"/>
              <w:left w:val="nil"/>
              <w:bottom w:val="single" w:color="auto" w:sz="4" w:space="0"/>
              <w:right w:val="single" w:color="auto" w:sz="4" w:space="0"/>
            </w:tcBorders>
            <w:shd w:val="clear" w:color="auto" w:fill="auto"/>
            <w:vAlign w:val="center"/>
          </w:tcPr>
          <w:p w14:paraId="28C1B001">
            <w:pPr>
              <w:widowControl/>
              <w:jc w:val="left"/>
              <w:rPr>
                <w:rFonts w:ascii="宋体" w:hAnsi="宋体" w:cs="宋体"/>
                <w:kern w:val="0"/>
                <w:sz w:val="20"/>
                <w:szCs w:val="20"/>
              </w:rPr>
            </w:pPr>
            <w:r>
              <w:rPr>
                <w:rFonts w:hint="eastAsia" w:ascii="宋体" w:hAnsi="宋体" w:cs="宋体"/>
                <w:kern w:val="0"/>
                <w:sz w:val="20"/>
                <w:szCs w:val="20"/>
              </w:rPr>
              <w:t>可参照项目支出绩效评价指标体系开展评价，并对专项预算项目支出绩效作出说明。</w:t>
            </w:r>
          </w:p>
        </w:tc>
      </w:tr>
      <w:tr w14:paraId="40ABBF3F">
        <w:tblPrEx>
          <w:tblCellMar>
            <w:top w:w="0" w:type="dxa"/>
            <w:left w:w="108" w:type="dxa"/>
            <w:bottom w:w="0" w:type="dxa"/>
            <w:right w:w="108" w:type="dxa"/>
          </w:tblCellMar>
        </w:tblPrEx>
        <w:trPr>
          <w:trHeight w:val="482" w:hRule="atLeast"/>
        </w:trPr>
        <w:tc>
          <w:tcPr>
            <w:tcW w:w="581" w:type="dxa"/>
            <w:tcBorders>
              <w:top w:val="nil"/>
              <w:left w:val="single" w:color="auto" w:sz="4" w:space="0"/>
              <w:bottom w:val="single" w:color="auto" w:sz="4" w:space="0"/>
              <w:right w:val="single" w:color="auto" w:sz="4" w:space="0"/>
            </w:tcBorders>
            <w:shd w:val="clear" w:color="auto" w:fill="auto"/>
            <w:vAlign w:val="center"/>
          </w:tcPr>
          <w:p w14:paraId="7C9D1548">
            <w:pPr>
              <w:widowControl/>
              <w:jc w:val="center"/>
              <w:rPr>
                <w:rFonts w:ascii="宋体" w:hAnsi="宋体" w:cs="宋体"/>
                <w:kern w:val="0"/>
                <w:sz w:val="24"/>
              </w:rPr>
            </w:pPr>
            <w:r>
              <w:rPr>
                <w:rFonts w:hint="eastAsia" w:ascii="宋体" w:hAnsi="宋体" w:cs="宋体"/>
                <w:kern w:val="0"/>
                <w:sz w:val="24"/>
              </w:rPr>
              <w:t>　</w:t>
            </w:r>
          </w:p>
        </w:tc>
        <w:tc>
          <w:tcPr>
            <w:tcW w:w="667" w:type="dxa"/>
            <w:tcBorders>
              <w:top w:val="nil"/>
              <w:left w:val="nil"/>
              <w:bottom w:val="single" w:color="auto" w:sz="4" w:space="0"/>
              <w:right w:val="single" w:color="auto" w:sz="4" w:space="0"/>
            </w:tcBorders>
            <w:shd w:val="clear" w:color="auto" w:fill="auto"/>
            <w:vAlign w:val="center"/>
          </w:tcPr>
          <w:p w14:paraId="5892A227">
            <w:pPr>
              <w:widowControl/>
              <w:jc w:val="center"/>
              <w:rPr>
                <w:rFonts w:ascii="宋体" w:hAnsi="宋体" w:cs="宋体"/>
                <w:kern w:val="0"/>
                <w:sz w:val="24"/>
              </w:rPr>
            </w:pPr>
            <w:r>
              <w:rPr>
                <w:rFonts w:hint="eastAsia" w:ascii="宋体" w:hAnsi="宋体" w:cs="宋体"/>
                <w:kern w:val="0"/>
                <w:sz w:val="24"/>
              </w:rPr>
              <w:t>合计</w:t>
            </w:r>
          </w:p>
        </w:tc>
        <w:tc>
          <w:tcPr>
            <w:tcW w:w="790" w:type="dxa"/>
            <w:tcBorders>
              <w:top w:val="nil"/>
              <w:left w:val="nil"/>
              <w:bottom w:val="single" w:color="auto" w:sz="4" w:space="0"/>
              <w:right w:val="single" w:color="auto" w:sz="4" w:space="0"/>
            </w:tcBorders>
            <w:shd w:val="clear" w:color="auto" w:fill="auto"/>
            <w:vAlign w:val="center"/>
          </w:tcPr>
          <w:p w14:paraId="14E683B7">
            <w:pPr>
              <w:widowControl/>
              <w:jc w:val="center"/>
              <w:rPr>
                <w:rFonts w:ascii="宋体" w:hAnsi="宋体" w:cs="宋体"/>
                <w:kern w:val="0"/>
                <w:sz w:val="24"/>
              </w:rPr>
            </w:pPr>
            <w:r>
              <w:rPr>
                <w:rFonts w:hint="eastAsia" w:ascii="宋体" w:hAnsi="宋体" w:cs="宋体"/>
                <w:kern w:val="0"/>
                <w:sz w:val="24"/>
              </w:rPr>
              <w:t>　</w:t>
            </w:r>
          </w:p>
        </w:tc>
        <w:tc>
          <w:tcPr>
            <w:tcW w:w="492" w:type="dxa"/>
            <w:tcBorders>
              <w:top w:val="nil"/>
              <w:left w:val="nil"/>
              <w:bottom w:val="single" w:color="auto" w:sz="4" w:space="0"/>
              <w:right w:val="single" w:color="auto" w:sz="4" w:space="0"/>
            </w:tcBorders>
            <w:shd w:val="clear" w:color="auto" w:fill="auto"/>
            <w:vAlign w:val="center"/>
          </w:tcPr>
          <w:p w14:paraId="2537E755">
            <w:pPr>
              <w:widowControl/>
              <w:jc w:val="center"/>
              <w:rPr>
                <w:rFonts w:ascii="宋体" w:hAnsi="宋体" w:cs="宋体"/>
                <w:kern w:val="0"/>
                <w:sz w:val="24"/>
              </w:rPr>
            </w:pPr>
            <w:r>
              <w:rPr>
                <w:rFonts w:hint="eastAsia" w:ascii="宋体" w:hAnsi="宋体" w:cs="宋体"/>
                <w:kern w:val="0"/>
                <w:sz w:val="24"/>
              </w:rPr>
              <w:t>89</w:t>
            </w:r>
          </w:p>
        </w:tc>
        <w:tc>
          <w:tcPr>
            <w:tcW w:w="3985" w:type="dxa"/>
            <w:tcBorders>
              <w:top w:val="nil"/>
              <w:left w:val="nil"/>
              <w:bottom w:val="single" w:color="auto" w:sz="4" w:space="0"/>
              <w:right w:val="single" w:color="auto" w:sz="4" w:space="0"/>
            </w:tcBorders>
            <w:shd w:val="clear" w:color="auto" w:fill="auto"/>
            <w:vAlign w:val="center"/>
          </w:tcPr>
          <w:p w14:paraId="1E78129B">
            <w:pPr>
              <w:widowControl/>
              <w:jc w:val="center"/>
              <w:rPr>
                <w:rFonts w:ascii="宋体" w:hAnsi="宋体" w:cs="宋体"/>
                <w:kern w:val="0"/>
                <w:sz w:val="24"/>
              </w:rPr>
            </w:pPr>
            <w:r>
              <w:rPr>
                <w:rFonts w:hint="eastAsia" w:ascii="宋体" w:hAnsi="宋体" w:cs="宋体"/>
                <w:kern w:val="0"/>
                <w:sz w:val="24"/>
              </w:rPr>
              <w:t>　</w:t>
            </w:r>
          </w:p>
        </w:tc>
        <w:tc>
          <w:tcPr>
            <w:tcW w:w="1845" w:type="dxa"/>
            <w:tcBorders>
              <w:top w:val="nil"/>
              <w:left w:val="nil"/>
              <w:bottom w:val="single" w:color="auto" w:sz="4" w:space="0"/>
              <w:right w:val="single" w:color="auto" w:sz="4" w:space="0"/>
            </w:tcBorders>
            <w:shd w:val="clear" w:color="auto" w:fill="auto"/>
            <w:vAlign w:val="center"/>
          </w:tcPr>
          <w:p w14:paraId="7C34CBE0">
            <w:pPr>
              <w:widowControl/>
              <w:jc w:val="center"/>
              <w:rPr>
                <w:rFonts w:ascii="宋体" w:hAnsi="宋体" w:cs="宋体"/>
                <w:kern w:val="0"/>
                <w:sz w:val="16"/>
                <w:szCs w:val="16"/>
              </w:rPr>
            </w:pPr>
            <w:r>
              <w:rPr>
                <w:rFonts w:hint="eastAsia" w:ascii="宋体" w:hAnsi="宋体" w:cs="宋体"/>
                <w:kern w:val="0"/>
                <w:sz w:val="16"/>
                <w:szCs w:val="16"/>
              </w:rPr>
              <w:t>　</w:t>
            </w:r>
          </w:p>
        </w:tc>
      </w:tr>
    </w:tbl>
    <w:p w14:paraId="4C4F00AF">
      <w:pPr>
        <w:spacing w:line="600" w:lineRule="exact"/>
        <w:jc w:val="center"/>
        <w:outlineLvl w:val="0"/>
        <w:rPr>
          <w:rFonts w:ascii="黑体" w:hAnsi="黑体" w:eastAsia="黑体"/>
          <w:color w:val="000000"/>
          <w:sz w:val="44"/>
          <w:szCs w:val="44"/>
        </w:rPr>
      </w:pPr>
    </w:p>
    <w:p w14:paraId="2FC06CF7">
      <w:pPr>
        <w:spacing w:line="600" w:lineRule="exact"/>
        <w:jc w:val="center"/>
        <w:outlineLvl w:val="0"/>
        <w:rPr>
          <w:rFonts w:ascii="黑体" w:hAnsi="黑体" w:eastAsia="黑体"/>
          <w:color w:val="000000"/>
          <w:sz w:val="44"/>
          <w:szCs w:val="44"/>
        </w:rPr>
      </w:pPr>
    </w:p>
    <w:p w14:paraId="271BB56E">
      <w:pPr>
        <w:spacing w:line="600" w:lineRule="exact"/>
        <w:jc w:val="center"/>
        <w:outlineLvl w:val="0"/>
        <w:rPr>
          <w:rFonts w:ascii="黑体" w:hAnsi="黑体" w:eastAsia="黑体"/>
          <w:color w:val="000000"/>
          <w:sz w:val="44"/>
          <w:szCs w:val="44"/>
        </w:rPr>
      </w:pPr>
    </w:p>
    <w:p w14:paraId="530F3AA4">
      <w:pPr>
        <w:spacing w:line="600" w:lineRule="exact"/>
        <w:jc w:val="center"/>
        <w:outlineLvl w:val="0"/>
        <w:rPr>
          <w:rFonts w:ascii="黑体" w:hAnsi="黑体" w:eastAsia="黑体"/>
          <w:color w:val="000000"/>
          <w:sz w:val="44"/>
          <w:szCs w:val="44"/>
        </w:rPr>
      </w:pPr>
    </w:p>
    <w:p w14:paraId="7D64329F">
      <w:pPr>
        <w:spacing w:line="600" w:lineRule="exact"/>
        <w:jc w:val="center"/>
        <w:outlineLvl w:val="0"/>
        <w:rPr>
          <w:rFonts w:ascii="黑体" w:hAnsi="黑体" w:eastAsia="黑体"/>
          <w:color w:val="000000"/>
          <w:sz w:val="44"/>
          <w:szCs w:val="44"/>
        </w:rPr>
      </w:pPr>
    </w:p>
    <w:p w14:paraId="1568D6FC">
      <w:pPr>
        <w:spacing w:line="600" w:lineRule="exact"/>
        <w:jc w:val="center"/>
        <w:outlineLvl w:val="0"/>
        <w:rPr>
          <w:rFonts w:ascii="黑体" w:hAnsi="黑体" w:eastAsia="黑体"/>
          <w:color w:val="000000"/>
          <w:sz w:val="44"/>
          <w:szCs w:val="44"/>
        </w:rPr>
      </w:pPr>
    </w:p>
    <w:p w14:paraId="63154816">
      <w:pPr>
        <w:spacing w:line="600" w:lineRule="exact"/>
        <w:jc w:val="center"/>
        <w:outlineLvl w:val="0"/>
        <w:rPr>
          <w:rFonts w:ascii="黑体" w:hAnsi="黑体" w:eastAsia="黑体"/>
          <w:color w:val="000000"/>
          <w:sz w:val="44"/>
          <w:szCs w:val="44"/>
        </w:rPr>
      </w:pPr>
    </w:p>
    <w:p w14:paraId="29B55F68">
      <w:pPr>
        <w:spacing w:line="600" w:lineRule="exact"/>
        <w:jc w:val="center"/>
        <w:outlineLvl w:val="0"/>
        <w:rPr>
          <w:rFonts w:ascii="黑体" w:hAnsi="黑体" w:eastAsia="黑体"/>
          <w:color w:val="000000"/>
          <w:sz w:val="44"/>
          <w:szCs w:val="44"/>
        </w:rPr>
      </w:pPr>
    </w:p>
    <w:p w14:paraId="480F69E2">
      <w:pPr>
        <w:spacing w:line="600" w:lineRule="exact"/>
        <w:jc w:val="center"/>
        <w:outlineLvl w:val="0"/>
        <w:rPr>
          <w:rFonts w:ascii="黑体" w:hAnsi="黑体" w:eastAsia="黑体"/>
          <w:color w:val="000000"/>
          <w:sz w:val="44"/>
          <w:szCs w:val="44"/>
        </w:rPr>
      </w:pPr>
    </w:p>
    <w:p w14:paraId="1596F117">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2"/>
    </w:p>
    <w:p w14:paraId="512D5087">
      <w:pPr>
        <w:spacing w:line="600" w:lineRule="exact"/>
        <w:jc w:val="center"/>
        <w:outlineLvl w:val="0"/>
        <w:rPr>
          <w:rFonts w:ascii="仿宋" w:hAnsi="仿宋" w:eastAsia="仿宋"/>
          <w:b/>
          <w:color w:val="000000"/>
          <w:sz w:val="44"/>
          <w:szCs w:val="44"/>
        </w:rPr>
      </w:pPr>
    </w:p>
    <w:p w14:paraId="67E5DAD5">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3"/>
    </w:p>
    <w:p w14:paraId="1802014F">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4"/>
    </w:p>
    <w:p w14:paraId="694069C5">
      <w:pPr>
        <w:pStyle w:val="3"/>
        <w:rPr>
          <w:rFonts w:ascii="仿宋" w:hAnsi="仿宋" w:eastAsia="仿宋"/>
          <w:color w:val="000000"/>
        </w:rPr>
      </w:pPr>
      <w:bookmarkStart w:id="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5"/>
    </w:p>
    <w:p w14:paraId="49022EBE">
      <w:pPr>
        <w:pStyle w:val="3"/>
        <w:rPr>
          <w:rFonts w:ascii="仿宋" w:hAnsi="仿宋" w:eastAsia="仿宋"/>
          <w:b w:val="0"/>
          <w:color w:val="000000"/>
        </w:rPr>
      </w:pPr>
      <w:bookmarkStart w:id="6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6"/>
    </w:p>
    <w:p w14:paraId="10A95669">
      <w:pPr>
        <w:pStyle w:val="3"/>
        <w:rPr>
          <w:rFonts w:ascii="仿宋" w:hAnsi="仿宋" w:eastAsia="仿宋"/>
          <w:color w:val="000000"/>
        </w:rPr>
      </w:pPr>
      <w:bookmarkStart w:id="6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7"/>
    </w:p>
    <w:p w14:paraId="4E47C04C">
      <w:pPr>
        <w:pStyle w:val="3"/>
        <w:rPr>
          <w:rFonts w:ascii="仿宋" w:hAnsi="仿宋" w:eastAsia="仿宋"/>
          <w:color w:val="000000"/>
        </w:rPr>
      </w:pPr>
      <w:bookmarkStart w:id="68"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8"/>
    </w:p>
    <w:p w14:paraId="5B1C7367">
      <w:pPr>
        <w:pStyle w:val="3"/>
        <w:rPr>
          <w:rFonts w:ascii="仿宋" w:hAnsi="仿宋" w:eastAsia="仿宋"/>
          <w:color w:val="000000"/>
        </w:rPr>
      </w:pPr>
      <w:bookmarkStart w:id="6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9"/>
    </w:p>
    <w:p w14:paraId="20741F73">
      <w:pPr>
        <w:pStyle w:val="3"/>
        <w:rPr>
          <w:rFonts w:ascii="仿宋" w:hAnsi="仿宋" w:eastAsia="仿宋"/>
          <w:color w:val="000000"/>
        </w:rPr>
      </w:pPr>
      <w:bookmarkStart w:id="7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0"/>
    </w:p>
    <w:p w14:paraId="79DB3D84">
      <w:pPr>
        <w:pStyle w:val="3"/>
        <w:rPr>
          <w:rFonts w:ascii="仿宋" w:hAnsi="仿宋" w:eastAsia="仿宋"/>
          <w:color w:val="000000"/>
        </w:rPr>
      </w:pPr>
      <w:bookmarkStart w:id="7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1"/>
    </w:p>
    <w:p w14:paraId="2CEF777E">
      <w:pPr>
        <w:pStyle w:val="3"/>
        <w:rPr>
          <w:rFonts w:ascii="仿宋" w:hAnsi="仿宋" w:eastAsia="仿宋"/>
          <w:color w:val="000000"/>
        </w:rPr>
      </w:pPr>
      <w:bookmarkStart w:id="7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2"/>
    </w:p>
    <w:p w14:paraId="08AE0187">
      <w:pPr>
        <w:pStyle w:val="3"/>
        <w:rPr>
          <w:rFonts w:ascii="仿宋" w:hAnsi="仿宋" w:eastAsia="仿宋"/>
          <w:color w:val="000000"/>
        </w:rPr>
      </w:pPr>
      <w:bookmarkStart w:id="7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3"/>
    </w:p>
    <w:p w14:paraId="407405BF">
      <w:pPr>
        <w:pStyle w:val="3"/>
        <w:rPr>
          <w:rFonts w:ascii="仿宋" w:hAnsi="仿宋" w:eastAsia="仿宋"/>
          <w:color w:val="000000"/>
        </w:rPr>
      </w:pPr>
      <w:bookmarkStart w:id="7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4"/>
    </w:p>
    <w:p w14:paraId="30B4571E">
      <w:pPr>
        <w:pStyle w:val="3"/>
        <w:rPr>
          <w:rFonts w:ascii="仿宋" w:hAnsi="仿宋" w:eastAsia="仿宋"/>
          <w:color w:val="000000" w:themeColor="text1"/>
        </w:rPr>
      </w:pPr>
      <w:bookmarkStart w:id="7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14:paraId="3C53072C">
        <w:pPr>
          <w:pStyle w:val="8"/>
          <w:jc w:val="center"/>
        </w:pPr>
        <w:r>
          <w:fldChar w:fldCharType="begin"/>
        </w:r>
        <w:r>
          <w:instrText xml:space="preserve">PAGE   \* MERGEFORMAT</w:instrText>
        </w:r>
        <w:r>
          <w:fldChar w:fldCharType="separate"/>
        </w:r>
        <w:r>
          <w:rPr>
            <w:lang w:val="zh-CN"/>
          </w:rPr>
          <w:t>3</w:t>
        </w:r>
        <w:r>
          <w:fldChar w:fldCharType="end"/>
        </w:r>
      </w:p>
    </w:sdtContent>
  </w:sdt>
  <w:p w14:paraId="0D13425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CE3D3">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1OWQ0NmNkMjFiODU5ZDViY2JkMGM0MGE0ZTkwYWQifQ=="/>
  </w:docVars>
  <w:rsids>
    <w:rsidRoot w:val="00F1361C"/>
    <w:rsid w:val="000222C6"/>
    <w:rsid w:val="0002549F"/>
    <w:rsid w:val="0006487A"/>
    <w:rsid w:val="00065F8F"/>
    <w:rsid w:val="000768F2"/>
    <w:rsid w:val="00083CC9"/>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203EF"/>
    <w:rsid w:val="0014729F"/>
    <w:rsid w:val="00157BAB"/>
    <w:rsid w:val="001654D1"/>
    <w:rsid w:val="001655C5"/>
    <w:rsid w:val="0018106D"/>
    <w:rsid w:val="001877A7"/>
    <w:rsid w:val="00191536"/>
    <w:rsid w:val="00196687"/>
    <w:rsid w:val="001B38B9"/>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60BEE"/>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600D"/>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6DE3"/>
    <w:rsid w:val="005664BB"/>
    <w:rsid w:val="0057481D"/>
    <w:rsid w:val="0058486E"/>
    <w:rsid w:val="005A1852"/>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74F56"/>
    <w:rsid w:val="00683E73"/>
    <w:rsid w:val="006A3141"/>
    <w:rsid w:val="006A5E34"/>
    <w:rsid w:val="006B2422"/>
    <w:rsid w:val="006B2B9A"/>
    <w:rsid w:val="006C1937"/>
    <w:rsid w:val="006D6EBD"/>
    <w:rsid w:val="006F020C"/>
    <w:rsid w:val="007127B7"/>
    <w:rsid w:val="007416B6"/>
    <w:rsid w:val="00746F48"/>
    <w:rsid w:val="0075404D"/>
    <w:rsid w:val="007556EB"/>
    <w:rsid w:val="0076182A"/>
    <w:rsid w:val="00767B7E"/>
    <w:rsid w:val="007770C3"/>
    <w:rsid w:val="00784D24"/>
    <w:rsid w:val="00785FBA"/>
    <w:rsid w:val="00786E4A"/>
    <w:rsid w:val="007875EB"/>
    <w:rsid w:val="0079426B"/>
    <w:rsid w:val="007B7A67"/>
    <w:rsid w:val="007D312A"/>
    <w:rsid w:val="007D3F19"/>
    <w:rsid w:val="007E23B0"/>
    <w:rsid w:val="007F1991"/>
    <w:rsid w:val="007F2C2F"/>
    <w:rsid w:val="007F55FC"/>
    <w:rsid w:val="007F5665"/>
    <w:rsid w:val="00800112"/>
    <w:rsid w:val="008253BB"/>
    <w:rsid w:val="00827DE4"/>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A00"/>
    <w:rsid w:val="00A4142F"/>
    <w:rsid w:val="00A56DF2"/>
    <w:rsid w:val="00A67AB5"/>
    <w:rsid w:val="00A91760"/>
    <w:rsid w:val="00A93B00"/>
    <w:rsid w:val="00A93C21"/>
    <w:rsid w:val="00AB7949"/>
    <w:rsid w:val="00AC3C6A"/>
    <w:rsid w:val="00AD0442"/>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0779"/>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64B7"/>
    <w:rsid w:val="00C91CBB"/>
    <w:rsid w:val="00CC09B6"/>
    <w:rsid w:val="00CC666F"/>
    <w:rsid w:val="00CD1E3F"/>
    <w:rsid w:val="00CE44F6"/>
    <w:rsid w:val="00CE49DA"/>
    <w:rsid w:val="00CE7B61"/>
    <w:rsid w:val="00D00095"/>
    <w:rsid w:val="00D072EF"/>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34E88"/>
    <w:rsid w:val="00E50624"/>
    <w:rsid w:val="00E568DF"/>
    <w:rsid w:val="00E60872"/>
    <w:rsid w:val="00E64269"/>
    <w:rsid w:val="00E82267"/>
    <w:rsid w:val="00E8777A"/>
    <w:rsid w:val="00EA010F"/>
    <w:rsid w:val="00EA4260"/>
    <w:rsid w:val="00ED1B63"/>
    <w:rsid w:val="00ED3C1F"/>
    <w:rsid w:val="00ED4085"/>
    <w:rsid w:val="00ED420E"/>
    <w:rsid w:val="00EE2F57"/>
    <w:rsid w:val="00EF4C34"/>
    <w:rsid w:val="00EF77C6"/>
    <w:rsid w:val="00F05438"/>
    <w:rsid w:val="00F1361C"/>
    <w:rsid w:val="00F160C7"/>
    <w:rsid w:val="00F32517"/>
    <w:rsid w:val="00F36D8F"/>
    <w:rsid w:val="00F417B1"/>
    <w:rsid w:val="00F602DF"/>
    <w:rsid w:val="00F81FD9"/>
    <w:rsid w:val="00F841AA"/>
    <w:rsid w:val="00FA23E8"/>
    <w:rsid w:val="00FD3CC1"/>
    <w:rsid w:val="00FF1E02"/>
    <w:rsid w:val="00FF30B4"/>
    <w:rsid w:val="10C055FF"/>
    <w:rsid w:val="16BB723D"/>
    <w:rsid w:val="240371BF"/>
    <w:rsid w:val="29FD04D3"/>
    <w:rsid w:val="319F7F4E"/>
    <w:rsid w:val="353E284C"/>
    <w:rsid w:val="5CCD4F13"/>
    <w:rsid w:val="74D12BF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autoRedefine/>
    <w:unhideWhenUsed/>
    <w:qFormat/>
    <w:uiPriority w:val="9"/>
    <w:pPr>
      <w:keepNext/>
      <w:keepLines/>
      <w:spacing w:before="260" w:after="260" w:line="416" w:lineRule="auto"/>
      <w:outlineLvl w:val="2"/>
    </w:pPr>
    <w:rPr>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2"/>
    <w:autoRedefine/>
    <w:qFormat/>
    <w:uiPriority w:val="99"/>
    <w:pPr>
      <w:spacing w:beforeLines="30"/>
    </w:pPr>
    <w:rPr>
      <w:rFonts w:ascii="仿宋_GB2312" w:eastAsia="仿宋_GB2312"/>
      <w:kern w:val="0"/>
      <w:sz w:val="30"/>
    </w:rPr>
  </w:style>
  <w:style w:type="paragraph" w:styleId="6">
    <w:name w:val="toc 3"/>
    <w:basedOn w:val="1"/>
    <w:next w:val="1"/>
    <w:autoRedefine/>
    <w:unhideWhenUsed/>
    <w:qFormat/>
    <w:uiPriority w:val="39"/>
    <w:pPr>
      <w:tabs>
        <w:tab w:val="right" w:leader="dot" w:pos="8296"/>
      </w:tabs>
      <w:ind w:left="840" w:leftChars="400"/>
    </w:pPr>
  </w:style>
  <w:style w:type="paragraph" w:styleId="7">
    <w:name w:val="Balloon Text"/>
    <w:basedOn w:val="1"/>
    <w:link w:val="28"/>
    <w:autoRedefine/>
    <w:semiHidden/>
    <w:unhideWhenUsed/>
    <w:qFormat/>
    <w:uiPriority w:val="99"/>
    <w:rPr>
      <w:sz w:val="18"/>
      <w:szCs w:val="18"/>
    </w:rPr>
  </w:style>
  <w:style w:type="paragraph" w:styleId="8">
    <w:name w:val="footer"/>
    <w:basedOn w:val="1"/>
    <w:link w:val="20"/>
    <w:autoRedefine/>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autoRedefine/>
    <w:unhideWhenUsed/>
    <w:qFormat/>
    <w:uiPriority w:val="39"/>
    <w:pPr>
      <w:tabs>
        <w:tab w:val="right" w:leader="dot" w:pos="8296"/>
      </w:tabs>
      <w:ind w:left="420" w:leftChars="200"/>
    </w:pPr>
  </w:style>
  <w:style w:type="paragraph" w:styleId="12">
    <w:name w:val="Normal (Web)"/>
    <w:basedOn w:val="1"/>
    <w:autoRedefine/>
    <w:qFormat/>
    <w:uiPriority w:val="99"/>
    <w:pPr>
      <w:spacing w:beforeAutospacing="1" w:afterAutospacing="1"/>
      <w:jc w:val="left"/>
    </w:pPr>
    <w:rPr>
      <w:rFonts w:ascii="Calibri" w:hAnsi="Calibri"/>
      <w:kern w:val="0"/>
      <w:sz w:val="24"/>
    </w:rPr>
  </w:style>
  <w:style w:type="character" w:styleId="15">
    <w:name w:val="Strong"/>
    <w:basedOn w:val="14"/>
    <w:autoRedefine/>
    <w:qFormat/>
    <w:uiPriority w:val="99"/>
    <w:rPr>
      <w:b/>
    </w:rPr>
  </w:style>
  <w:style w:type="character" w:styleId="16">
    <w:name w:val="Hyperlink"/>
    <w:basedOn w:val="14"/>
    <w:autoRedefine/>
    <w:unhideWhenUsed/>
    <w:qFormat/>
    <w:uiPriority w:val="99"/>
    <w:rPr>
      <w:color w:val="0000FF" w:themeColor="hyperlink"/>
      <w:u w:val="single"/>
    </w:rPr>
  </w:style>
  <w:style w:type="character" w:customStyle="1" w:styleId="17">
    <w:name w:val="Header Char"/>
    <w:basedOn w:val="14"/>
    <w:autoRedefine/>
    <w:semiHidden/>
    <w:qFormat/>
    <w:uiPriority w:val="99"/>
    <w:rPr>
      <w:rFonts w:ascii="Times New Roman" w:hAnsi="Times New Roman"/>
      <w:sz w:val="18"/>
      <w:szCs w:val="18"/>
    </w:rPr>
  </w:style>
  <w:style w:type="character" w:customStyle="1" w:styleId="18">
    <w:name w:val="页眉 Char"/>
    <w:link w:val="9"/>
    <w:autoRedefine/>
    <w:semiHidden/>
    <w:qFormat/>
    <w:locked/>
    <w:uiPriority w:val="99"/>
    <w:rPr>
      <w:sz w:val="18"/>
    </w:rPr>
  </w:style>
  <w:style w:type="character" w:customStyle="1" w:styleId="19">
    <w:name w:val="Footer Char"/>
    <w:basedOn w:val="14"/>
    <w:autoRedefine/>
    <w:semiHidden/>
    <w:qFormat/>
    <w:uiPriority w:val="99"/>
    <w:rPr>
      <w:rFonts w:ascii="Times New Roman" w:hAnsi="Times New Roman"/>
      <w:sz w:val="18"/>
      <w:szCs w:val="18"/>
    </w:rPr>
  </w:style>
  <w:style w:type="character" w:customStyle="1" w:styleId="20">
    <w:name w:val="页脚 Char"/>
    <w:link w:val="8"/>
    <w:autoRedefine/>
    <w:qFormat/>
    <w:locked/>
    <w:uiPriority w:val="99"/>
    <w:rPr>
      <w:sz w:val="18"/>
    </w:rPr>
  </w:style>
  <w:style w:type="character" w:customStyle="1" w:styleId="21">
    <w:name w:val="Body Text Char"/>
    <w:basedOn w:val="14"/>
    <w:autoRedefine/>
    <w:semiHidden/>
    <w:qFormat/>
    <w:uiPriority w:val="99"/>
    <w:rPr>
      <w:rFonts w:ascii="Times New Roman" w:hAnsi="Times New Roman"/>
      <w:szCs w:val="24"/>
    </w:rPr>
  </w:style>
  <w:style w:type="character" w:customStyle="1" w:styleId="22">
    <w:name w:val="正文文本 Char"/>
    <w:link w:val="5"/>
    <w:autoRedefine/>
    <w:qFormat/>
    <w:locked/>
    <w:uiPriority w:val="99"/>
    <w:rPr>
      <w:rFonts w:ascii="仿宋_GB2312" w:hAnsi="Times New Roman" w:eastAsia="仿宋_GB2312"/>
      <w:sz w:val="24"/>
    </w:rPr>
  </w:style>
  <w:style w:type="paragraph" w:customStyle="1" w:styleId="23">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autoRedefine/>
    <w:qFormat/>
    <w:uiPriority w:val="34"/>
    <w:pPr>
      <w:ind w:firstLine="420" w:firstLineChars="200"/>
    </w:pPr>
  </w:style>
  <w:style w:type="character" w:customStyle="1" w:styleId="25">
    <w:name w:val="标题 1 Char"/>
    <w:basedOn w:val="14"/>
    <w:link w:val="2"/>
    <w:autoRedefine/>
    <w:qFormat/>
    <w:uiPriority w:val="9"/>
    <w:rPr>
      <w:rFonts w:ascii="Times New Roman" w:hAnsi="Times New Roman"/>
      <w:b/>
      <w:bCs/>
      <w:kern w:val="44"/>
      <w:sz w:val="44"/>
      <w:szCs w:val="44"/>
    </w:rPr>
  </w:style>
  <w:style w:type="character" w:customStyle="1" w:styleId="26">
    <w:name w:val="标题 2 Char"/>
    <w:basedOn w:val="14"/>
    <w:link w:val="3"/>
    <w:autoRedefine/>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autoRedefine/>
    <w:semiHidden/>
    <w:qFormat/>
    <w:uiPriority w:val="99"/>
    <w:rPr>
      <w:rFonts w:ascii="Times New Roman" w:hAnsi="Times New Roman"/>
      <w:kern w:val="2"/>
      <w:sz w:val="18"/>
      <w:szCs w:val="18"/>
    </w:rPr>
  </w:style>
  <w:style w:type="character" w:customStyle="1" w:styleId="29">
    <w:name w:val="标题 3 Char"/>
    <w:basedOn w:val="14"/>
    <w:link w:val="4"/>
    <w:autoRedefine/>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收入</c:v>
                </c:pt>
              </c:strCache>
            </c:strRef>
          </c:tx>
          <c:invertIfNegative val="0"/>
          <c:dLbls>
            <c:delete val="1"/>
          </c:dLbls>
          <c:cat>
            <c:strRef>
              <c:f>Sheet1!$A$2:$A$5</c:f>
              <c:strCache>
                <c:ptCount val="2"/>
                <c:pt idx="0">
                  <c:v>2017年</c:v>
                </c:pt>
                <c:pt idx="1">
                  <c:v>2018年</c:v>
                </c:pt>
              </c:strCache>
            </c:strRef>
          </c:cat>
          <c:val>
            <c:numRef>
              <c:f>Sheet1!$B$2:$B$5</c:f>
              <c:numCache>
                <c:formatCode>General</c:formatCode>
                <c:ptCount val="4"/>
                <c:pt idx="0">
                  <c:v>152.73</c:v>
                </c:pt>
                <c:pt idx="1">
                  <c:v>183.84</c:v>
                </c:pt>
              </c:numCache>
            </c:numRef>
          </c:val>
        </c:ser>
        <c:dLbls>
          <c:showLegendKey val="0"/>
          <c:showVal val="0"/>
          <c:showCatName val="0"/>
          <c:showSerName val="0"/>
          <c:showPercent val="0"/>
          <c:showBubbleSize val="0"/>
        </c:dLbls>
        <c:gapWidth val="150"/>
        <c:overlap val="100"/>
        <c:axId val="73780224"/>
        <c:axId val="73782016"/>
      </c:barChart>
      <c:catAx>
        <c:axId val="737802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3782016"/>
        <c:crosses val="autoZero"/>
        <c:auto val="1"/>
        <c:lblAlgn val="ctr"/>
        <c:lblOffset val="100"/>
        <c:noMultiLvlLbl val="0"/>
      </c:catAx>
      <c:valAx>
        <c:axId val="737820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37802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a56a15a-bfec-47da-8fd5-a44b8fd0651e}"/>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支出</c:v>
                </c:pt>
              </c:strCache>
            </c:strRef>
          </c:tx>
          <c:invertIfNegative val="0"/>
          <c:dLbls>
            <c:delete val="1"/>
          </c:dLbls>
          <c:cat>
            <c:strRef>
              <c:f>Sheet1!$A$2:$A$5</c:f>
              <c:strCache>
                <c:ptCount val="2"/>
                <c:pt idx="0">
                  <c:v>2017年</c:v>
                </c:pt>
                <c:pt idx="1">
                  <c:v>2018年</c:v>
                </c:pt>
              </c:strCache>
            </c:strRef>
          </c:cat>
          <c:val>
            <c:numRef>
              <c:f>Sheet1!$B$2:$B$5</c:f>
              <c:numCache>
                <c:formatCode>General</c:formatCode>
                <c:ptCount val="4"/>
                <c:pt idx="0">
                  <c:v>152.73</c:v>
                </c:pt>
                <c:pt idx="1">
                  <c:v>183.84</c:v>
                </c:pt>
              </c:numCache>
            </c:numRef>
          </c:val>
        </c:ser>
        <c:dLbls>
          <c:showLegendKey val="0"/>
          <c:showVal val="0"/>
          <c:showCatName val="0"/>
          <c:showSerName val="0"/>
          <c:showPercent val="0"/>
          <c:showBubbleSize val="0"/>
        </c:dLbls>
        <c:gapWidth val="150"/>
        <c:overlap val="100"/>
        <c:axId val="46215552"/>
        <c:axId val="46217088"/>
      </c:barChart>
      <c:catAx>
        <c:axId val="462155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217088"/>
        <c:crosses val="autoZero"/>
        <c:auto val="1"/>
        <c:lblAlgn val="ctr"/>
        <c:lblOffset val="100"/>
        <c:noMultiLvlLbl val="0"/>
      </c:catAx>
      <c:valAx>
        <c:axId val="462170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2155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de1d1ed-2d70-47db-b78c-150d7854e6ca}"/>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52665253778445"/>
          <c:y val="0.0476190476190476"/>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收入</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c:v>
                </c:pt>
              </c:strCache>
            </c:strRef>
          </c:cat>
          <c:val>
            <c:numRef>
              <c:f>Sheet1!$B$2</c:f>
              <c:numCache>
                <c:formatCode>General</c:formatCode>
                <c:ptCount val="1"/>
                <c:pt idx="0">
                  <c:v>183.84</c:v>
                </c:pt>
              </c:numCache>
            </c:numRef>
          </c:val>
        </c:ser>
        <c:dLbls>
          <c:showLegendKey val="0"/>
          <c:showVal val="0"/>
          <c:showCatName val="1"/>
          <c:showSerName val="0"/>
          <c:showPercent val="1"/>
          <c:showBubbleSize val="0"/>
        </c:dLbls>
      </c:pie3DChart>
    </c:plotArea>
    <c:plotVisOnly val="1"/>
    <c:dispBlanksAs val="gap"/>
    <c:showDLblsOverMax val="0"/>
    <c:extLst>
      <c:ext uri="{0b15fc19-7d7d-44ad-8c2d-2c3a37ce22c3}">
        <chartProps xmlns="https://web.wps.cn/et/2018/main" chartId="{855a20e6-f9e5-4d16-bbdf-e16d59aaef5b}"/>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收入</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164.62</c:v>
                </c:pt>
                <c:pt idx="1">
                  <c:v>19.22</c:v>
                </c:pt>
              </c:numCache>
            </c:numRef>
          </c:val>
        </c:ser>
        <c:dLbls>
          <c:showLegendKey val="0"/>
          <c:showVal val="0"/>
          <c:showCatName val="1"/>
          <c:showSerName val="0"/>
          <c:showPercent val="1"/>
          <c:showBubbleSize val="0"/>
        </c:dLbls>
      </c:pie3DChart>
    </c:plotArea>
    <c:plotVisOnly val="1"/>
    <c:dispBlanksAs val="gap"/>
    <c:showDLblsOverMax val="0"/>
    <c:extLst>
      <c:ext uri="{0b15fc19-7d7d-44ad-8c2d-2c3a37ce22c3}">
        <chartProps xmlns="https://web.wps.cn/et/2018/main" chartId="{d1080b5b-be6a-4ccb-b602-bab2ab557273}"/>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财政拨款收入</c:v>
                </c:pt>
              </c:strCache>
            </c:strRef>
          </c:tx>
          <c:invertIfNegative val="0"/>
          <c:dLbls>
            <c:delete val="1"/>
          </c:dLbls>
          <c:cat>
            <c:strRef>
              <c:f>Sheet1!$A$2:$A$3</c:f>
              <c:strCache>
                <c:ptCount val="2"/>
                <c:pt idx="0">
                  <c:v>2017年</c:v>
                </c:pt>
                <c:pt idx="1">
                  <c:v>2018年</c:v>
                </c:pt>
              </c:strCache>
            </c:strRef>
          </c:cat>
          <c:val>
            <c:numRef>
              <c:f>Sheet1!$B$2:$B$3</c:f>
              <c:numCache>
                <c:formatCode>General</c:formatCode>
                <c:ptCount val="2"/>
                <c:pt idx="0">
                  <c:v>152.73</c:v>
                </c:pt>
                <c:pt idx="1">
                  <c:v>183.84</c:v>
                </c:pt>
              </c:numCache>
            </c:numRef>
          </c:val>
        </c:ser>
        <c:dLbls>
          <c:showLegendKey val="0"/>
          <c:showVal val="0"/>
          <c:showCatName val="0"/>
          <c:showSerName val="0"/>
          <c:showPercent val="0"/>
          <c:showBubbleSize val="0"/>
        </c:dLbls>
        <c:gapWidth val="150"/>
        <c:overlap val="100"/>
        <c:axId val="49941120"/>
        <c:axId val="73819648"/>
      </c:barChart>
      <c:catAx>
        <c:axId val="499411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3819648"/>
        <c:crosses val="autoZero"/>
        <c:auto val="1"/>
        <c:lblAlgn val="ctr"/>
        <c:lblOffset val="100"/>
        <c:noMultiLvlLbl val="0"/>
      </c:catAx>
      <c:valAx>
        <c:axId val="738196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9411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1b4fab9-0f3e-4e4f-b915-66f9088feacb}"/>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财政拨款支出</c:v>
                </c:pt>
              </c:strCache>
            </c:strRef>
          </c:tx>
          <c:invertIfNegative val="0"/>
          <c:dLbls>
            <c:delete val="1"/>
          </c:dLbls>
          <c:cat>
            <c:strRef>
              <c:f>Sheet1!$A$2:$A$3</c:f>
              <c:strCache>
                <c:ptCount val="2"/>
                <c:pt idx="0">
                  <c:v>2017年</c:v>
                </c:pt>
                <c:pt idx="1">
                  <c:v>2018年</c:v>
                </c:pt>
              </c:strCache>
            </c:strRef>
          </c:cat>
          <c:val>
            <c:numRef>
              <c:f>Sheet1!$B$2:$B$3</c:f>
              <c:numCache>
                <c:formatCode>General</c:formatCode>
                <c:ptCount val="2"/>
                <c:pt idx="0">
                  <c:v>152.73</c:v>
                </c:pt>
                <c:pt idx="1">
                  <c:v>183.84</c:v>
                </c:pt>
              </c:numCache>
            </c:numRef>
          </c:val>
        </c:ser>
        <c:dLbls>
          <c:showLegendKey val="0"/>
          <c:showVal val="0"/>
          <c:showCatName val="0"/>
          <c:showSerName val="0"/>
          <c:showPercent val="0"/>
          <c:showBubbleSize val="0"/>
        </c:dLbls>
        <c:gapWidth val="150"/>
        <c:overlap val="100"/>
        <c:axId val="105406464"/>
        <c:axId val="105408000"/>
      </c:barChart>
      <c:catAx>
        <c:axId val="1054064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408000"/>
        <c:crosses val="autoZero"/>
        <c:auto val="1"/>
        <c:lblAlgn val="ctr"/>
        <c:lblOffset val="100"/>
        <c:noMultiLvlLbl val="0"/>
      </c:catAx>
      <c:valAx>
        <c:axId val="1054080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4064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5d02f69-2f64-4e47-8815-3336c3169784}"/>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一般公共预算财政拨款支出</c:v>
                </c:pt>
              </c:strCache>
            </c:strRef>
          </c:tx>
          <c:invertIfNegative val="0"/>
          <c:dLbls>
            <c:delete val="1"/>
          </c:dLbls>
          <c:cat>
            <c:strRef>
              <c:f>Sheet1!$A$2:$A$3</c:f>
              <c:strCache>
                <c:ptCount val="2"/>
                <c:pt idx="0">
                  <c:v>2017年</c:v>
                </c:pt>
                <c:pt idx="1">
                  <c:v>2018年</c:v>
                </c:pt>
              </c:strCache>
            </c:strRef>
          </c:cat>
          <c:val>
            <c:numRef>
              <c:f>Sheet1!$B$2:$B$3</c:f>
              <c:numCache>
                <c:formatCode>General</c:formatCode>
                <c:ptCount val="2"/>
                <c:pt idx="0">
                  <c:v>152.73</c:v>
                </c:pt>
                <c:pt idx="1">
                  <c:v>183.84</c:v>
                </c:pt>
              </c:numCache>
            </c:numRef>
          </c:val>
        </c:ser>
        <c:dLbls>
          <c:showLegendKey val="0"/>
          <c:showVal val="0"/>
          <c:showCatName val="0"/>
          <c:showSerName val="0"/>
          <c:showPercent val="0"/>
          <c:showBubbleSize val="0"/>
        </c:dLbls>
        <c:gapWidth val="150"/>
        <c:overlap val="100"/>
        <c:axId val="111934464"/>
        <c:axId val="116346880"/>
      </c:barChart>
      <c:catAx>
        <c:axId val="1119344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6346880"/>
        <c:crosses val="autoZero"/>
        <c:auto val="1"/>
        <c:lblAlgn val="ctr"/>
        <c:lblOffset val="100"/>
        <c:noMultiLvlLbl val="0"/>
      </c:catAx>
      <c:valAx>
        <c:axId val="116346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19344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292f8c0-cdd3-4fa9-a33d-4f6a76d58367}"/>
      </c:ext>
    </c:extLst>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一般公共预算财政拨款</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c:v>
                </c:pt>
                <c:pt idx="1">
                  <c:v>医疗卫生支出</c:v>
                </c:pt>
                <c:pt idx="2">
                  <c:v>城乡社区支出</c:v>
                </c:pt>
                <c:pt idx="3">
                  <c:v>住房保障</c:v>
                </c:pt>
              </c:strCache>
            </c:strRef>
          </c:cat>
          <c:val>
            <c:numRef>
              <c:f>Sheet1!$B$2:$B$5</c:f>
              <c:numCache>
                <c:formatCode>General</c:formatCode>
                <c:ptCount val="4"/>
                <c:pt idx="0">
                  <c:v>11.72</c:v>
                </c:pt>
                <c:pt idx="1">
                  <c:v>6.35</c:v>
                </c:pt>
                <c:pt idx="2">
                  <c:v>149.89</c:v>
                </c:pt>
                <c:pt idx="3">
                  <c:v>15.88</c:v>
                </c:pt>
              </c:numCache>
            </c:numRef>
          </c:val>
        </c:ser>
        <c:dLbls>
          <c:showLegendKey val="0"/>
          <c:showVal val="0"/>
          <c:showCatName val="0"/>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8e3cdd7-3161-4dbb-8378-2f1b6deab1c2}"/>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1129</Words>
  <Characters>1185</Characters>
  <Lines>24</Lines>
  <Paragraphs>22</Paragraphs>
  <TotalTime>177</TotalTime>
  <ScaleCrop>false</ScaleCrop>
  <LinksUpToDate>false</LinksUpToDate>
  <CharactersWithSpaces>1222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2019-10-23T02:43:00Z</dcterms:created>
  <dc:creator>张彬茜</dc:creator>
  <cp:lastModifiedBy>马玲</cp:lastModifiedBy>
  <cp:lastPrinted>2019-10-25T08:19:00Z</cp:lastPrinted>
  <dcterms:modified xsi:type="dcterms:W3CDTF">2024-12-26T02:05:53Z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D8DCCE1F4BEB49F2BB3CFB59AA0672B3</vt:lpwstr>
  </property>
</Properties>
</file>