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B8921F">
      <w:pPr>
        <w:spacing w:line="600" w:lineRule="exact"/>
        <w:jc w:val="left"/>
        <w:outlineLvl w:val="0"/>
        <w:rPr>
          <w:rFonts w:ascii="方正小标宋简体" w:hAnsi="宋体" w:eastAsia="方正小标宋简体"/>
          <w:szCs w:val="21"/>
        </w:rPr>
      </w:pPr>
      <w:bookmarkStart w:id="0" w:name="_Toc15306267"/>
    </w:p>
    <w:p w14:paraId="6C5477AF">
      <w:pPr>
        <w:spacing w:line="600" w:lineRule="exact"/>
        <w:jc w:val="center"/>
        <w:outlineLvl w:val="0"/>
        <w:rPr>
          <w:rFonts w:ascii="方正小标宋简体" w:hAnsi="宋体" w:eastAsia="方正小标宋简体"/>
          <w:sz w:val="72"/>
          <w:szCs w:val="72"/>
        </w:rPr>
      </w:pPr>
    </w:p>
    <w:p w14:paraId="4D8D4499">
      <w:pPr>
        <w:spacing w:line="600" w:lineRule="exact"/>
        <w:jc w:val="center"/>
        <w:outlineLvl w:val="0"/>
        <w:rPr>
          <w:rFonts w:ascii="方正小标宋简体" w:hAnsi="宋体" w:eastAsia="方正小标宋简体"/>
          <w:sz w:val="72"/>
          <w:szCs w:val="72"/>
        </w:rPr>
      </w:pPr>
    </w:p>
    <w:bookmarkEnd w:id="0"/>
    <w:p w14:paraId="63C10E73">
      <w:pPr>
        <w:spacing w:line="360" w:lineRule="auto"/>
        <w:jc w:val="center"/>
        <w:rPr>
          <w:rFonts w:cs="方正小标宋简体"/>
          <w:sz w:val="72"/>
          <w:szCs w:val="72"/>
          <w:lang w:val="zh-CN"/>
        </w:rPr>
      </w:pPr>
      <w:r>
        <w:rPr>
          <w:rFonts w:cs="方正小标宋简体"/>
          <w:sz w:val="72"/>
          <w:szCs w:val="72"/>
          <w:lang w:val="zh-CN"/>
        </w:rPr>
        <w:t>2022</w:t>
      </w:r>
      <w:r>
        <w:rPr>
          <w:rFonts w:hint="eastAsia" w:cs="方正小标宋简体"/>
          <w:sz w:val="72"/>
          <w:szCs w:val="72"/>
          <w:lang w:val="zh-CN"/>
        </w:rPr>
        <w:t>年度</w:t>
      </w:r>
    </w:p>
    <w:p w14:paraId="0F1CBAB4">
      <w:pPr>
        <w:spacing w:line="240" w:lineRule="auto"/>
        <w:jc w:val="center"/>
        <w:rPr>
          <w:rFonts w:cs="方正小标宋简体"/>
          <w:sz w:val="72"/>
          <w:szCs w:val="72"/>
          <w:lang w:val="zh-CN"/>
        </w:rPr>
      </w:pPr>
      <w:r>
        <w:rPr>
          <w:rFonts w:hint="eastAsia" w:cs="方正小标宋简体"/>
          <w:sz w:val="72"/>
          <w:szCs w:val="72"/>
          <w:lang w:val="zh-CN"/>
        </w:rPr>
        <w:t>攀枝花市仁和区建设工程质量安全站单位决算编制说明</w:t>
      </w:r>
    </w:p>
    <w:p w14:paraId="331F8B38">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w:t>
      </w:r>
      <w:r>
        <w:rPr>
          <w:rFonts w:hint="eastAsia" w:ascii="黑体" w:hAnsi="黑体" w:eastAsia="黑体"/>
          <w:sz w:val="48"/>
          <w:szCs w:val="48"/>
          <w:lang w:val="en-US" w:eastAsia="zh-CN"/>
        </w:rPr>
        <w:t xml:space="preserve">  </w:t>
      </w:r>
      <w:r>
        <w:rPr>
          <w:rFonts w:hint="eastAsia" w:ascii="黑体" w:hAnsi="黑体" w:eastAsia="黑体"/>
          <w:sz w:val="48"/>
          <w:szCs w:val="48"/>
        </w:rPr>
        <w:t>录</w:t>
      </w:r>
    </w:p>
    <w:p w14:paraId="12F2976D">
      <w:pPr>
        <w:widowControl/>
        <w:jc w:val="center"/>
        <w:rPr>
          <w:rFonts w:ascii="黑体" w:hAnsi="黑体" w:eastAsia="黑体" w:cstheme="minorBidi"/>
          <w:sz w:val="28"/>
          <w:szCs w:val="28"/>
        </w:rPr>
      </w:pPr>
    </w:p>
    <w:p w14:paraId="5DDF3B4F">
      <w:pPr>
        <w:pStyle w:val="10"/>
        <w:rPr>
          <w:sz w:val="32"/>
          <w:szCs w:val="32"/>
        </w:rPr>
      </w:pPr>
      <w:r>
        <w:rPr>
          <w:rFonts w:hint="eastAsia"/>
          <w:sz w:val="32"/>
          <w:szCs w:val="32"/>
        </w:rPr>
        <w:t>公开时间：2023年</w:t>
      </w:r>
      <w:r>
        <w:rPr>
          <w:rFonts w:hint="eastAsia"/>
          <w:sz w:val="32"/>
          <w:szCs w:val="32"/>
          <w:lang w:val="en-US" w:eastAsia="zh-CN"/>
        </w:rPr>
        <w:t>9</w:t>
      </w:r>
      <w:r>
        <w:rPr>
          <w:rFonts w:hint="eastAsia"/>
          <w:sz w:val="32"/>
          <w:szCs w:val="32"/>
        </w:rPr>
        <w:t>月</w:t>
      </w:r>
      <w:r>
        <w:rPr>
          <w:rFonts w:hint="eastAsia"/>
          <w:sz w:val="32"/>
          <w:szCs w:val="32"/>
          <w:lang w:val="en-US" w:eastAsia="zh-CN"/>
        </w:rPr>
        <w:t>26</w:t>
      </w:r>
      <w:r>
        <w:rPr>
          <w:rFonts w:hint="eastAsia"/>
          <w:sz w:val="32"/>
          <w:szCs w:val="32"/>
        </w:rPr>
        <w:t>日</w:t>
      </w:r>
    </w:p>
    <w:p w14:paraId="7ADE464A"/>
    <w:p w14:paraId="5043E839">
      <w:pPr>
        <w:pStyle w:val="10"/>
        <w:adjustRightInd w:val="0"/>
        <w:snapToGrid w:val="0"/>
        <w:spacing w:before="0" w:line="440" w:lineRule="exact"/>
        <w:jc w:val="left"/>
        <w:rPr>
          <w:rFonts w:hint="default" w:ascii="Times New Roman" w:hAnsi="Times New Roman" w:eastAsia="宋体"/>
          <w:sz w:val="32"/>
          <w:szCs w:val="32"/>
          <w:lang w:val="en-US" w:eastAsia="zh-CN"/>
        </w:rPr>
      </w:pPr>
      <w:r>
        <w:rPr>
          <w:rFonts w:hint="eastAsia" w:ascii="Times New Roman" w:hAnsi="Times New Roman" w:eastAsia="宋体"/>
          <w:sz w:val="32"/>
          <w:szCs w:val="32"/>
        </w:rPr>
        <w:t>第一部分</w:t>
      </w:r>
      <w:r>
        <w:rPr>
          <w:rFonts w:ascii="Times New Roman" w:hAnsi="Times New Roman" w:eastAsia="宋体"/>
          <w:sz w:val="32"/>
          <w:szCs w:val="32"/>
        </w:rPr>
        <w:t xml:space="preserve"> </w:t>
      </w:r>
      <w:r>
        <w:rPr>
          <w:rFonts w:hint="eastAsia" w:ascii="Times New Roman" w:hAnsi="Times New Roman" w:eastAsia="宋体"/>
          <w:sz w:val="32"/>
          <w:szCs w:val="32"/>
        </w:rPr>
        <w:t>单位概况</w:t>
      </w:r>
      <w:r>
        <w:rPr>
          <w:rFonts w:hint="eastAsia" w:ascii="Times New Roman" w:hAnsi="Times New Roman" w:eastAsia="宋体"/>
          <w:sz w:val="32"/>
          <w:szCs w:val="32"/>
          <w:lang w:val="en-US" w:eastAsia="zh-CN"/>
        </w:rPr>
        <w:t xml:space="preserve">                                1</w:t>
      </w:r>
    </w:p>
    <w:p w14:paraId="177370EE">
      <w:pPr>
        <w:pStyle w:val="11"/>
        <w:numPr>
          <w:ilvl w:val="0"/>
          <w:numId w:val="0"/>
        </w:numPr>
        <w:adjustRightInd w:val="0"/>
        <w:snapToGrid w:val="0"/>
        <w:spacing w:line="440" w:lineRule="exact"/>
        <w:ind w:left="420" w:leftChars="0"/>
        <w:jc w:val="left"/>
        <w:rPr>
          <w:rFonts w:hint="default" w:eastAsia="宋体"/>
          <w:sz w:val="32"/>
          <w:szCs w:val="32"/>
          <w:lang w:val="en-US" w:eastAsia="zh-CN"/>
        </w:rPr>
      </w:pPr>
      <w:r>
        <w:rPr>
          <w:rFonts w:hint="eastAsia"/>
          <w:sz w:val="32"/>
          <w:szCs w:val="32"/>
          <w:lang w:eastAsia="zh-CN"/>
        </w:rPr>
        <w:t>一、</w:t>
      </w:r>
      <w:r>
        <w:rPr>
          <w:rFonts w:hint="eastAsia"/>
          <w:sz w:val="32"/>
          <w:szCs w:val="32"/>
        </w:rPr>
        <w:t>主要职责</w:t>
      </w:r>
      <w:r>
        <w:rPr>
          <w:rFonts w:hint="eastAsia"/>
          <w:sz w:val="32"/>
          <w:szCs w:val="32"/>
          <w:lang w:val="en-US" w:eastAsia="zh-CN"/>
        </w:rPr>
        <w:t xml:space="preserve">                                  1</w:t>
      </w:r>
    </w:p>
    <w:p w14:paraId="4372DDE5">
      <w:pPr>
        <w:pStyle w:val="11"/>
        <w:numPr>
          <w:ilvl w:val="0"/>
          <w:numId w:val="0"/>
        </w:numPr>
        <w:adjustRightInd w:val="0"/>
        <w:snapToGrid w:val="0"/>
        <w:spacing w:line="440" w:lineRule="exact"/>
        <w:ind w:left="420" w:leftChars="0"/>
        <w:jc w:val="left"/>
        <w:rPr>
          <w:rFonts w:hint="default" w:eastAsia="宋体"/>
          <w:sz w:val="32"/>
          <w:szCs w:val="32"/>
          <w:lang w:val="en-US" w:eastAsia="zh-CN"/>
        </w:rPr>
      </w:pPr>
      <w:r>
        <w:rPr>
          <w:rFonts w:hint="eastAsia"/>
          <w:sz w:val="32"/>
          <w:szCs w:val="32"/>
          <w:lang w:eastAsia="zh-CN"/>
        </w:rPr>
        <w:t>二、</w:t>
      </w:r>
      <w:r>
        <w:rPr>
          <w:rFonts w:hint="eastAsia"/>
          <w:sz w:val="32"/>
          <w:szCs w:val="32"/>
        </w:rPr>
        <w:t>机构设置</w:t>
      </w:r>
      <w:r>
        <w:rPr>
          <w:rFonts w:hint="eastAsia"/>
          <w:sz w:val="32"/>
          <w:szCs w:val="32"/>
          <w:lang w:val="en-US" w:eastAsia="zh-CN"/>
        </w:rPr>
        <w:t xml:space="preserve">                                  1</w:t>
      </w:r>
    </w:p>
    <w:p w14:paraId="06A93F26">
      <w:pPr>
        <w:pStyle w:val="10"/>
        <w:adjustRightInd w:val="0"/>
        <w:snapToGrid w:val="0"/>
        <w:spacing w:before="0" w:line="440" w:lineRule="exact"/>
        <w:jc w:val="left"/>
        <w:rPr>
          <w:rFonts w:hint="default" w:ascii="Times New Roman" w:hAnsi="Times New Roman" w:eastAsia="宋体"/>
          <w:sz w:val="32"/>
          <w:szCs w:val="32"/>
          <w:lang w:val="en-US" w:eastAsia="zh-CN"/>
        </w:rPr>
      </w:pPr>
      <w:r>
        <w:rPr>
          <w:rFonts w:hint="eastAsia" w:ascii="Times New Roman" w:hAnsi="Times New Roman" w:eastAsia="宋体"/>
          <w:sz w:val="32"/>
          <w:szCs w:val="32"/>
        </w:rPr>
        <w:t>第二部分 2022年度单位决算情况说明</w:t>
      </w:r>
      <w:r>
        <w:rPr>
          <w:rFonts w:hint="eastAsia" w:ascii="Times New Roman" w:hAnsi="Times New Roman" w:eastAsia="宋体"/>
          <w:sz w:val="32"/>
          <w:szCs w:val="32"/>
          <w:lang w:val="en-US" w:eastAsia="zh-CN"/>
        </w:rPr>
        <w:t xml:space="preserve">               2</w:t>
      </w:r>
    </w:p>
    <w:p w14:paraId="644F465A">
      <w:pPr>
        <w:pStyle w:val="11"/>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一、收入支出决算总体情况说明</w:t>
      </w:r>
      <w:r>
        <w:rPr>
          <w:rFonts w:hint="eastAsia"/>
          <w:sz w:val="32"/>
          <w:szCs w:val="32"/>
          <w:lang w:val="en-US" w:eastAsia="zh-CN"/>
        </w:rPr>
        <w:t xml:space="preserve">                  2                 </w:t>
      </w:r>
    </w:p>
    <w:p w14:paraId="1BBF7DDC">
      <w:pPr>
        <w:pStyle w:val="11"/>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二、收入决算情况说明</w:t>
      </w:r>
      <w:r>
        <w:rPr>
          <w:rFonts w:hint="eastAsia"/>
          <w:sz w:val="32"/>
          <w:szCs w:val="32"/>
          <w:lang w:val="en-US" w:eastAsia="zh-CN"/>
        </w:rPr>
        <w:t xml:space="preserve">                          2</w:t>
      </w:r>
    </w:p>
    <w:p w14:paraId="765886C4">
      <w:pPr>
        <w:pStyle w:val="11"/>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三、支出决算情况说明</w:t>
      </w:r>
      <w:r>
        <w:rPr>
          <w:rFonts w:hint="eastAsia"/>
          <w:sz w:val="32"/>
          <w:szCs w:val="32"/>
          <w:lang w:val="en-US" w:eastAsia="zh-CN"/>
        </w:rPr>
        <w:t xml:space="preserve">                          3</w:t>
      </w:r>
    </w:p>
    <w:p w14:paraId="1262E99A">
      <w:pPr>
        <w:pStyle w:val="11"/>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四、财政拨款收入支出决算总体情况说明</w:t>
      </w:r>
      <w:r>
        <w:rPr>
          <w:rFonts w:hint="eastAsia"/>
          <w:sz w:val="32"/>
          <w:szCs w:val="32"/>
          <w:lang w:val="en-US" w:eastAsia="zh-CN"/>
        </w:rPr>
        <w:t xml:space="preserve">          3</w:t>
      </w:r>
    </w:p>
    <w:p w14:paraId="64AEFA8D">
      <w:pPr>
        <w:pStyle w:val="11"/>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五、一般公共预算财政拨款支出决算情况说明</w:t>
      </w:r>
      <w:r>
        <w:rPr>
          <w:rFonts w:hint="eastAsia"/>
          <w:sz w:val="32"/>
          <w:szCs w:val="32"/>
          <w:lang w:val="en-US" w:eastAsia="zh-CN"/>
        </w:rPr>
        <w:t xml:space="preserve">      4</w:t>
      </w:r>
    </w:p>
    <w:p w14:paraId="522F8AF3">
      <w:pPr>
        <w:pStyle w:val="11"/>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六、一般公共预算财政拨款基本支出决算情况说明</w:t>
      </w:r>
      <w:r>
        <w:rPr>
          <w:rFonts w:hint="eastAsia"/>
          <w:sz w:val="32"/>
          <w:szCs w:val="32"/>
          <w:lang w:val="en-US" w:eastAsia="zh-CN"/>
        </w:rPr>
        <w:t xml:space="preserve">  6</w:t>
      </w:r>
    </w:p>
    <w:p w14:paraId="69194E16">
      <w:pPr>
        <w:pStyle w:val="11"/>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七、财政拨款“三公”经费支出决算情况说明</w:t>
      </w:r>
      <w:r>
        <w:rPr>
          <w:rFonts w:hint="eastAsia"/>
          <w:sz w:val="32"/>
          <w:szCs w:val="32"/>
          <w:lang w:val="en-US" w:eastAsia="zh-CN"/>
        </w:rPr>
        <w:t xml:space="preserve">      6</w:t>
      </w:r>
    </w:p>
    <w:p w14:paraId="552D853B">
      <w:pPr>
        <w:pStyle w:val="11"/>
        <w:adjustRightInd w:val="0"/>
        <w:snapToGrid w:val="0"/>
        <w:spacing w:line="440" w:lineRule="exact"/>
        <w:jc w:val="left"/>
        <w:rPr>
          <w:rFonts w:hint="default" w:ascii="仿宋" w:hAnsi="仿宋" w:eastAsia="宋体" w:cstheme="minorBidi"/>
          <w:sz w:val="32"/>
          <w:szCs w:val="32"/>
          <w:lang w:val="en-US" w:eastAsia="zh-CN"/>
        </w:rPr>
      </w:pPr>
      <w:r>
        <w:rPr>
          <w:rFonts w:hint="eastAsia"/>
          <w:sz w:val="32"/>
          <w:szCs w:val="32"/>
        </w:rPr>
        <w:t>八、政府性基金预算支出决算情况说明</w:t>
      </w:r>
      <w:r>
        <w:rPr>
          <w:rFonts w:hint="eastAsia"/>
          <w:sz w:val="32"/>
          <w:szCs w:val="32"/>
          <w:lang w:val="en-US" w:eastAsia="zh-CN"/>
        </w:rPr>
        <w:t xml:space="preserve">            7</w:t>
      </w:r>
    </w:p>
    <w:p w14:paraId="5DC4591E">
      <w:pPr>
        <w:pStyle w:val="11"/>
        <w:adjustRightInd w:val="0"/>
        <w:snapToGrid w:val="0"/>
        <w:spacing w:line="440" w:lineRule="exact"/>
        <w:jc w:val="left"/>
        <w:rPr>
          <w:rFonts w:hint="default" w:eastAsia="宋体"/>
          <w:sz w:val="32"/>
          <w:szCs w:val="32"/>
          <w:lang w:val="en-US" w:eastAsia="zh-CN"/>
        </w:rPr>
      </w:pPr>
      <w:r>
        <w:rPr>
          <w:rFonts w:hint="eastAsia"/>
          <w:sz w:val="32"/>
          <w:szCs w:val="32"/>
        </w:rPr>
        <w:t>九、国有资本经营预算支出决算情况说明</w:t>
      </w:r>
      <w:r>
        <w:rPr>
          <w:rFonts w:hint="eastAsia"/>
          <w:sz w:val="32"/>
          <w:szCs w:val="32"/>
          <w:lang w:val="en-US" w:eastAsia="zh-CN"/>
        </w:rPr>
        <w:t xml:space="preserve">          7</w:t>
      </w:r>
    </w:p>
    <w:p w14:paraId="3B1ED05A">
      <w:pPr>
        <w:pStyle w:val="11"/>
        <w:adjustRightInd w:val="0"/>
        <w:snapToGrid w:val="0"/>
        <w:spacing w:line="440" w:lineRule="exact"/>
        <w:jc w:val="left"/>
        <w:rPr>
          <w:rFonts w:hint="default" w:eastAsia="宋体"/>
          <w:sz w:val="32"/>
          <w:szCs w:val="32"/>
          <w:lang w:val="en-US" w:eastAsia="zh-CN"/>
        </w:rPr>
      </w:pPr>
      <w:r>
        <w:rPr>
          <w:rFonts w:hint="eastAsia"/>
          <w:sz w:val="32"/>
          <w:szCs w:val="32"/>
        </w:rPr>
        <w:t>十、其他重要事项的情况说明</w:t>
      </w:r>
      <w:r>
        <w:rPr>
          <w:rFonts w:hint="eastAsia"/>
          <w:sz w:val="32"/>
          <w:szCs w:val="32"/>
          <w:lang w:val="en-US" w:eastAsia="zh-CN"/>
        </w:rPr>
        <w:t xml:space="preserve">                    7</w:t>
      </w:r>
    </w:p>
    <w:p w14:paraId="02D760AC">
      <w:pPr>
        <w:pStyle w:val="10"/>
        <w:adjustRightInd w:val="0"/>
        <w:snapToGrid w:val="0"/>
        <w:spacing w:before="0" w:line="440" w:lineRule="exact"/>
        <w:jc w:val="left"/>
        <w:rPr>
          <w:rFonts w:hint="default" w:ascii="Times New Roman" w:hAnsi="Times New Roman" w:eastAsia="宋体"/>
          <w:sz w:val="32"/>
          <w:szCs w:val="32"/>
          <w:lang w:val="en-US" w:eastAsia="zh-CN"/>
        </w:rPr>
      </w:pPr>
      <w:r>
        <w:rPr>
          <w:rFonts w:hint="eastAsia" w:ascii="Times New Roman" w:hAnsi="Times New Roman" w:eastAsia="宋体"/>
          <w:sz w:val="32"/>
          <w:szCs w:val="32"/>
        </w:rPr>
        <w:t>第三部分</w:t>
      </w:r>
      <w:r>
        <w:rPr>
          <w:rFonts w:ascii="Times New Roman" w:hAnsi="Times New Roman" w:eastAsia="宋体"/>
          <w:sz w:val="32"/>
          <w:szCs w:val="32"/>
        </w:rPr>
        <w:t xml:space="preserve"> </w:t>
      </w:r>
      <w:r>
        <w:rPr>
          <w:rFonts w:hint="eastAsia" w:ascii="Times New Roman" w:hAnsi="Times New Roman" w:eastAsia="宋体"/>
          <w:sz w:val="32"/>
          <w:szCs w:val="32"/>
        </w:rPr>
        <w:t>名词解释</w:t>
      </w:r>
      <w:r>
        <w:rPr>
          <w:rFonts w:hint="eastAsia" w:ascii="Times New Roman" w:hAnsi="Times New Roman" w:eastAsia="宋体"/>
          <w:sz w:val="32"/>
          <w:szCs w:val="32"/>
          <w:lang w:val="en-US" w:eastAsia="zh-CN"/>
        </w:rPr>
        <w:t xml:space="preserve">                                9</w:t>
      </w:r>
    </w:p>
    <w:p w14:paraId="6B266911">
      <w:pPr>
        <w:pStyle w:val="10"/>
        <w:adjustRightInd w:val="0"/>
        <w:snapToGrid w:val="0"/>
        <w:spacing w:before="0" w:line="440" w:lineRule="exact"/>
        <w:jc w:val="left"/>
        <w:rPr>
          <w:rFonts w:hint="default" w:ascii="Times New Roman" w:hAnsi="Times New Roman" w:eastAsia="宋体"/>
          <w:sz w:val="32"/>
          <w:szCs w:val="32"/>
          <w:lang w:val="en-US" w:eastAsia="zh-CN"/>
        </w:rPr>
      </w:pPr>
      <w:r>
        <w:rPr>
          <w:rFonts w:hint="eastAsia" w:ascii="Times New Roman" w:hAnsi="Times New Roman" w:eastAsia="宋体"/>
          <w:sz w:val="32"/>
          <w:szCs w:val="32"/>
        </w:rPr>
        <w:t>第四部分</w:t>
      </w:r>
      <w:r>
        <w:rPr>
          <w:rFonts w:ascii="Times New Roman" w:hAnsi="Times New Roman" w:eastAsia="宋体"/>
          <w:sz w:val="32"/>
          <w:szCs w:val="32"/>
        </w:rPr>
        <w:t xml:space="preserve"> </w:t>
      </w:r>
      <w:r>
        <w:rPr>
          <w:rFonts w:hint="eastAsia" w:ascii="Times New Roman" w:hAnsi="Times New Roman" w:eastAsia="宋体"/>
          <w:sz w:val="32"/>
          <w:szCs w:val="32"/>
        </w:rPr>
        <w:t>附件</w:t>
      </w:r>
      <w:r>
        <w:rPr>
          <w:rFonts w:hint="eastAsia" w:ascii="Times New Roman" w:hAnsi="Times New Roman" w:eastAsia="宋体"/>
          <w:sz w:val="32"/>
          <w:szCs w:val="32"/>
          <w:lang w:val="en-US" w:eastAsia="zh-CN"/>
        </w:rPr>
        <w:t xml:space="preserve">                                   12</w:t>
      </w:r>
    </w:p>
    <w:p w14:paraId="1F5C9271">
      <w:pPr>
        <w:pStyle w:val="10"/>
        <w:adjustRightInd w:val="0"/>
        <w:snapToGrid w:val="0"/>
        <w:spacing w:before="0" w:line="440" w:lineRule="exact"/>
        <w:jc w:val="left"/>
        <w:rPr>
          <w:rFonts w:hint="default" w:ascii="Times New Roman" w:hAnsi="Times New Roman" w:eastAsia="宋体"/>
          <w:sz w:val="32"/>
          <w:szCs w:val="32"/>
          <w:lang w:val="en-US" w:eastAsia="zh-CN"/>
        </w:rPr>
      </w:pPr>
      <w:r>
        <w:rPr>
          <w:rFonts w:hint="eastAsia" w:ascii="Times New Roman" w:hAnsi="Times New Roman" w:eastAsia="宋体"/>
          <w:sz w:val="32"/>
          <w:szCs w:val="32"/>
        </w:rPr>
        <w:t>第五部分</w:t>
      </w:r>
      <w:r>
        <w:rPr>
          <w:rFonts w:ascii="Times New Roman" w:hAnsi="Times New Roman" w:eastAsia="宋体"/>
          <w:sz w:val="32"/>
          <w:szCs w:val="32"/>
        </w:rPr>
        <w:t xml:space="preserve"> </w:t>
      </w:r>
      <w:r>
        <w:rPr>
          <w:rFonts w:hint="eastAsia" w:ascii="Times New Roman" w:hAnsi="Times New Roman" w:eastAsia="宋体"/>
          <w:sz w:val="32"/>
          <w:szCs w:val="32"/>
        </w:rPr>
        <w:t>附表</w:t>
      </w:r>
      <w:r>
        <w:rPr>
          <w:rFonts w:hint="eastAsia" w:ascii="Times New Roman" w:hAnsi="Times New Roman" w:eastAsia="宋体"/>
          <w:sz w:val="32"/>
          <w:szCs w:val="32"/>
          <w:lang w:val="en-US" w:eastAsia="zh-CN"/>
        </w:rPr>
        <w:t xml:space="preserve">                                   13</w:t>
      </w:r>
    </w:p>
    <w:p w14:paraId="77116571">
      <w:pPr>
        <w:pStyle w:val="11"/>
        <w:adjustRightInd w:val="0"/>
        <w:snapToGrid w:val="0"/>
        <w:spacing w:line="440" w:lineRule="exact"/>
        <w:jc w:val="left"/>
        <w:rPr>
          <w:sz w:val="32"/>
          <w:szCs w:val="32"/>
        </w:rPr>
      </w:pPr>
      <w:r>
        <w:rPr>
          <w:rFonts w:hint="eastAsia"/>
          <w:sz w:val="32"/>
          <w:szCs w:val="32"/>
        </w:rPr>
        <w:t>一、收入支出决算总表</w:t>
      </w:r>
    </w:p>
    <w:p w14:paraId="648DD584">
      <w:pPr>
        <w:pStyle w:val="11"/>
        <w:adjustRightInd w:val="0"/>
        <w:snapToGrid w:val="0"/>
        <w:spacing w:line="440" w:lineRule="exact"/>
        <w:jc w:val="left"/>
        <w:rPr>
          <w:sz w:val="32"/>
          <w:szCs w:val="32"/>
        </w:rPr>
      </w:pPr>
      <w:r>
        <w:rPr>
          <w:rFonts w:hint="eastAsia"/>
          <w:sz w:val="32"/>
          <w:szCs w:val="32"/>
        </w:rPr>
        <w:t>二、收入决算表</w:t>
      </w:r>
    </w:p>
    <w:p w14:paraId="3744910B">
      <w:pPr>
        <w:pStyle w:val="11"/>
        <w:adjustRightInd w:val="0"/>
        <w:snapToGrid w:val="0"/>
        <w:spacing w:line="440" w:lineRule="exact"/>
        <w:jc w:val="left"/>
        <w:rPr>
          <w:sz w:val="32"/>
          <w:szCs w:val="32"/>
        </w:rPr>
      </w:pPr>
      <w:r>
        <w:rPr>
          <w:rFonts w:hint="eastAsia"/>
          <w:sz w:val="32"/>
          <w:szCs w:val="32"/>
        </w:rPr>
        <w:t>三、支出决算表</w:t>
      </w:r>
    </w:p>
    <w:p w14:paraId="357F69F2">
      <w:pPr>
        <w:pStyle w:val="11"/>
        <w:adjustRightInd w:val="0"/>
        <w:snapToGrid w:val="0"/>
        <w:spacing w:line="440" w:lineRule="exact"/>
        <w:jc w:val="left"/>
        <w:rPr>
          <w:sz w:val="32"/>
          <w:szCs w:val="32"/>
        </w:rPr>
      </w:pPr>
      <w:r>
        <w:rPr>
          <w:rFonts w:hint="eastAsia"/>
          <w:sz w:val="32"/>
          <w:szCs w:val="32"/>
        </w:rPr>
        <w:t>四、财政拨款收入支出决算总表</w:t>
      </w:r>
    </w:p>
    <w:p w14:paraId="0AD7BAA1">
      <w:pPr>
        <w:pStyle w:val="11"/>
        <w:adjustRightInd w:val="0"/>
        <w:snapToGrid w:val="0"/>
        <w:spacing w:line="440" w:lineRule="exact"/>
        <w:jc w:val="left"/>
        <w:rPr>
          <w:sz w:val="32"/>
          <w:szCs w:val="32"/>
        </w:rPr>
      </w:pPr>
      <w:r>
        <w:rPr>
          <w:rFonts w:hint="eastAsia"/>
          <w:sz w:val="32"/>
          <w:szCs w:val="32"/>
        </w:rPr>
        <w:t>五、财政拨款支出决算明细表</w:t>
      </w:r>
    </w:p>
    <w:p w14:paraId="7E8448F7">
      <w:pPr>
        <w:pStyle w:val="11"/>
        <w:adjustRightInd w:val="0"/>
        <w:snapToGrid w:val="0"/>
        <w:spacing w:line="440" w:lineRule="exact"/>
        <w:jc w:val="left"/>
        <w:rPr>
          <w:sz w:val="32"/>
          <w:szCs w:val="32"/>
        </w:rPr>
      </w:pPr>
      <w:r>
        <w:rPr>
          <w:rFonts w:hint="eastAsia"/>
          <w:sz w:val="32"/>
          <w:szCs w:val="32"/>
        </w:rPr>
        <w:t>六、一般公共预算财政拨款支出决算表</w:t>
      </w:r>
    </w:p>
    <w:p w14:paraId="1F2D4906">
      <w:pPr>
        <w:pStyle w:val="11"/>
        <w:adjustRightInd w:val="0"/>
        <w:snapToGrid w:val="0"/>
        <w:spacing w:line="440" w:lineRule="exact"/>
        <w:jc w:val="left"/>
        <w:rPr>
          <w:sz w:val="32"/>
          <w:szCs w:val="32"/>
        </w:rPr>
      </w:pPr>
      <w:r>
        <w:rPr>
          <w:rFonts w:hint="eastAsia"/>
          <w:sz w:val="32"/>
          <w:szCs w:val="32"/>
        </w:rPr>
        <w:t>七、一般公共预算财政拨款支出决算明细表</w:t>
      </w:r>
    </w:p>
    <w:p w14:paraId="03A370A6">
      <w:pPr>
        <w:pStyle w:val="11"/>
        <w:adjustRightInd w:val="0"/>
        <w:snapToGrid w:val="0"/>
        <w:spacing w:line="440" w:lineRule="exact"/>
        <w:jc w:val="left"/>
        <w:rPr>
          <w:sz w:val="32"/>
          <w:szCs w:val="32"/>
        </w:rPr>
      </w:pPr>
      <w:r>
        <w:rPr>
          <w:rFonts w:hint="eastAsia"/>
          <w:sz w:val="32"/>
          <w:szCs w:val="32"/>
        </w:rPr>
        <w:t>八、一般公共预算财政拨款基本支出决算明细表</w:t>
      </w:r>
    </w:p>
    <w:p w14:paraId="3487374D">
      <w:pPr>
        <w:pStyle w:val="11"/>
        <w:adjustRightInd w:val="0"/>
        <w:snapToGrid w:val="0"/>
        <w:spacing w:line="440" w:lineRule="exact"/>
        <w:jc w:val="left"/>
        <w:rPr>
          <w:sz w:val="32"/>
          <w:szCs w:val="32"/>
        </w:rPr>
      </w:pPr>
      <w:r>
        <w:rPr>
          <w:rFonts w:hint="eastAsia"/>
          <w:sz w:val="32"/>
          <w:szCs w:val="32"/>
        </w:rPr>
        <w:t>九、一般公共预算财政拨款项目支出决算表</w:t>
      </w:r>
    </w:p>
    <w:p w14:paraId="1A96F6B4">
      <w:pPr>
        <w:pStyle w:val="11"/>
        <w:adjustRightInd w:val="0"/>
        <w:snapToGrid w:val="0"/>
        <w:spacing w:line="440" w:lineRule="exact"/>
        <w:jc w:val="left"/>
        <w:rPr>
          <w:sz w:val="32"/>
          <w:szCs w:val="32"/>
        </w:rPr>
      </w:pPr>
      <w:r>
        <w:rPr>
          <w:rFonts w:hint="eastAsia"/>
          <w:sz w:val="32"/>
          <w:szCs w:val="32"/>
        </w:rPr>
        <w:t>十、政府性基金预算财政拨款收入支出决算表</w:t>
      </w:r>
    </w:p>
    <w:p w14:paraId="0FF77D60">
      <w:pPr>
        <w:pStyle w:val="11"/>
        <w:adjustRightInd w:val="0"/>
        <w:snapToGrid w:val="0"/>
        <w:spacing w:line="440" w:lineRule="exact"/>
        <w:jc w:val="left"/>
        <w:rPr>
          <w:sz w:val="32"/>
          <w:szCs w:val="32"/>
        </w:rPr>
      </w:pPr>
      <w:r>
        <w:rPr>
          <w:rFonts w:hint="eastAsia"/>
          <w:sz w:val="32"/>
          <w:szCs w:val="32"/>
        </w:rPr>
        <w:t>十一、国有资本经营预算财政拨款收入支出决算表</w:t>
      </w:r>
    </w:p>
    <w:p w14:paraId="229FBA16">
      <w:pPr>
        <w:pStyle w:val="11"/>
        <w:adjustRightInd w:val="0"/>
        <w:snapToGrid w:val="0"/>
        <w:spacing w:line="440" w:lineRule="exact"/>
        <w:jc w:val="left"/>
        <w:rPr>
          <w:sz w:val="32"/>
          <w:szCs w:val="32"/>
        </w:rPr>
      </w:pPr>
      <w:r>
        <w:rPr>
          <w:rFonts w:hint="eastAsia"/>
          <w:sz w:val="32"/>
          <w:szCs w:val="32"/>
        </w:rPr>
        <w:t>十二、国有资本经营预算财政拨款支出决算表</w:t>
      </w:r>
    </w:p>
    <w:p w14:paraId="01EF37AF">
      <w:pPr>
        <w:pStyle w:val="11"/>
        <w:adjustRightInd w:val="0"/>
        <w:snapToGrid w:val="0"/>
        <w:spacing w:line="440" w:lineRule="exact"/>
        <w:jc w:val="left"/>
        <w:rPr>
          <w:sz w:val="32"/>
          <w:szCs w:val="32"/>
        </w:rPr>
      </w:pPr>
      <w:r>
        <w:rPr>
          <w:rFonts w:hint="eastAsia"/>
          <w:sz w:val="32"/>
          <w:szCs w:val="32"/>
        </w:rPr>
        <w:t>十三、财政拨款“三公”经费支出决算表</w:t>
      </w:r>
    </w:p>
    <w:p w14:paraId="3491ADC8">
      <w:pPr>
        <w:widowControl/>
        <w:spacing w:line="440" w:lineRule="exact"/>
        <w:jc w:val="center"/>
        <w:rPr>
          <w:rFonts w:ascii="仿宋" w:hAnsi="仿宋" w:eastAsia="仿宋"/>
          <w:b/>
          <w:sz w:val="24"/>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14:paraId="005F530E">
      <w:pPr>
        <w:widowControl/>
        <w:spacing w:line="440" w:lineRule="exact"/>
        <w:jc w:val="center"/>
        <w:rPr>
          <w:rStyle w:val="24"/>
          <w:rFonts w:ascii="仿宋" w:hAnsi="仿宋" w:eastAsia="仿宋"/>
          <w:b w:val="0"/>
          <w:sz w:val="24"/>
          <w:szCs w:val="24"/>
        </w:rPr>
      </w:pPr>
      <w:r>
        <w:rPr>
          <w:rStyle w:val="24"/>
          <w:rFonts w:hint="eastAsia" w:ascii="黑体" w:hAnsi="黑体" w:eastAsia="黑体"/>
        </w:rPr>
        <w:t>第一部分 单位概况</w:t>
      </w:r>
    </w:p>
    <w:p w14:paraId="38150542">
      <w:pPr>
        <w:pStyle w:val="4"/>
        <w:keepNext w:val="0"/>
        <w:keepLines w:val="0"/>
        <w:spacing w:line="415" w:lineRule="auto"/>
        <w:rPr>
          <w:rFonts w:ascii="黑体" w:hAnsi="Times New Roman" w:eastAsia="黑体" w:cs="Times New Roman"/>
          <w:b w:val="0"/>
          <w:bCs w:val="0"/>
        </w:rPr>
      </w:pPr>
      <w:bookmarkStart w:id="1" w:name="_Toc15396600"/>
      <w:bookmarkStart w:id="2" w:name="_Toc15377197"/>
    </w:p>
    <w:p w14:paraId="796FE883">
      <w:pPr>
        <w:pStyle w:val="2"/>
        <w:adjustRightInd w:val="0"/>
        <w:snapToGrid w:val="0"/>
        <w:spacing w:before="93" w:line="600" w:lineRule="exact"/>
        <w:ind w:firstLine="640" w:firstLineChars="200"/>
        <w:outlineLvl w:val="2"/>
        <w:rPr>
          <w:rFonts w:ascii="黑体" w:hAnsi="黑体" w:eastAsia="黑体"/>
          <w:kern w:val="2"/>
          <w:sz w:val="32"/>
          <w:szCs w:val="32"/>
        </w:rPr>
      </w:pPr>
      <w:r>
        <w:rPr>
          <w:rFonts w:hint="eastAsia" w:ascii="黑体" w:hAnsi="黑体" w:eastAsia="黑体"/>
          <w:kern w:val="2"/>
          <w:sz w:val="32"/>
          <w:szCs w:val="32"/>
        </w:rPr>
        <w:t>一、主要职责</w:t>
      </w:r>
    </w:p>
    <w:p w14:paraId="47D1BB40">
      <w:pPr>
        <w:pStyle w:val="2"/>
        <w:adjustRightInd w:val="0"/>
        <w:snapToGrid w:val="0"/>
        <w:spacing w:before="93"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依据中华人民共和国建筑法、《安全生产法》、国务院《建设工程质量管理条例》、《建设工程安全生产管理条例》等法律、法规、规章，按工程建设标准、规范、规程、审查合格的施工图设计文件，对我区行政区域内房屋建筑和市政基础设施的工程质量和施工现场安全生产文明施工进行强制性监督管理。</w:t>
      </w:r>
    </w:p>
    <w:p w14:paraId="125AFD7A">
      <w:pPr>
        <w:pStyle w:val="2"/>
        <w:adjustRightInd w:val="0"/>
        <w:snapToGrid w:val="0"/>
        <w:spacing w:before="93" w:line="600" w:lineRule="exact"/>
        <w:ind w:firstLine="640" w:firstLineChars="200"/>
        <w:outlineLvl w:val="2"/>
        <w:rPr>
          <w:rFonts w:hint="eastAsia" w:ascii="黑体" w:hAnsi="黑体" w:eastAsia="黑体"/>
          <w:kern w:val="2"/>
          <w:sz w:val="32"/>
          <w:szCs w:val="32"/>
        </w:rPr>
      </w:pPr>
      <w:r>
        <w:rPr>
          <w:rFonts w:hint="eastAsia" w:ascii="黑体" w:hAnsi="黑体" w:eastAsia="黑体"/>
          <w:kern w:val="2"/>
          <w:sz w:val="32"/>
          <w:szCs w:val="32"/>
        </w:rPr>
        <w:t>二、机构设置</w:t>
      </w:r>
    </w:p>
    <w:p w14:paraId="2A6CBC36">
      <w:pPr>
        <w:pStyle w:val="2"/>
        <w:adjustRightInd w:val="0"/>
        <w:snapToGrid w:val="0"/>
        <w:spacing w:before="93" w:line="600" w:lineRule="exact"/>
        <w:ind w:firstLine="640" w:firstLineChars="200"/>
        <w:outlineLvl w:val="2"/>
        <w:rPr>
          <w:rFonts w:ascii="仿宋" w:hAnsi="仿宋" w:eastAsia="仿宋"/>
          <w:kern w:val="2"/>
          <w:sz w:val="32"/>
          <w:szCs w:val="32"/>
        </w:rPr>
      </w:pPr>
      <w:r>
        <w:rPr>
          <w:rFonts w:hint="eastAsia" w:ascii="仿宋" w:hAnsi="仿宋" w:eastAsia="仿宋"/>
          <w:kern w:val="2"/>
          <w:sz w:val="32"/>
          <w:szCs w:val="32"/>
        </w:rPr>
        <w:t>攀枝花市仁和区建设工程质量安全站是攀枝花市仁和区住房和城乡建设局下属副科级单位，编制15人，其中副科级1名。</w:t>
      </w:r>
    </w:p>
    <w:bookmarkEnd w:id="1"/>
    <w:bookmarkEnd w:id="2"/>
    <w:p w14:paraId="67DFCFE8">
      <w:pPr>
        <w:widowControl/>
        <w:jc w:val="left"/>
        <w:rPr>
          <w:rFonts w:hint="eastAsia" w:ascii="黑体" w:hAnsi="黑体" w:eastAsia="黑体"/>
          <w:b w:val="0"/>
        </w:rPr>
      </w:pPr>
      <w:bookmarkStart w:id="3" w:name="_Toc15377204"/>
      <w:bookmarkStart w:id="4" w:name="_Toc15396602"/>
    </w:p>
    <w:p w14:paraId="47F7E4E0">
      <w:pPr>
        <w:widowControl/>
        <w:jc w:val="left"/>
        <w:rPr>
          <w:rFonts w:hint="eastAsia" w:ascii="黑体" w:hAnsi="黑体" w:eastAsia="黑体"/>
          <w:b w:val="0"/>
        </w:rPr>
      </w:pPr>
    </w:p>
    <w:p w14:paraId="76906C43">
      <w:pPr>
        <w:widowControl/>
        <w:jc w:val="left"/>
        <w:rPr>
          <w:rFonts w:hint="eastAsia" w:ascii="黑体" w:hAnsi="黑体" w:eastAsia="黑体"/>
          <w:b w:val="0"/>
        </w:rPr>
      </w:pPr>
    </w:p>
    <w:p w14:paraId="7A94A9E1">
      <w:pPr>
        <w:widowControl/>
        <w:jc w:val="left"/>
        <w:rPr>
          <w:rFonts w:hint="eastAsia" w:ascii="黑体" w:hAnsi="黑体" w:eastAsia="黑体"/>
          <w:b w:val="0"/>
        </w:rPr>
      </w:pPr>
    </w:p>
    <w:p w14:paraId="704BFAE7">
      <w:pPr>
        <w:widowControl/>
        <w:jc w:val="left"/>
        <w:rPr>
          <w:rFonts w:hint="eastAsia" w:ascii="黑体" w:hAnsi="黑体" w:eastAsia="黑体"/>
          <w:b w:val="0"/>
        </w:rPr>
      </w:pPr>
    </w:p>
    <w:p w14:paraId="3313CB7C">
      <w:pPr>
        <w:widowControl/>
        <w:jc w:val="left"/>
        <w:rPr>
          <w:rFonts w:hint="eastAsia" w:ascii="黑体" w:hAnsi="黑体" w:eastAsia="黑体"/>
          <w:b w:val="0"/>
        </w:rPr>
      </w:pPr>
    </w:p>
    <w:p w14:paraId="7760D1B6">
      <w:pPr>
        <w:widowControl/>
        <w:jc w:val="left"/>
        <w:rPr>
          <w:rFonts w:hint="eastAsia" w:ascii="黑体" w:hAnsi="黑体" w:eastAsia="黑体"/>
          <w:b w:val="0"/>
        </w:rPr>
      </w:pPr>
    </w:p>
    <w:p w14:paraId="4E1F7A06">
      <w:pPr>
        <w:widowControl/>
        <w:jc w:val="left"/>
        <w:rPr>
          <w:rFonts w:hint="eastAsia" w:ascii="黑体" w:hAnsi="黑体" w:eastAsia="黑体"/>
          <w:b w:val="0"/>
        </w:rPr>
      </w:pPr>
    </w:p>
    <w:p w14:paraId="60C1321B">
      <w:pPr>
        <w:widowControl/>
        <w:jc w:val="left"/>
        <w:rPr>
          <w:rFonts w:hint="eastAsia" w:ascii="黑体" w:hAnsi="黑体" w:eastAsia="黑体"/>
          <w:b w:val="0"/>
        </w:rPr>
      </w:pPr>
    </w:p>
    <w:p w14:paraId="53A40678">
      <w:pPr>
        <w:widowControl/>
        <w:jc w:val="left"/>
        <w:rPr>
          <w:rFonts w:hint="eastAsia" w:ascii="黑体" w:hAnsi="黑体" w:eastAsia="黑体"/>
          <w:b w:val="0"/>
        </w:rPr>
      </w:pPr>
    </w:p>
    <w:p w14:paraId="68DFF1F5">
      <w:pPr>
        <w:widowControl/>
        <w:jc w:val="left"/>
        <w:rPr>
          <w:rFonts w:hint="eastAsia" w:ascii="黑体" w:hAnsi="黑体" w:eastAsia="黑体"/>
          <w:b w:val="0"/>
        </w:rPr>
      </w:pPr>
    </w:p>
    <w:p w14:paraId="67A89ABD">
      <w:pPr>
        <w:widowControl/>
        <w:jc w:val="left"/>
        <w:rPr>
          <w:rFonts w:hint="eastAsia" w:ascii="黑体" w:hAnsi="黑体" w:eastAsia="黑体"/>
          <w:b w:val="0"/>
        </w:rPr>
      </w:pPr>
    </w:p>
    <w:p w14:paraId="32A67D37">
      <w:pPr>
        <w:widowControl/>
        <w:jc w:val="left"/>
        <w:rPr>
          <w:rFonts w:hint="eastAsia" w:ascii="黑体" w:hAnsi="黑体" w:eastAsia="黑体"/>
          <w:b w:val="0"/>
        </w:rPr>
      </w:pPr>
    </w:p>
    <w:p w14:paraId="4064CE12">
      <w:pPr>
        <w:widowControl/>
        <w:jc w:val="left"/>
        <w:rPr>
          <w:rFonts w:hint="eastAsia" w:ascii="黑体" w:hAnsi="黑体" w:eastAsia="黑体"/>
          <w:b w:val="0"/>
        </w:rPr>
      </w:pPr>
    </w:p>
    <w:p w14:paraId="7AF29C3E">
      <w:pPr>
        <w:widowControl/>
        <w:jc w:val="left"/>
        <w:rPr>
          <w:rFonts w:hint="eastAsia" w:ascii="黑体" w:hAnsi="黑体" w:eastAsia="黑体"/>
          <w:b w:val="0"/>
        </w:rPr>
      </w:pPr>
    </w:p>
    <w:p w14:paraId="43030215">
      <w:pPr>
        <w:widowControl/>
        <w:jc w:val="left"/>
        <w:rPr>
          <w:rFonts w:hint="eastAsia" w:ascii="黑体" w:hAnsi="黑体" w:eastAsia="黑体"/>
          <w:b w:val="0"/>
        </w:rPr>
      </w:pPr>
    </w:p>
    <w:p w14:paraId="6CC47FFD">
      <w:pPr>
        <w:widowControl/>
        <w:jc w:val="center"/>
        <w:rPr>
          <w:rStyle w:val="24"/>
          <w:rFonts w:hint="default" w:ascii="Times New Roman" w:hAnsi="Times New Roman" w:eastAsia="黑体" w:cs="Times New Roman"/>
          <w:b w:val="0"/>
          <w:bCs/>
        </w:rPr>
      </w:pPr>
      <w:r>
        <w:rPr>
          <w:rStyle w:val="24"/>
          <w:rFonts w:hint="default" w:ascii="Times New Roman" w:hAnsi="Times New Roman" w:eastAsia="黑体" w:cs="Times New Roman"/>
          <w:b w:val="0"/>
          <w:bCs/>
        </w:rPr>
        <w:t>第二部分 2022年度单位决算情况说明</w:t>
      </w:r>
      <w:bookmarkEnd w:id="3"/>
      <w:bookmarkEnd w:id="4"/>
    </w:p>
    <w:p w14:paraId="32D6E632"/>
    <w:p w14:paraId="715904AD">
      <w:pPr>
        <w:pStyle w:val="23"/>
        <w:numPr>
          <w:ilvl w:val="0"/>
          <w:numId w:val="1"/>
        </w:numPr>
        <w:spacing w:line="600" w:lineRule="exact"/>
        <w:ind w:firstLineChars="0"/>
        <w:outlineLvl w:val="1"/>
        <w:rPr>
          <w:rStyle w:val="25"/>
          <w:rFonts w:ascii="黑体" w:hAnsi="黑体" w:eastAsia="黑体"/>
          <w:b w:val="0"/>
        </w:rPr>
      </w:pPr>
      <w:bookmarkStart w:id="5" w:name="_Toc15396603"/>
      <w:bookmarkStart w:id="6" w:name="_Toc15377205"/>
      <w:r>
        <w:rPr>
          <w:rFonts w:hint="eastAsia" w:ascii="黑体" w:hAnsi="黑体" w:eastAsia="黑体"/>
          <w:sz w:val="32"/>
          <w:szCs w:val="32"/>
        </w:rPr>
        <w:t>收</w:t>
      </w:r>
      <w:r>
        <w:rPr>
          <w:rStyle w:val="25"/>
          <w:rFonts w:hint="eastAsia" w:ascii="黑体" w:hAnsi="黑体" w:eastAsia="黑体"/>
          <w:b w:val="0"/>
        </w:rPr>
        <w:t>入支出决算总体情况说明</w:t>
      </w:r>
      <w:bookmarkEnd w:id="5"/>
      <w:bookmarkEnd w:id="6"/>
      <w:bookmarkStart w:id="51" w:name="_GoBack"/>
      <w:bookmarkEnd w:id="51"/>
    </w:p>
    <w:p w14:paraId="2DE3EBE3">
      <w:pPr>
        <w:spacing w:line="600" w:lineRule="exact"/>
        <w:ind w:firstLine="640" w:firstLineChars="20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年度收入总计</w:t>
      </w:r>
      <w:r>
        <w:rPr>
          <w:rFonts w:ascii="仿宋" w:hAnsi="仿宋" w:eastAsia="仿宋"/>
          <w:sz w:val="32"/>
          <w:szCs w:val="32"/>
        </w:rPr>
        <w:t>170.1</w:t>
      </w:r>
      <w:r>
        <w:rPr>
          <w:rFonts w:hint="eastAsia" w:ascii="仿宋" w:hAnsi="仿宋" w:eastAsia="仿宋"/>
          <w:sz w:val="32"/>
          <w:szCs w:val="32"/>
        </w:rPr>
        <w:t>万元。与</w:t>
      </w:r>
      <w:r>
        <w:rPr>
          <w:rFonts w:ascii="仿宋" w:hAnsi="仿宋" w:eastAsia="仿宋"/>
          <w:sz w:val="32"/>
          <w:szCs w:val="32"/>
        </w:rPr>
        <w:t>2021</w:t>
      </w:r>
      <w:r>
        <w:rPr>
          <w:rFonts w:hint="eastAsia" w:ascii="仿宋" w:hAnsi="仿宋" w:eastAsia="仿宋"/>
          <w:sz w:val="32"/>
          <w:szCs w:val="32"/>
        </w:rPr>
        <w:t>年相比，减少</w:t>
      </w:r>
      <w:r>
        <w:rPr>
          <w:rFonts w:ascii="仿宋" w:hAnsi="仿宋" w:eastAsia="仿宋"/>
          <w:sz w:val="32"/>
          <w:szCs w:val="32"/>
        </w:rPr>
        <w:t>0.39</w:t>
      </w:r>
      <w:r>
        <w:rPr>
          <w:rFonts w:hint="eastAsia" w:ascii="仿宋" w:hAnsi="仿宋" w:eastAsia="仿宋"/>
          <w:sz w:val="32"/>
          <w:szCs w:val="32"/>
        </w:rPr>
        <w:t>万元，下降</w:t>
      </w:r>
      <w:r>
        <w:rPr>
          <w:rFonts w:ascii="仿宋" w:hAnsi="仿宋" w:eastAsia="仿宋"/>
          <w:sz w:val="32"/>
          <w:szCs w:val="32"/>
        </w:rPr>
        <w:t>0.2%</w:t>
      </w:r>
      <w:r>
        <w:rPr>
          <w:rFonts w:hint="eastAsia" w:ascii="仿宋" w:hAnsi="仿宋" w:eastAsia="仿宋"/>
          <w:sz w:val="32"/>
          <w:szCs w:val="32"/>
        </w:rPr>
        <w:t>。主要变动原因是一是人员经费增加7.79万元；二是项目工作经费因财政调度部分经费未支付减少8.18万元。</w:t>
      </w:r>
    </w:p>
    <w:p w14:paraId="7F8F7064">
      <w:pPr>
        <w:pStyle w:val="2"/>
        <w:spacing w:before="93"/>
        <w:jc w:val="center"/>
      </w:pPr>
      <w:r>
        <w:rPr>
          <w:rFonts w:hint="eastAsia" w:ascii="楷体" w:eastAsia="楷体" w:cs="楷体" w:hAnsiTheme="minorHAnsi"/>
          <w:color w:val="000000"/>
          <w:sz w:val="32"/>
          <w:szCs w:val="32"/>
          <w:lang w:val="zh-CN"/>
        </w:rPr>
        <w:object>
          <v:shape id="_x0000_i1025" o:spt="75" type="#_x0000_t75" style="height:105.75pt;width:244.5pt;" o:ole="t" filled="f" o:preferrelative="t" stroked="f" coordsize="21600,21600">
            <v:path/>
            <v:fill on="f" focussize="0,0"/>
            <v:stroke on="f" joinstyle="miter"/>
            <v:imagedata r:id="rId9" o:title=""/>
            <o:lock v:ext="edit" aspectratio="t"/>
            <w10:wrap type="none"/>
            <w10:anchorlock/>
          </v:shape>
          <o:OLEObject Type="Embed" ProgID="Picture.PicObj.1" ShapeID="_x0000_i1025" DrawAspect="Content" ObjectID="_1468075725" r:id="rId8">
            <o:LockedField>false</o:LockedField>
          </o:OLEObject>
        </w:object>
      </w:r>
    </w:p>
    <w:p w14:paraId="3994C398">
      <w:pPr>
        <w:spacing w:line="600" w:lineRule="exact"/>
        <w:ind w:firstLine="640" w:firstLineChars="20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年度支出总计</w:t>
      </w:r>
      <w:r>
        <w:rPr>
          <w:rFonts w:ascii="仿宋" w:hAnsi="仿宋" w:eastAsia="仿宋"/>
          <w:sz w:val="32"/>
          <w:szCs w:val="32"/>
        </w:rPr>
        <w:t>170.1</w:t>
      </w:r>
      <w:r>
        <w:rPr>
          <w:rFonts w:hint="eastAsia" w:ascii="仿宋" w:hAnsi="仿宋" w:eastAsia="仿宋"/>
          <w:sz w:val="32"/>
          <w:szCs w:val="32"/>
        </w:rPr>
        <w:t>万元。与</w:t>
      </w:r>
      <w:r>
        <w:rPr>
          <w:rFonts w:ascii="仿宋" w:hAnsi="仿宋" w:eastAsia="仿宋"/>
          <w:sz w:val="32"/>
          <w:szCs w:val="32"/>
        </w:rPr>
        <w:t>2021</w:t>
      </w:r>
      <w:r>
        <w:rPr>
          <w:rFonts w:hint="eastAsia" w:ascii="仿宋" w:hAnsi="仿宋" w:eastAsia="仿宋"/>
          <w:sz w:val="32"/>
          <w:szCs w:val="32"/>
        </w:rPr>
        <w:t>年相比，减少</w:t>
      </w:r>
      <w:r>
        <w:rPr>
          <w:rFonts w:ascii="仿宋" w:hAnsi="仿宋" w:eastAsia="仿宋"/>
          <w:sz w:val="32"/>
          <w:szCs w:val="32"/>
        </w:rPr>
        <w:t>0.39</w:t>
      </w:r>
      <w:r>
        <w:rPr>
          <w:rFonts w:hint="eastAsia" w:ascii="仿宋" w:hAnsi="仿宋" w:eastAsia="仿宋"/>
          <w:sz w:val="32"/>
          <w:szCs w:val="32"/>
        </w:rPr>
        <w:t>万元，下降</w:t>
      </w:r>
      <w:r>
        <w:rPr>
          <w:rFonts w:ascii="仿宋" w:hAnsi="仿宋" w:eastAsia="仿宋"/>
          <w:sz w:val="32"/>
          <w:szCs w:val="32"/>
        </w:rPr>
        <w:t>0.2%</w:t>
      </w:r>
      <w:r>
        <w:rPr>
          <w:rFonts w:hint="eastAsia" w:ascii="仿宋" w:hAnsi="仿宋" w:eastAsia="仿宋"/>
          <w:sz w:val="32"/>
          <w:szCs w:val="32"/>
        </w:rPr>
        <w:t>。主要变动原因是一是人员经费增加7.79万元；二是项目工作经费因财政调度部分经费未支付减少8.18万元。</w:t>
      </w:r>
    </w:p>
    <w:p w14:paraId="10E081DC">
      <w:pPr>
        <w:pStyle w:val="2"/>
        <w:spacing w:before="93"/>
        <w:jc w:val="center"/>
      </w:pPr>
      <w:r>
        <w:rPr>
          <w:rFonts w:hint="eastAsia" w:ascii="楷体" w:eastAsia="楷体" w:cs="楷体" w:hAnsiTheme="minorHAnsi"/>
          <w:color w:val="000000"/>
          <w:sz w:val="32"/>
          <w:szCs w:val="32"/>
          <w:lang w:val="zh-CN"/>
        </w:rPr>
        <w:object>
          <v:shape id="_x0000_i1026" o:spt="75" type="#_x0000_t75" style="height:129.75pt;width:337.5pt;" o:ole="t" filled="f" o:preferrelative="t" stroked="f" coordsize="21600,21600">
            <v:path/>
            <v:fill on="f" focussize="0,0"/>
            <v:stroke on="f" joinstyle="miter"/>
            <v:imagedata r:id="rId11" o:title=""/>
            <o:lock v:ext="edit" aspectratio="t"/>
            <w10:wrap type="none"/>
            <w10:anchorlock/>
          </v:shape>
          <o:OLEObject Type="Embed" ProgID="Picture.PicObj.1" ShapeID="_x0000_i1026" DrawAspect="Content" ObjectID="_1468075726" r:id="rId10">
            <o:LockedField>false</o:LockedField>
          </o:OLEObject>
        </w:object>
      </w:r>
    </w:p>
    <w:p w14:paraId="1B35843D">
      <w:pPr>
        <w:pStyle w:val="23"/>
        <w:numPr>
          <w:ilvl w:val="0"/>
          <w:numId w:val="1"/>
        </w:numPr>
        <w:spacing w:line="600" w:lineRule="exact"/>
        <w:ind w:firstLineChars="0"/>
        <w:outlineLvl w:val="1"/>
        <w:rPr>
          <w:rStyle w:val="25"/>
          <w:rFonts w:ascii="黑体" w:hAnsi="黑体" w:eastAsia="黑体"/>
          <w:b w:val="0"/>
        </w:rPr>
      </w:pPr>
      <w:bookmarkStart w:id="7" w:name="_Toc15396604"/>
      <w:bookmarkStart w:id="8" w:name="_Toc15377206"/>
      <w:r>
        <w:rPr>
          <w:rFonts w:hint="eastAsia" w:ascii="黑体" w:hAnsi="黑体" w:eastAsia="黑体"/>
          <w:sz w:val="32"/>
          <w:szCs w:val="32"/>
        </w:rPr>
        <w:t>收</w:t>
      </w:r>
      <w:r>
        <w:rPr>
          <w:rStyle w:val="25"/>
          <w:rFonts w:hint="eastAsia" w:ascii="黑体" w:hAnsi="黑体" w:eastAsia="黑体"/>
          <w:b w:val="0"/>
        </w:rPr>
        <w:t>入决算情况说明</w:t>
      </w:r>
      <w:bookmarkEnd w:id="7"/>
      <w:bookmarkEnd w:id="8"/>
    </w:p>
    <w:p w14:paraId="2963E52A">
      <w:pPr>
        <w:spacing w:line="600" w:lineRule="exact"/>
        <w:ind w:firstLine="640" w:firstLineChars="200"/>
        <w:outlineLvl w:val="1"/>
        <w:rPr>
          <w:rFonts w:ascii="仿宋" w:hAnsi="仿宋" w:eastAsia="仿宋"/>
          <w:b/>
          <w:sz w:val="32"/>
          <w:szCs w:val="32"/>
        </w:rPr>
      </w:pPr>
      <w:r>
        <w:rPr>
          <w:rFonts w:ascii="仿宋" w:hAnsi="仿宋" w:eastAsia="仿宋"/>
          <w:sz w:val="32"/>
          <w:szCs w:val="32"/>
        </w:rPr>
        <w:t>2022</w:t>
      </w:r>
      <w:r>
        <w:rPr>
          <w:rFonts w:hint="eastAsia" w:ascii="仿宋" w:hAnsi="仿宋" w:eastAsia="仿宋"/>
          <w:sz w:val="32"/>
          <w:szCs w:val="32"/>
        </w:rPr>
        <w:t>年本年收入合计</w:t>
      </w:r>
      <w:r>
        <w:rPr>
          <w:rFonts w:ascii="仿宋" w:hAnsi="仿宋" w:eastAsia="仿宋"/>
          <w:sz w:val="32"/>
          <w:szCs w:val="32"/>
        </w:rPr>
        <w:t>170.1</w:t>
      </w:r>
      <w:r>
        <w:rPr>
          <w:rFonts w:hint="eastAsia" w:ascii="仿宋" w:hAnsi="仿宋" w:eastAsia="仿宋"/>
          <w:sz w:val="32"/>
          <w:szCs w:val="32"/>
        </w:rPr>
        <w:t>万元，其中：一般公共预算财政拨款收入</w:t>
      </w:r>
      <w:r>
        <w:rPr>
          <w:rFonts w:ascii="仿宋" w:hAnsi="仿宋" w:eastAsia="仿宋"/>
          <w:sz w:val="32"/>
          <w:szCs w:val="32"/>
        </w:rPr>
        <w:t>170.1</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b/>
          <w:sz w:val="32"/>
          <w:szCs w:val="32"/>
        </w:rPr>
        <w:t>。</w:t>
      </w:r>
    </w:p>
    <w:p w14:paraId="791AD76A">
      <w:pPr>
        <w:pStyle w:val="2"/>
        <w:spacing w:before="93"/>
        <w:jc w:val="center"/>
      </w:pPr>
      <w:r>
        <w:rPr>
          <w:rFonts w:hint="eastAsia" w:ascii="楷体" w:eastAsia="楷体" w:cs="楷体" w:hAnsiTheme="minorHAnsi"/>
          <w:color w:val="000000"/>
          <w:sz w:val="32"/>
          <w:szCs w:val="32"/>
          <w:lang w:val="zh-CN"/>
        </w:rPr>
        <w:object>
          <v:shape id="_x0000_i1027" o:spt="75" type="#_x0000_t75" style="height:132.75pt;width:210pt;" o:ole="t" filled="f" o:preferrelative="t" stroked="f" coordsize="21600,21600">
            <v:path/>
            <v:fill on="f" focussize="0,0"/>
            <v:stroke on="f" joinstyle="miter"/>
            <v:imagedata r:id="rId13" o:title=""/>
            <o:lock v:ext="edit" aspectratio="t"/>
            <w10:wrap type="none"/>
            <w10:anchorlock/>
          </v:shape>
          <o:OLEObject Type="Embed" ProgID="Picture.PicObj.1" ShapeID="_x0000_i1027" DrawAspect="Content" ObjectID="_1468075727" r:id="rId12">
            <o:LockedField>false</o:LockedField>
          </o:OLEObject>
        </w:object>
      </w:r>
    </w:p>
    <w:p w14:paraId="004D8620">
      <w:pPr>
        <w:pStyle w:val="23"/>
        <w:numPr>
          <w:ilvl w:val="0"/>
          <w:numId w:val="1"/>
        </w:numPr>
        <w:spacing w:line="600" w:lineRule="exact"/>
        <w:ind w:firstLineChars="0"/>
        <w:outlineLvl w:val="1"/>
        <w:rPr>
          <w:rStyle w:val="25"/>
          <w:rFonts w:ascii="黑体" w:hAnsi="黑体" w:eastAsia="黑体"/>
          <w:b w:val="0"/>
        </w:rPr>
      </w:pPr>
      <w:bookmarkStart w:id="9" w:name="_Toc15377207"/>
      <w:bookmarkStart w:id="10" w:name="_Toc15396605"/>
      <w:r>
        <w:rPr>
          <w:rFonts w:hint="eastAsia" w:ascii="黑体" w:hAnsi="黑体" w:eastAsia="黑体"/>
          <w:sz w:val="32"/>
          <w:szCs w:val="32"/>
        </w:rPr>
        <w:t>支</w:t>
      </w:r>
      <w:r>
        <w:rPr>
          <w:rStyle w:val="25"/>
          <w:rFonts w:hint="eastAsia" w:ascii="黑体" w:hAnsi="黑体" w:eastAsia="黑体"/>
          <w:b w:val="0"/>
        </w:rPr>
        <w:t>出决算情况说明</w:t>
      </w:r>
      <w:bookmarkEnd w:id="9"/>
      <w:bookmarkEnd w:id="10"/>
    </w:p>
    <w:p w14:paraId="7F6F6B29">
      <w:pPr>
        <w:spacing w:line="600" w:lineRule="exact"/>
        <w:ind w:firstLine="640" w:firstLineChars="200"/>
        <w:outlineLvl w:val="1"/>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年本年支出合计</w:t>
      </w:r>
      <w:r>
        <w:rPr>
          <w:rFonts w:ascii="仿宋" w:hAnsi="仿宋" w:eastAsia="仿宋"/>
          <w:sz w:val="32"/>
          <w:szCs w:val="32"/>
        </w:rPr>
        <w:t>170.1</w:t>
      </w:r>
      <w:r>
        <w:rPr>
          <w:rFonts w:hint="eastAsia" w:ascii="仿宋" w:hAnsi="仿宋" w:eastAsia="仿宋"/>
          <w:sz w:val="32"/>
          <w:szCs w:val="32"/>
        </w:rPr>
        <w:t>万元，其中：基本支出</w:t>
      </w:r>
      <w:r>
        <w:rPr>
          <w:rFonts w:ascii="仿宋" w:hAnsi="仿宋" w:eastAsia="仿宋"/>
          <w:sz w:val="32"/>
          <w:szCs w:val="32"/>
        </w:rPr>
        <w:t>170.1</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w:t>
      </w:r>
    </w:p>
    <w:p w14:paraId="613F39B5">
      <w:pPr>
        <w:pStyle w:val="2"/>
        <w:spacing w:before="93"/>
        <w:jc w:val="center"/>
      </w:pPr>
      <w:r>
        <w:rPr>
          <w:rFonts w:hint="eastAsia" w:ascii="楷体" w:eastAsia="楷体" w:cs="楷体" w:hAnsiTheme="minorHAnsi"/>
          <w:color w:val="000000"/>
          <w:sz w:val="32"/>
          <w:szCs w:val="32"/>
          <w:lang w:val="zh-CN"/>
        </w:rPr>
        <w:object>
          <v:shape id="_x0000_i1028" o:spt="75" type="#_x0000_t75" style="height:126.75pt;width:188.25pt;" o:ole="t" filled="f" o:preferrelative="t" stroked="f" coordsize="21600,21600">
            <v:path/>
            <v:fill on="f" focussize="0,0"/>
            <v:stroke on="f" joinstyle="miter"/>
            <v:imagedata r:id="rId15" o:title=""/>
            <o:lock v:ext="edit" aspectratio="t"/>
            <w10:wrap type="none"/>
            <w10:anchorlock/>
          </v:shape>
          <o:OLEObject Type="Embed" ProgID="Picture.PicObj.1" ShapeID="_x0000_i1028" DrawAspect="Content" ObjectID="_1468075728" r:id="rId14">
            <o:LockedField>false</o:LockedField>
          </o:OLEObject>
        </w:object>
      </w:r>
    </w:p>
    <w:p w14:paraId="35A7D6CE">
      <w:pPr>
        <w:spacing w:line="600" w:lineRule="exact"/>
        <w:ind w:firstLine="640" w:firstLineChars="200"/>
        <w:outlineLvl w:val="1"/>
        <w:rPr>
          <w:rStyle w:val="25"/>
          <w:rFonts w:ascii="黑体" w:hAnsi="黑体" w:eastAsia="黑体"/>
          <w:b w:val="0"/>
        </w:rPr>
      </w:pPr>
      <w:bookmarkStart w:id="11" w:name="_Toc15396606"/>
      <w:bookmarkStart w:id="12" w:name="_Toc15377208"/>
      <w:r>
        <w:rPr>
          <w:rFonts w:hint="eastAsia" w:ascii="黑体" w:hAnsi="黑体" w:eastAsia="黑体"/>
          <w:sz w:val="32"/>
          <w:szCs w:val="32"/>
        </w:rPr>
        <w:t>四、财</w:t>
      </w:r>
      <w:r>
        <w:rPr>
          <w:rStyle w:val="25"/>
          <w:rFonts w:hint="eastAsia" w:ascii="黑体" w:hAnsi="黑体" w:eastAsia="黑体"/>
          <w:b w:val="0"/>
        </w:rPr>
        <w:t>政拨款收入支出决算总体情况说明</w:t>
      </w:r>
      <w:bookmarkEnd w:id="11"/>
      <w:bookmarkEnd w:id="12"/>
    </w:p>
    <w:p w14:paraId="73EB775C">
      <w:pPr>
        <w:spacing w:line="576"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年财政拨款收入总计</w:t>
      </w:r>
      <w:r>
        <w:rPr>
          <w:rFonts w:ascii="仿宋" w:hAnsi="仿宋" w:eastAsia="仿宋"/>
          <w:sz w:val="32"/>
          <w:szCs w:val="32"/>
        </w:rPr>
        <w:t>170.1</w:t>
      </w:r>
      <w:r>
        <w:rPr>
          <w:rFonts w:hint="eastAsia" w:ascii="仿宋" w:hAnsi="仿宋" w:eastAsia="仿宋"/>
          <w:sz w:val="32"/>
          <w:szCs w:val="32"/>
        </w:rPr>
        <w:t>万元。与</w:t>
      </w:r>
      <w:r>
        <w:rPr>
          <w:rFonts w:ascii="仿宋" w:hAnsi="仿宋" w:eastAsia="仿宋"/>
          <w:sz w:val="32"/>
          <w:szCs w:val="32"/>
        </w:rPr>
        <w:t>2021</w:t>
      </w:r>
      <w:r>
        <w:rPr>
          <w:rFonts w:hint="eastAsia" w:ascii="仿宋" w:hAnsi="仿宋" w:eastAsia="仿宋"/>
          <w:sz w:val="32"/>
          <w:szCs w:val="32"/>
        </w:rPr>
        <w:t>年相比，财政拨款收入减少</w:t>
      </w:r>
      <w:r>
        <w:rPr>
          <w:rFonts w:ascii="仿宋" w:hAnsi="仿宋" w:eastAsia="仿宋"/>
          <w:sz w:val="32"/>
          <w:szCs w:val="32"/>
        </w:rPr>
        <w:t>0.39</w:t>
      </w:r>
      <w:r>
        <w:rPr>
          <w:rFonts w:hint="eastAsia" w:ascii="仿宋" w:hAnsi="仿宋" w:eastAsia="仿宋"/>
          <w:sz w:val="32"/>
          <w:szCs w:val="32"/>
        </w:rPr>
        <w:t>万元，下降</w:t>
      </w:r>
      <w:r>
        <w:rPr>
          <w:rFonts w:ascii="仿宋" w:hAnsi="仿宋" w:eastAsia="仿宋"/>
          <w:sz w:val="32"/>
          <w:szCs w:val="32"/>
        </w:rPr>
        <w:t>0.2%</w:t>
      </w:r>
      <w:r>
        <w:rPr>
          <w:rFonts w:hint="eastAsia" w:ascii="仿宋" w:hAnsi="仿宋" w:eastAsia="仿宋"/>
          <w:sz w:val="32"/>
          <w:szCs w:val="32"/>
        </w:rPr>
        <w:t>。主要变动原因是一是人员经费增加7.79万元；二是项目工作经费因财政调度部分经费未支付减少8.18万元。</w:t>
      </w:r>
    </w:p>
    <w:p w14:paraId="7708DC70">
      <w:pPr>
        <w:pStyle w:val="2"/>
        <w:spacing w:before="93"/>
        <w:jc w:val="center"/>
      </w:pPr>
      <w:r>
        <w:rPr>
          <w:rFonts w:hint="eastAsia" w:ascii="楷体" w:eastAsia="楷体" w:cs="楷体" w:hAnsiTheme="minorHAnsi"/>
          <w:color w:val="000000"/>
          <w:sz w:val="32"/>
          <w:szCs w:val="32"/>
          <w:lang w:val="zh-CN"/>
        </w:rPr>
        <w:object>
          <v:shape id="_x0000_i1029" o:spt="75" type="#_x0000_t75" style="height:133.5pt;width:273pt;" o:ole="t" filled="f" o:preferrelative="t" stroked="f" coordsize="21600,21600">
            <v:path/>
            <v:fill on="f" focussize="0,0"/>
            <v:stroke on="f" joinstyle="miter"/>
            <v:imagedata r:id="rId17" o:title=""/>
            <o:lock v:ext="edit" aspectratio="t"/>
            <w10:wrap type="none"/>
            <w10:anchorlock/>
          </v:shape>
          <o:OLEObject Type="Embed" ProgID="Picture.PicObj.1" ShapeID="_x0000_i1029" DrawAspect="Content" ObjectID="_1468075729" r:id="rId16">
            <o:LockedField>false</o:LockedField>
          </o:OLEObject>
        </w:object>
      </w:r>
    </w:p>
    <w:p w14:paraId="3866F9F0">
      <w:pPr>
        <w:pStyle w:val="2"/>
        <w:spacing w:before="93"/>
        <w:ind w:firstLine="640" w:firstLineChars="200"/>
      </w:pPr>
      <w:r>
        <w:rPr>
          <w:rFonts w:ascii="仿宋" w:hAnsi="仿宋" w:eastAsia="仿宋"/>
          <w:sz w:val="32"/>
          <w:szCs w:val="32"/>
        </w:rPr>
        <w:t>2022</w:t>
      </w:r>
      <w:r>
        <w:rPr>
          <w:rFonts w:hint="eastAsia" w:ascii="仿宋" w:hAnsi="仿宋" w:eastAsia="仿宋"/>
          <w:sz w:val="32"/>
          <w:szCs w:val="32"/>
        </w:rPr>
        <w:t>年财政拨款支出总计</w:t>
      </w:r>
      <w:r>
        <w:rPr>
          <w:rFonts w:ascii="仿宋" w:hAnsi="仿宋" w:eastAsia="仿宋"/>
          <w:sz w:val="32"/>
          <w:szCs w:val="32"/>
        </w:rPr>
        <w:t>170.1</w:t>
      </w:r>
      <w:r>
        <w:rPr>
          <w:rFonts w:hint="eastAsia" w:ascii="仿宋" w:hAnsi="仿宋" w:eastAsia="仿宋"/>
          <w:sz w:val="32"/>
          <w:szCs w:val="32"/>
        </w:rPr>
        <w:t>万元。与</w:t>
      </w:r>
      <w:r>
        <w:rPr>
          <w:rFonts w:ascii="仿宋" w:hAnsi="仿宋" w:eastAsia="仿宋"/>
          <w:sz w:val="32"/>
          <w:szCs w:val="32"/>
        </w:rPr>
        <w:t>2021</w:t>
      </w:r>
      <w:r>
        <w:rPr>
          <w:rFonts w:hint="eastAsia" w:ascii="仿宋" w:hAnsi="仿宋" w:eastAsia="仿宋"/>
          <w:sz w:val="32"/>
          <w:szCs w:val="32"/>
        </w:rPr>
        <w:t>年相比，财政拨款支出减少</w:t>
      </w:r>
      <w:r>
        <w:rPr>
          <w:rFonts w:ascii="仿宋" w:hAnsi="仿宋" w:eastAsia="仿宋"/>
          <w:sz w:val="32"/>
          <w:szCs w:val="32"/>
        </w:rPr>
        <w:t>0.39</w:t>
      </w:r>
      <w:r>
        <w:rPr>
          <w:rFonts w:hint="eastAsia" w:ascii="仿宋" w:hAnsi="仿宋" w:eastAsia="仿宋"/>
          <w:sz w:val="32"/>
          <w:szCs w:val="32"/>
        </w:rPr>
        <w:t>万元，下降</w:t>
      </w:r>
      <w:r>
        <w:rPr>
          <w:rFonts w:ascii="仿宋" w:hAnsi="仿宋" w:eastAsia="仿宋"/>
          <w:sz w:val="32"/>
          <w:szCs w:val="32"/>
        </w:rPr>
        <w:t>0.2%</w:t>
      </w:r>
      <w:r>
        <w:rPr>
          <w:rFonts w:hint="eastAsia" w:ascii="仿宋" w:hAnsi="仿宋" w:eastAsia="仿宋"/>
          <w:sz w:val="32"/>
          <w:szCs w:val="32"/>
        </w:rPr>
        <w:t>。主要变动原因是一是人员经费增加7.79万元；二是项目工作经费因财政调度部分经费未支付减少8.18万元。</w:t>
      </w:r>
    </w:p>
    <w:p w14:paraId="348EC984">
      <w:pPr>
        <w:pStyle w:val="2"/>
        <w:spacing w:before="93"/>
        <w:jc w:val="center"/>
      </w:pPr>
      <w:r>
        <w:rPr>
          <w:rFonts w:hint="eastAsia" w:ascii="楷体" w:eastAsia="楷体" w:cs="楷体" w:hAnsiTheme="minorHAnsi"/>
          <w:color w:val="000000"/>
          <w:sz w:val="32"/>
          <w:szCs w:val="32"/>
          <w:lang w:val="zh-CN"/>
        </w:rPr>
        <w:object>
          <v:shape id="_x0000_i1030" o:spt="75" type="#_x0000_t75" style="height:127.5pt;width:270pt;" o:ole="t" filled="f" o:preferrelative="t" stroked="f" coordsize="21600,21600">
            <v:path/>
            <v:fill on="f" focussize="0,0"/>
            <v:stroke on="f" joinstyle="miter"/>
            <v:imagedata r:id="rId19" o:title=""/>
            <o:lock v:ext="edit" aspectratio="t"/>
            <w10:wrap type="none"/>
            <w10:anchorlock/>
          </v:shape>
          <o:OLEObject Type="Embed" ProgID="Picture.PicObj.1" ShapeID="_x0000_i1030" DrawAspect="Content" ObjectID="_1468075730" r:id="rId18">
            <o:LockedField>false</o:LockedField>
          </o:OLEObject>
        </w:object>
      </w:r>
    </w:p>
    <w:p w14:paraId="73B13FA4">
      <w:pPr>
        <w:spacing w:line="600" w:lineRule="exact"/>
        <w:ind w:firstLine="640" w:firstLineChars="200"/>
        <w:outlineLvl w:val="1"/>
        <w:rPr>
          <w:rStyle w:val="25"/>
          <w:rFonts w:ascii="黑体" w:hAnsi="黑体" w:eastAsia="黑体"/>
          <w:b w:val="0"/>
        </w:rPr>
      </w:pPr>
      <w:bookmarkStart w:id="13" w:name="_Toc15377209"/>
      <w:bookmarkStart w:id="14" w:name="_Toc15396607"/>
      <w:r>
        <w:rPr>
          <w:rFonts w:hint="eastAsia" w:ascii="黑体" w:hAnsi="黑体" w:eastAsia="黑体"/>
          <w:sz w:val="32"/>
          <w:szCs w:val="32"/>
        </w:rPr>
        <w:t>五、</w:t>
      </w:r>
      <w:r>
        <w:rPr>
          <w:rFonts w:hint="eastAsia" w:ascii="黑体" w:hAnsi="黑体" w:eastAsia="黑体"/>
          <w:b/>
          <w:sz w:val="32"/>
          <w:szCs w:val="32"/>
        </w:rPr>
        <w:t>一</w:t>
      </w:r>
      <w:r>
        <w:rPr>
          <w:rStyle w:val="25"/>
          <w:rFonts w:hint="eastAsia" w:ascii="黑体" w:hAnsi="黑体" w:eastAsia="黑体"/>
          <w:b w:val="0"/>
        </w:rPr>
        <w:t>般公共预算财政拨款支出决算情况说明</w:t>
      </w:r>
      <w:bookmarkEnd w:id="13"/>
      <w:bookmarkEnd w:id="14"/>
    </w:p>
    <w:p w14:paraId="2A38CC88">
      <w:pPr>
        <w:spacing w:line="600" w:lineRule="exact"/>
        <w:ind w:firstLine="643" w:firstLineChars="200"/>
        <w:outlineLvl w:val="2"/>
        <w:rPr>
          <w:rFonts w:ascii="仿宋" w:hAnsi="仿宋" w:eastAsia="仿宋"/>
          <w:b/>
          <w:sz w:val="32"/>
          <w:szCs w:val="32"/>
        </w:rPr>
      </w:pPr>
      <w:bookmarkStart w:id="15" w:name="_Toc15377210"/>
      <w:r>
        <w:rPr>
          <w:rFonts w:hint="eastAsia" w:ascii="仿宋" w:hAnsi="仿宋" w:eastAsia="仿宋"/>
          <w:b/>
          <w:sz w:val="32"/>
          <w:szCs w:val="32"/>
        </w:rPr>
        <w:t>（一）一般公共预算财政拨款支出决算总体情况</w:t>
      </w:r>
      <w:bookmarkEnd w:id="15"/>
    </w:p>
    <w:p w14:paraId="5A549967">
      <w:pPr>
        <w:spacing w:line="576"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年一般公共预算财政拨款支出</w:t>
      </w:r>
      <w:r>
        <w:rPr>
          <w:rFonts w:ascii="仿宋" w:hAnsi="仿宋" w:eastAsia="仿宋"/>
          <w:sz w:val="32"/>
          <w:szCs w:val="32"/>
        </w:rPr>
        <w:t>170.1</w:t>
      </w:r>
      <w:r>
        <w:rPr>
          <w:rFonts w:hint="eastAsia" w:ascii="仿宋" w:hAnsi="仿宋" w:eastAsia="仿宋"/>
          <w:sz w:val="32"/>
          <w:szCs w:val="32"/>
        </w:rPr>
        <w:t>万元，占本年支出合计的</w:t>
      </w:r>
      <w:r>
        <w:rPr>
          <w:rFonts w:ascii="仿宋" w:hAnsi="仿宋" w:eastAsia="仿宋"/>
          <w:sz w:val="32"/>
          <w:szCs w:val="32"/>
        </w:rPr>
        <w:t>100%</w:t>
      </w:r>
      <w:r>
        <w:rPr>
          <w:rFonts w:hint="eastAsia" w:ascii="仿宋" w:hAnsi="仿宋" w:eastAsia="仿宋"/>
          <w:sz w:val="32"/>
          <w:szCs w:val="32"/>
        </w:rPr>
        <w:t>。与</w:t>
      </w:r>
      <w:r>
        <w:rPr>
          <w:rFonts w:ascii="仿宋" w:hAnsi="仿宋" w:eastAsia="仿宋"/>
          <w:sz w:val="32"/>
          <w:szCs w:val="32"/>
        </w:rPr>
        <w:t>2021</w:t>
      </w:r>
      <w:r>
        <w:rPr>
          <w:rFonts w:hint="eastAsia" w:ascii="仿宋" w:hAnsi="仿宋" w:eastAsia="仿宋"/>
          <w:sz w:val="32"/>
          <w:szCs w:val="32"/>
        </w:rPr>
        <w:t>年相比，一般公共预算财政拨款支出减少</w:t>
      </w:r>
      <w:r>
        <w:rPr>
          <w:rFonts w:ascii="仿宋" w:hAnsi="仿宋" w:eastAsia="仿宋"/>
          <w:sz w:val="32"/>
          <w:szCs w:val="32"/>
        </w:rPr>
        <w:t>0.39</w:t>
      </w:r>
      <w:r>
        <w:rPr>
          <w:rFonts w:hint="eastAsia" w:ascii="仿宋" w:hAnsi="仿宋" w:eastAsia="仿宋"/>
          <w:sz w:val="32"/>
          <w:szCs w:val="32"/>
        </w:rPr>
        <w:t>万元，下降</w:t>
      </w:r>
      <w:r>
        <w:rPr>
          <w:rFonts w:ascii="仿宋" w:hAnsi="仿宋" w:eastAsia="仿宋"/>
          <w:sz w:val="32"/>
          <w:szCs w:val="32"/>
        </w:rPr>
        <w:t>0.2%</w:t>
      </w:r>
      <w:r>
        <w:rPr>
          <w:rFonts w:hint="eastAsia" w:ascii="仿宋" w:hAnsi="仿宋" w:eastAsia="仿宋"/>
          <w:sz w:val="32"/>
          <w:szCs w:val="32"/>
        </w:rPr>
        <w:t>。主要变动原因是一是人员经费增加7.79万元；二是项目工作经费因财政调度部分经费未支付减少8.18万元。</w:t>
      </w:r>
    </w:p>
    <w:p w14:paraId="56C62264">
      <w:pPr>
        <w:pStyle w:val="2"/>
        <w:spacing w:before="93"/>
        <w:jc w:val="center"/>
      </w:pPr>
      <w:r>
        <w:rPr>
          <w:rFonts w:hint="eastAsia" w:ascii="楷体" w:eastAsia="楷体" w:cs="楷体" w:hAnsiTheme="minorHAnsi"/>
          <w:color w:val="000000"/>
          <w:sz w:val="32"/>
          <w:szCs w:val="32"/>
          <w:lang w:val="zh-CN"/>
        </w:rPr>
        <w:object>
          <v:shape id="_x0000_i1031" o:spt="75" type="#_x0000_t75" style="height:112.5pt;width:254.25pt;" o:ole="t" filled="f" o:preferrelative="t" stroked="f" coordsize="21600,21600">
            <v:path/>
            <v:fill on="f" focussize="0,0"/>
            <v:stroke on="f" joinstyle="miter"/>
            <v:imagedata r:id="rId21" o:title=""/>
            <o:lock v:ext="edit" aspectratio="t"/>
            <w10:wrap type="none"/>
            <w10:anchorlock/>
          </v:shape>
          <o:OLEObject Type="Embed" ProgID="Picture.PicObj.1" ShapeID="_x0000_i1031" DrawAspect="Content" ObjectID="_1468075731" r:id="rId20">
            <o:LockedField>false</o:LockedField>
          </o:OLEObject>
        </w:object>
      </w:r>
    </w:p>
    <w:p w14:paraId="6D3FDBA9">
      <w:pPr>
        <w:spacing w:line="600" w:lineRule="exact"/>
        <w:ind w:firstLine="643" w:firstLineChars="200"/>
        <w:outlineLvl w:val="2"/>
        <w:rPr>
          <w:rFonts w:ascii="仿宋" w:hAnsi="仿宋" w:eastAsia="仿宋"/>
          <w:b/>
          <w:sz w:val="32"/>
          <w:szCs w:val="32"/>
        </w:rPr>
      </w:pPr>
      <w:bookmarkStart w:id="16" w:name="_Toc15377211"/>
      <w:r>
        <w:rPr>
          <w:rFonts w:hint="eastAsia" w:ascii="仿宋" w:hAnsi="仿宋" w:eastAsia="仿宋"/>
          <w:b/>
          <w:sz w:val="32"/>
          <w:szCs w:val="32"/>
        </w:rPr>
        <w:t>（二）一般公共预算财政拨款支出决算结构情况</w:t>
      </w:r>
      <w:bookmarkEnd w:id="16"/>
    </w:p>
    <w:p w14:paraId="3A06B570">
      <w:pPr>
        <w:spacing w:line="600" w:lineRule="exact"/>
        <w:ind w:firstLine="640"/>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年一般公共预算财政拨款支出</w:t>
      </w:r>
      <w:r>
        <w:rPr>
          <w:rFonts w:ascii="仿宋" w:hAnsi="仿宋" w:eastAsia="仿宋"/>
          <w:sz w:val="32"/>
          <w:szCs w:val="32"/>
        </w:rPr>
        <w:t>170.1</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sz w:val="32"/>
          <w:szCs w:val="32"/>
        </w:rPr>
        <w:t>社会保障和就业支出</w:t>
      </w:r>
      <w:r>
        <w:rPr>
          <w:rFonts w:ascii="仿宋" w:hAnsi="仿宋" w:eastAsia="仿宋"/>
          <w:sz w:val="32"/>
          <w:szCs w:val="32"/>
        </w:rPr>
        <w:t>12.03</w:t>
      </w:r>
      <w:r>
        <w:rPr>
          <w:rFonts w:hint="eastAsia" w:ascii="仿宋" w:hAnsi="仿宋" w:eastAsia="仿宋"/>
          <w:sz w:val="32"/>
          <w:szCs w:val="32"/>
        </w:rPr>
        <w:t>万元，占</w:t>
      </w:r>
      <w:r>
        <w:rPr>
          <w:rFonts w:ascii="仿宋" w:hAnsi="仿宋" w:eastAsia="仿宋"/>
          <w:sz w:val="32"/>
          <w:szCs w:val="32"/>
        </w:rPr>
        <w:t>7.1%</w:t>
      </w:r>
      <w:r>
        <w:rPr>
          <w:rFonts w:hint="eastAsia" w:ascii="仿宋" w:hAnsi="仿宋" w:eastAsia="仿宋"/>
          <w:sz w:val="32"/>
          <w:szCs w:val="32"/>
        </w:rPr>
        <w:t>；卫生健康支出</w:t>
      </w:r>
      <w:r>
        <w:rPr>
          <w:rFonts w:ascii="仿宋" w:hAnsi="仿宋" w:eastAsia="仿宋"/>
          <w:sz w:val="32"/>
          <w:szCs w:val="32"/>
        </w:rPr>
        <w:t>9.31</w:t>
      </w:r>
      <w:r>
        <w:rPr>
          <w:rFonts w:hint="eastAsia" w:ascii="仿宋" w:hAnsi="仿宋" w:eastAsia="仿宋"/>
          <w:sz w:val="32"/>
          <w:szCs w:val="32"/>
        </w:rPr>
        <w:t>万元，占</w:t>
      </w:r>
      <w:r>
        <w:rPr>
          <w:rFonts w:ascii="仿宋" w:hAnsi="仿宋" w:eastAsia="仿宋"/>
          <w:sz w:val="32"/>
          <w:szCs w:val="32"/>
        </w:rPr>
        <w:t>5.5%</w:t>
      </w:r>
      <w:r>
        <w:rPr>
          <w:rFonts w:hint="eastAsia" w:ascii="仿宋" w:hAnsi="仿宋" w:eastAsia="仿宋"/>
          <w:sz w:val="32"/>
          <w:szCs w:val="32"/>
        </w:rPr>
        <w:t>；城乡社区支出</w:t>
      </w:r>
      <w:r>
        <w:rPr>
          <w:rFonts w:ascii="仿宋" w:hAnsi="仿宋" w:eastAsia="仿宋"/>
          <w:sz w:val="32"/>
          <w:szCs w:val="32"/>
        </w:rPr>
        <w:t>135.91</w:t>
      </w:r>
      <w:r>
        <w:rPr>
          <w:rFonts w:hint="eastAsia" w:ascii="仿宋" w:hAnsi="仿宋" w:eastAsia="仿宋"/>
          <w:sz w:val="32"/>
          <w:szCs w:val="32"/>
        </w:rPr>
        <w:t>万元，占</w:t>
      </w:r>
      <w:r>
        <w:rPr>
          <w:rFonts w:ascii="仿宋" w:hAnsi="仿宋" w:eastAsia="仿宋"/>
          <w:sz w:val="32"/>
          <w:szCs w:val="32"/>
        </w:rPr>
        <w:t>79.9%</w:t>
      </w:r>
      <w:r>
        <w:rPr>
          <w:rFonts w:hint="eastAsia" w:ascii="仿宋" w:hAnsi="仿宋" w:eastAsia="仿宋"/>
          <w:sz w:val="32"/>
          <w:szCs w:val="32"/>
        </w:rPr>
        <w:t>；住房保障支出</w:t>
      </w:r>
      <w:r>
        <w:rPr>
          <w:rFonts w:ascii="仿宋" w:hAnsi="仿宋" w:eastAsia="仿宋"/>
          <w:sz w:val="32"/>
          <w:szCs w:val="32"/>
        </w:rPr>
        <w:t>12.85</w:t>
      </w:r>
      <w:r>
        <w:rPr>
          <w:rFonts w:hint="eastAsia" w:ascii="仿宋" w:hAnsi="仿宋" w:eastAsia="仿宋"/>
          <w:sz w:val="32"/>
          <w:szCs w:val="32"/>
        </w:rPr>
        <w:t>万元，占</w:t>
      </w:r>
      <w:r>
        <w:rPr>
          <w:rFonts w:ascii="仿宋" w:hAnsi="仿宋" w:eastAsia="仿宋"/>
          <w:sz w:val="32"/>
          <w:szCs w:val="32"/>
        </w:rPr>
        <w:t>7.</w:t>
      </w:r>
      <w:r>
        <w:rPr>
          <w:rFonts w:hint="eastAsia" w:ascii="仿宋" w:hAnsi="仿宋" w:eastAsia="仿宋"/>
          <w:sz w:val="32"/>
          <w:szCs w:val="32"/>
        </w:rPr>
        <w:t>5</w:t>
      </w:r>
      <w:r>
        <w:rPr>
          <w:rFonts w:ascii="仿宋" w:hAnsi="仿宋" w:eastAsia="仿宋"/>
          <w:sz w:val="32"/>
          <w:szCs w:val="32"/>
        </w:rPr>
        <w:t>%</w:t>
      </w:r>
      <w:r>
        <w:rPr>
          <w:rFonts w:hint="eastAsia" w:ascii="仿宋" w:hAnsi="仿宋" w:eastAsia="仿宋"/>
          <w:sz w:val="32"/>
          <w:szCs w:val="32"/>
        </w:rPr>
        <w:t>。</w:t>
      </w:r>
    </w:p>
    <w:p w14:paraId="22490DFE">
      <w:pPr>
        <w:pStyle w:val="2"/>
        <w:spacing w:before="93"/>
        <w:jc w:val="center"/>
        <w:rPr>
          <w:lang w:val="zh-CN"/>
        </w:rPr>
      </w:pPr>
      <w:r>
        <w:rPr>
          <w:rFonts w:hint="eastAsia" w:ascii="楷体" w:eastAsia="楷体" w:cs="楷体" w:hAnsiTheme="minorHAnsi"/>
          <w:color w:val="000000"/>
          <w:sz w:val="32"/>
          <w:szCs w:val="32"/>
          <w:lang w:val="zh-CN"/>
        </w:rPr>
        <w:object>
          <v:shape id="_x0000_i1032" o:spt="75" type="#_x0000_t75" style="height:146.25pt;width:238.5pt;" o:ole="t" filled="f" o:preferrelative="t" stroked="f" coordsize="21600,21600">
            <v:path/>
            <v:fill on="f" focussize="0,0"/>
            <v:stroke on="f" joinstyle="miter"/>
            <v:imagedata r:id="rId23" o:title=""/>
            <o:lock v:ext="edit" aspectratio="t"/>
            <w10:wrap type="none"/>
            <w10:anchorlock/>
          </v:shape>
          <o:OLEObject Type="Embed" ProgID="Picture.PicObj.1" ShapeID="_x0000_i1032" DrawAspect="Content" ObjectID="_1468075732" r:id="rId22">
            <o:LockedField>false</o:LockedField>
          </o:OLEObject>
        </w:object>
      </w:r>
    </w:p>
    <w:p w14:paraId="495846F1">
      <w:pPr>
        <w:spacing w:line="600" w:lineRule="exact"/>
        <w:ind w:firstLine="643" w:firstLineChars="200"/>
        <w:outlineLvl w:val="2"/>
        <w:rPr>
          <w:rFonts w:ascii="仿宋" w:hAnsi="仿宋" w:eastAsia="仿宋"/>
          <w:b/>
          <w:sz w:val="32"/>
          <w:szCs w:val="32"/>
        </w:rPr>
      </w:pPr>
      <w:bookmarkStart w:id="17" w:name="_Toc15377212"/>
      <w:r>
        <w:rPr>
          <w:rFonts w:hint="eastAsia" w:ascii="仿宋" w:hAnsi="仿宋" w:eastAsia="仿宋"/>
          <w:b/>
          <w:sz w:val="32"/>
          <w:szCs w:val="32"/>
        </w:rPr>
        <w:t>（三）一般公共预算财政拨款支出决算具体情况</w:t>
      </w:r>
      <w:bookmarkEnd w:id="17"/>
    </w:p>
    <w:p w14:paraId="42E26D2E">
      <w:pPr>
        <w:keepNext/>
        <w:keepLines/>
        <w:spacing w:line="576" w:lineRule="exact"/>
        <w:ind w:firstLine="643"/>
        <w:rPr>
          <w:rFonts w:ascii="仿宋" w:hAnsi="仿宋" w:eastAsia="仿宋"/>
          <w:sz w:val="32"/>
          <w:szCs w:val="32"/>
        </w:rPr>
      </w:pPr>
      <w:r>
        <w:rPr>
          <w:rFonts w:ascii="仿宋" w:hAnsi="仿宋" w:eastAsia="仿宋"/>
          <w:sz w:val="32"/>
          <w:szCs w:val="32"/>
        </w:rPr>
        <w:t>2022</w:t>
      </w:r>
      <w:r>
        <w:rPr>
          <w:rFonts w:hint="eastAsia" w:ascii="仿宋" w:hAnsi="仿宋" w:eastAsia="仿宋"/>
          <w:sz w:val="32"/>
          <w:szCs w:val="32"/>
        </w:rPr>
        <w:t>年一般公共预算支出决算数为</w:t>
      </w:r>
      <w:r>
        <w:rPr>
          <w:rFonts w:ascii="仿宋" w:hAnsi="仿宋" w:eastAsia="仿宋"/>
          <w:sz w:val="32"/>
          <w:szCs w:val="32"/>
        </w:rPr>
        <w:t>170.1</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。其中：</w:t>
      </w:r>
    </w:p>
    <w:p w14:paraId="7192ADB6">
      <w:pPr>
        <w:spacing w:line="600" w:lineRule="exact"/>
        <w:ind w:firstLine="643" w:firstLineChars="200"/>
        <w:rPr>
          <w:rStyle w:val="14"/>
          <w:rFonts w:ascii="仿宋" w:hAnsi="仿宋" w:eastAsia="仿宋"/>
          <w:b w:val="0"/>
          <w:bCs/>
          <w:sz w:val="32"/>
          <w:szCs w:val="32"/>
        </w:rPr>
      </w:pPr>
      <w:r>
        <w:rPr>
          <w:rStyle w:val="14"/>
          <w:rFonts w:ascii="仿宋" w:hAnsi="仿宋" w:eastAsia="仿宋"/>
          <w:bCs/>
          <w:sz w:val="32"/>
          <w:szCs w:val="32"/>
        </w:rPr>
        <w:t>1.</w:t>
      </w:r>
      <w:r>
        <w:rPr>
          <w:rStyle w:val="14"/>
          <w:rFonts w:hint="eastAsia" w:ascii="仿宋" w:hAnsi="仿宋" w:eastAsia="仿宋"/>
          <w:bCs/>
          <w:sz w:val="32"/>
          <w:szCs w:val="32"/>
        </w:rPr>
        <w:t>社会保障和就业（类）行政事业单位养老支出（款）事业单位离退休（项）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支出决算为2.05万元，完成预算100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0A9D7F7A">
      <w:pPr>
        <w:spacing w:line="600" w:lineRule="exact"/>
        <w:ind w:firstLine="643" w:firstLineChars="200"/>
        <w:rPr>
          <w:rStyle w:val="14"/>
          <w:rFonts w:ascii="仿宋" w:hAnsi="仿宋" w:eastAsia="仿宋"/>
          <w:b w:val="0"/>
          <w:bCs/>
          <w:sz w:val="32"/>
          <w:szCs w:val="32"/>
        </w:rPr>
      </w:pPr>
      <w:r>
        <w:rPr>
          <w:rStyle w:val="14"/>
          <w:rFonts w:hint="eastAsia" w:ascii="仿宋" w:hAnsi="仿宋" w:eastAsia="仿宋"/>
          <w:bCs/>
          <w:sz w:val="32"/>
          <w:szCs w:val="32"/>
        </w:rPr>
        <w:t>2.社会保障和就业（类）行政事业单位养老支出（款）机关事业单位基本养老保险缴费支出（项）</w:t>
      </w:r>
      <w:r>
        <w:rPr>
          <w:rStyle w:val="14"/>
          <w:rFonts w:ascii="仿宋" w:hAnsi="仿宋" w:eastAsia="仿宋"/>
          <w:bCs/>
          <w:sz w:val="32"/>
          <w:szCs w:val="32"/>
        </w:rPr>
        <w:t>:</w:t>
      </w:r>
      <w:r>
        <w:rPr>
          <w:rStyle w:val="14"/>
          <w:rFonts w:ascii="仿宋" w:hAnsi="仿宋" w:eastAsia="仿宋"/>
          <w:b w:val="0"/>
          <w:bCs/>
          <w:sz w:val="32"/>
          <w:szCs w:val="32"/>
        </w:rPr>
        <w:t xml:space="preserve"> </w:t>
      </w:r>
      <w:r>
        <w:rPr>
          <w:rStyle w:val="14"/>
          <w:rFonts w:hint="eastAsia" w:ascii="仿宋" w:hAnsi="仿宋" w:eastAsia="仿宋"/>
          <w:b w:val="0"/>
          <w:bCs/>
          <w:sz w:val="32"/>
          <w:szCs w:val="32"/>
        </w:rPr>
        <w:t>支出决算为9.98万元，完成预算100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725747AE">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3</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（类）行政事业单位医疗（款）事业单位医疗（项）</w:t>
      </w:r>
      <w:r>
        <w:rPr>
          <w:rStyle w:val="14"/>
          <w:rFonts w:ascii="仿宋" w:hAnsi="仿宋" w:eastAsia="仿宋"/>
          <w:bCs/>
          <w:sz w:val="32"/>
          <w:szCs w:val="32"/>
        </w:rPr>
        <w:t>:</w:t>
      </w:r>
      <w:r>
        <w:rPr>
          <w:rStyle w:val="14"/>
          <w:rFonts w:hint="eastAsia" w:ascii="仿宋" w:hAnsi="仿宋" w:eastAsia="仿宋"/>
          <w:b w:val="0"/>
          <w:bCs/>
          <w:sz w:val="32"/>
          <w:szCs w:val="32"/>
        </w:rPr>
        <w:t>支出决算为8.44万元，完成预算100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6B3429BF">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4</w:t>
      </w:r>
      <w:r>
        <w:rPr>
          <w:rStyle w:val="14"/>
          <w:rFonts w:ascii="仿宋" w:hAnsi="仿宋" w:eastAsia="仿宋"/>
          <w:bCs/>
          <w:sz w:val="32"/>
          <w:szCs w:val="32"/>
        </w:rPr>
        <w:t>.</w:t>
      </w:r>
      <w:r>
        <w:rPr>
          <w:rFonts w:hint="eastAsia" w:ascii="仿宋" w:hAnsi="仿宋" w:eastAsia="仿宋"/>
          <w:b/>
          <w:bCs/>
          <w:sz w:val="32"/>
          <w:szCs w:val="32"/>
        </w:rPr>
        <w:t>卫生健康</w:t>
      </w:r>
      <w:r>
        <w:rPr>
          <w:rStyle w:val="14"/>
          <w:rFonts w:hint="eastAsia" w:ascii="仿宋" w:hAnsi="仿宋" w:eastAsia="仿宋"/>
          <w:bCs/>
          <w:sz w:val="32"/>
          <w:szCs w:val="32"/>
        </w:rPr>
        <w:t>（类）行政事业单位医疗（款）公务员医疗补助（项）</w:t>
      </w:r>
      <w:r>
        <w:rPr>
          <w:rStyle w:val="14"/>
          <w:rFonts w:ascii="仿宋" w:hAnsi="仿宋" w:eastAsia="仿宋"/>
          <w:bCs/>
          <w:sz w:val="32"/>
          <w:szCs w:val="32"/>
        </w:rPr>
        <w:t>:</w:t>
      </w:r>
      <w:r>
        <w:rPr>
          <w:rStyle w:val="14"/>
          <w:rFonts w:hint="eastAsia" w:ascii="仿宋" w:hAnsi="仿宋" w:eastAsia="仿宋"/>
          <w:b w:val="0"/>
          <w:bCs/>
          <w:sz w:val="32"/>
          <w:szCs w:val="32"/>
        </w:rPr>
        <w:t>支出决算为0.87万元，完成预算100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3FC5B410">
      <w:pPr>
        <w:spacing w:line="600" w:lineRule="exact"/>
        <w:ind w:firstLine="420" w:firstLineChars="200"/>
        <w:rPr>
          <w:rFonts w:ascii="仿宋" w:hAnsi="仿宋" w:eastAsia="仿宋"/>
          <w:b/>
          <w:sz w:val="32"/>
          <w:szCs w:val="32"/>
        </w:rPr>
      </w:pPr>
      <w:r>
        <w:rPr>
          <w:rFonts w:hint="eastAsia"/>
        </w:rPr>
        <w:t xml:space="preserve">   </w:t>
      </w:r>
      <w:r>
        <w:rPr>
          <w:rStyle w:val="14"/>
          <w:rFonts w:hint="eastAsia" w:ascii="仿宋" w:hAnsi="仿宋" w:eastAsia="仿宋"/>
          <w:bCs/>
          <w:sz w:val="32"/>
          <w:szCs w:val="32"/>
        </w:rPr>
        <w:t>5</w:t>
      </w:r>
      <w:r>
        <w:rPr>
          <w:rStyle w:val="14"/>
          <w:rFonts w:ascii="仿宋" w:hAnsi="仿宋" w:eastAsia="仿宋"/>
          <w:bCs/>
          <w:sz w:val="32"/>
          <w:szCs w:val="32"/>
        </w:rPr>
        <w:t>.</w:t>
      </w:r>
      <w:r>
        <w:rPr>
          <w:rFonts w:hint="eastAsia"/>
        </w:rPr>
        <w:t xml:space="preserve"> </w:t>
      </w:r>
      <w:r>
        <w:rPr>
          <w:rFonts w:hint="eastAsia" w:ascii="仿宋" w:hAnsi="仿宋" w:eastAsia="仿宋"/>
          <w:b/>
          <w:bCs/>
          <w:sz w:val="32"/>
          <w:szCs w:val="32"/>
        </w:rPr>
        <w:t>城乡社区支出</w:t>
      </w:r>
      <w:r>
        <w:rPr>
          <w:rStyle w:val="14"/>
          <w:rFonts w:hint="eastAsia" w:ascii="仿宋" w:hAnsi="仿宋" w:eastAsia="仿宋"/>
          <w:bCs/>
          <w:sz w:val="32"/>
          <w:szCs w:val="32"/>
        </w:rPr>
        <w:t>（类）城乡社区管理事务（款）其他城乡社区管理事务支出（项）</w:t>
      </w:r>
      <w:r>
        <w:rPr>
          <w:rStyle w:val="14"/>
          <w:rFonts w:ascii="仿宋" w:hAnsi="仿宋" w:eastAsia="仿宋"/>
          <w:bCs/>
          <w:sz w:val="32"/>
          <w:szCs w:val="32"/>
        </w:rPr>
        <w:t>:</w:t>
      </w:r>
      <w:r>
        <w:rPr>
          <w:rStyle w:val="14"/>
          <w:rFonts w:hint="eastAsia" w:ascii="仿宋" w:hAnsi="仿宋" w:eastAsia="仿宋"/>
          <w:b w:val="0"/>
          <w:bCs/>
          <w:sz w:val="32"/>
          <w:szCs w:val="32"/>
        </w:rPr>
        <w:t>支出决算为135.91万元，完成预算100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19D8F0C2">
      <w:pPr>
        <w:spacing w:line="600" w:lineRule="exact"/>
        <w:ind w:firstLine="643" w:firstLineChars="200"/>
        <w:rPr>
          <w:rFonts w:ascii="仿宋" w:hAnsi="仿宋" w:eastAsia="仿宋"/>
          <w:b/>
          <w:sz w:val="32"/>
          <w:szCs w:val="32"/>
        </w:rPr>
      </w:pPr>
      <w:r>
        <w:rPr>
          <w:rStyle w:val="14"/>
          <w:rFonts w:hint="eastAsia" w:ascii="仿宋" w:hAnsi="仿宋" w:eastAsia="仿宋"/>
          <w:bCs/>
          <w:sz w:val="32"/>
          <w:szCs w:val="32"/>
        </w:rPr>
        <w:t>6</w:t>
      </w:r>
      <w:r>
        <w:rPr>
          <w:rStyle w:val="14"/>
          <w:rFonts w:ascii="仿宋" w:hAnsi="仿宋" w:eastAsia="仿宋"/>
          <w:bCs/>
          <w:sz w:val="32"/>
          <w:szCs w:val="32"/>
        </w:rPr>
        <w:t>.</w:t>
      </w:r>
      <w:r>
        <w:rPr>
          <w:rFonts w:hint="eastAsia" w:ascii="仿宋" w:hAnsi="仿宋" w:eastAsia="仿宋"/>
          <w:b/>
          <w:bCs/>
          <w:sz w:val="32"/>
          <w:szCs w:val="32"/>
        </w:rPr>
        <w:t xml:space="preserve"> 住房保障支出</w:t>
      </w:r>
      <w:r>
        <w:rPr>
          <w:rStyle w:val="14"/>
          <w:rFonts w:hint="eastAsia" w:ascii="仿宋" w:hAnsi="仿宋" w:eastAsia="仿宋"/>
          <w:bCs/>
          <w:sz w:val="32"/>
          <w:szCs w:val="32"/>
        </w:rPr>
        <w:t>（类）住房改革支出（款）住房公积金（项）</w:t>
      </w:r>
      <w:r>
        <w:rPr>
          <w:rStyle w:val="14"/>
          <w:rFonts w:ascii="仿宋" w:hAnsi="仿宋" w:eastAsia="仿宋"/>
          <w:bCs/>
          <w:sz w:val="32"/>
          <w:szCs w:val="32"/>
        </w:rPr>
        <w:t>:</w:t>
      </w:r>
      <w:r>
        <w:rPr>
          <w:rStyle w:val="14"/>
          <w:rFonts w:hint="eastAsia" w:ascii="仿宋" w:hAnsi="仿宋" w:eastAsia="仿宋"/>
          <w:b w:val="0"/>
          <w:bCs/>
          <w:sz w:val="32"/>
          <w:szCs w:val="32"/>
        </w:rPr>
        <w:t>支出决算为12.85万元，完成预算100</w:t>
      </w:r>
      <w:r>
        <w:rPr>
          <w:rStyle w:val="14"/>
          <w:rFonts w:ascii="仿宋" w:hAnsi="仿宋" w:eastAsia="仿宋"/>
          <w:b w:val="0"/>
          <w:bCs/>
          <w:sz w:val="32"/>
          <w:szCs w:val="32"/>
        </w:rPr>
        <w:t>%</w:t>
      </w:r>
      <w:r>
        <w:rPr>
          <w:rStyle w:val="14"/>
          <w:rFonts w:hint="eastAsia" w:ascii="仿宋" w:hAnsi="仿宋" w:eastAsia="仿宋"/>
          <w:b w:val="0"/>
          <w:bCs/>
          <w:sz w:val="32"/>
          <w:szCs w:val="32"/>
        </w:rPr>
        <w:t>。</w:t>
      </w:r>
    </w:p>
    <w:p w14:paraId="1A5BE532">
      <w:pPr>
        <w:tabs>
          <w:tab w:val="right" w:pos="8306"/>
        </w:tabs>
        <w:spacing w:line="600" w:lineRule="exact"/>
        <w:ind w:firstLine="640"/>
        <w:outlineLvl w:val="1"/>
        <w:rPr>
          <w:rStyle w:val="25"/>
        </w:rPr>
      </w:pPr>
      <w:bookmarkStart w:id="18" w:name="_Toc15377214"/>
      <w:bookmarkStart w:id="1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5"/>
          <w:rFonts w:hint="eastAsia" w:ascii="黑体" w:hAnsi="黑体" w:eastAsia="黑体"/>
          <w:b w:val="0"/>
        </w:rPr>
        <w:t>般公共预算财政拨款基本支出决算情况说明</w:t>
      </w:r>
      <w:bookmarkEnd w:id="18"/>
      <w:bookmarkEnd w:id="19"/>
      <w:r>
        <w:rPr>
          <w:rStyle w:val="25"/>
          <w:rFonts w:ascii="黑体" w:hAnsi="黑体" w:eastAsia="黑体"/>
          <w:b w:val="0"/>
        </w:rPr>
        <w:tab/>
      </w:r>
    </w:p>
    <w:p w14:paraId="4BE8A222">
      <w:pPr>
        <w:spacing w:line="576" w:lineRule="exact"/>
        <w:ind w:firstLine="640"/>
        <w:rPr>
          <w:rFonts w:ascii="仿宋_GB2312" w:hAnsi="Cambria" w:eastAsia="仿宋_GB2312" w:cs="仿宋_GB2312"/>
          <w:color w:val="000000"/>
          <w:sz w:val="32"/>
          <w:szCs w:val="32"/>
          <w:lang w:val="zh-CN"/>
        </w:rPr>
      </w:pPr>
      <w:r>
        <w:rPr>
          <w:rFonts w:ascii="仿宋_GB2312" w:hAnsi="Cambria" w:eastAsia="仿宋_GB2312" w:cs="仿宋_GB2312"/>
          <w:color w:val="000000"/>
          <w:sz w:val="32"/>
          <w:szCs w:val="32"/>
          <w:lang w:val="zh-CN"/>
        </w:rPr>
        <w:t>2022</w:t>
      </w:r>
      <w:r>
        <w:rPr>
          <w:rFonts w:hint="eastAsia" w:ascii="仿宋_GB2312" w:hAnsi="Cambria" w:eastAsia="仿宋_GB2312" w:cs="仿宋_GB2312"/>
          <w:color w:val="000000"/>
          <w:sz w:val="32"/>
          <w:szCs w:val="32"/>
          <w:lang w:val="zh-CN"/>
        </w:rPr>
        <w:t>年一般公共预算财政拨款基本支出</w:t>
      </w:r>
      <w:r>
        <w:rPr>
          <w:rFonts w:ascii="仿宋_GB2312" w:hAnsi="Cambria" w:eastAsia="仿宋_GB2312" w:cs="仿宋_GB2312"/>
          <w:color w:val="000000"/>
          <w:sz w:val="32"/>
          <w:szCs w:val="32"/>
          <w:lang w:val="zh-CN"/>
        </w:rPr>
        <w:t>170.1</w:t>
      </w:r>
      <w:r>
        <w:rPr>
          <w:rFonts w:hint="eastAsia" w:ascii="仿宋_GB2312" w:hAnsi="Cambria" w:eastAsia="仿宋_GB2312" w:cs="仿宋_GB2312"/>
          <w:color w:val="000000"/>
          <w:sz w:val="32"/>
          <w:szCs w:val="32"/>
          <w:lang w:val="zh-CN"/>
        </w:rPr>
        <w:t>万元，其中：</w:t>
      </w:r>
    </w:p>
    <w:p w14:paraId="659DF9B5">
      <w:pPr>
        <w:ind w:firstLine="643" w:firstLineChars="200"/>
        <w:rPr>
          <w:rFonts w:ascii="仿宋" w:hAnsi="Cambria" w:eastAsia="仿宋" w:cs="仿宋"/>
          <w:sz w:val="32"/>
          <w:szCs w:val="32"/>
        </w:rPr>
      </w:pPr>
      <w:r>
        <w:rPr>
          <w:rFonts w:hint="eastAsia" w:ascii="仿宋_GB2312" w:hAnsi="Cambria" w:eastAsia="仿宋_GB2312" w:cs="仿宋_GB2312"/>
          <w:b/>
          <w:bCs/>
          <w:color w:val="000000"/>
          <w:sz w:val="32"/>
          <w:szCs w:val="32"/>
          <w:lang w:val="zh-CN"/>
        </w:rPr>
        <w:t>人员经费</w:t>
      </w:r>
      <w:r>
        <w:rPr>
          <w:rFonts w:ascii="仿宋_GB2312" w:hAnsi="Cambria" w:eastAsia="仿宋_GB2312" w:cs="仿宋_GB2312"/>
          <w:color w:val="000000"/>
          <w:sz w:val="32"/>
          <w:szCs w:val="32"/>
          <w:lang w:val="zh-CN"/>
        </w:rPr>
        <w:t>164.33</w:t>
      </w:r>
      <w:r>
        <w:rPr>
          <w:rFonts w:hint="eastAsia" w:ascii="仿宋_GB2312" w:hAnsi="Cambria" w:eastAsia="仿宋_GB2312" w:cs="仿宋_GB2312"/>
          <w:color w:val="000000"/>
          <w:sz w:val="32"/>
          <w:szCs w:val="32"/>
          <w:lang w:val="zh-CN"/>
        </w:rPr>
        <w:t>万元，主要包括：</w:t>
      </w:r>
      <w:r>
        <w:rPr>
          <w:rFonts w:hint="eastAsia" w:ascii="仿宋" w:hAnsi="Cambria" w:eastAsia="仿宋" w:cs="仿宋"/>
          <w:sz w:val="32"/>
          <w:szCs w:val="32"/>
        </w:rPr>
        <w:t>基本工资、津贴补贴、奖金、绩效工资、机关事业单位基本养老保险缴费、职工基本医疗保险缴费、公务员医疗补助缴费、其他社会保障缴费、住房公积金、医疗费、其他工资福利支出、生活补助、医疗费补助</w:t>
      </w:r>
      <w:r>
        <w:rPr>
          <w:rFonts w:hint="eastAsia" w:ascii="仿宋_GB2312" w:hAnsi="Cambria" w:eastAsia="仿宋_GB2312" w:cs="仿宋_GB2312"/>
          <w:color w:val="000000"/>
          <w:sz w:val="32"/>
          <w:szCs w:val="32"/>
          <w:lang w:val="zh-CN"/>
        </w:rPr>
        <w:t>。</w:t>
      </w:r>
    </w:p>
    <w:p w14:paraId="5BE30487">
      <w:pPr>
        <w:spacing w:line="600" w:lineRule="exact"/>
        <w:ind w:firstLine="645"/>
        <w:rPr>
          <w:rFonts w:ascii="仿宋" w:hAnsi="仿宋" w:eastAsia="仿宋"/>
          <w:sz w:val="32"/>
          <w:szCs w:val="32"/>
        </w:rPr>
      </w:pPr>
      <w:r>
        <w:rPr>
          <w:rFonts w:hint="eastAsia" w:ascii="仿宋_GB2312" w:hAnsi="Cambria" w:eastAsia="仿宋_GB2312" w:cs="仿宋_GB2312"/>
          <w:b/>
          <w:bCs/>
          <w:color w:val="000000"/>
          <w:sz w:val="32"/>
          <w:szCs w:val="32"/>
          <w:lang w:val="zh-CN"/>
        </w:rPr>
        <w:t>公用经费</w:t>
      </w:r>
      <w:r>
        <w:rPr>
          <w:rFonts w:ascii="仿宋_GB2312" w:hAnsi="Cambria" w:eastAsia="仿宋_GB2312" w:cs="仿宋_GB2312"/>
          <w:color w:val="000000"/>
          <w:sz w:val="32"/>
          <w:szCs w:val="32"/>
          <w:lang w:val="zh-CN"/>
        </w:rPr>
        <w:t>5.77</w:t>
      </w:r>
      <w:r>
        <w:rPr>
          <w:rFonts w:hint="eastAsia" w:ascii="仿宋_GB2312" w:hAnsi="Cambria" w:eastAsia="仿宋_GB2312" w:cs="仿宋_GB2312"/>
          <w:color w:val="000000"/>
          <w:sz w:val="32"/>
          <w:szCs w:val="32"/>
          <w:lang w:val="zh-CN"/>
        </w:rPr>
        <w:t>万元，主要包括：</w:t>
      </w:r>
      <w:r>
        <w:rPr>
          <w:rFonts w:hint="eastAsia" w:ascii="仿宋" w:hAnsi="Cambria" w:eastAsia="仿宋" w:cs="仿宋"/>
          <w:sz w:val="32"/>
          <w:szCs w:val="32"/>
        </w:rPr>
        <w:t>办公费、邮电费、差旅费、维修（护）费、会议费、培训费、工会经费、福利费</w:t>
      </w:r>
      <w:r>
        <w:rPr>
          <w:rFonts w:hint="eastAsia" w:ascii="仿宋_GB2312" w:hAnsi="Cambria" w:eastAsia="仿宋_GB2312" w:cs="仿宋_GB2312"/>
          <w:color w:val="000000"/>
          <w:sz w:val="32"/>
          <w:szCs w:val="32"/>
          <w:lang w:val="zh-CN"/>
        </w:rPr>
        <w:t>。</w:t>
      </w:r>
    </w:p>
    <w:p w14:paraId="31DB4BD3">
      <w:pPr>
        <w:spacing w:line="600" w:lineRule="exact"/>
        <w:ind w:firstLine="640"/>
        <w:outlineLvl w:val="1"/>
        <w:rPr>
          <w:rStyle w:val="25"/>
          <w:rFonts w:ascii="黑体" w:hAnsi="黑体" w:eastAsia="黑体"/>
          <w:b w:val="0"/>
        </w:rPr>
      </w:pPr>
      <w:bookmarkStart w:id="20" w:name="_Toc15396609"/>
      <w:bookmarkStart w:id="21" w:name="_Toc15377215"/>
      <w:r>
        <w:rPr>
          <w:rFonts w:hint="eastAsia" w:ascii="黑体" w:eastAsia="黑体"/>
          <w:sz w:val="32"/>
          <w:szCs w:val="32"/>
        </w:rPr>
        <w:t>七、</w:t>
      </w:r>
      <w:r>
        <w:rPr>
          <w:rStyle w:val="25"/>
          <w:rFonts w:hint="eastAsia" w:ascii="黑体" w:hAnsi="黑体" w:eastAsia="黑体"/>
          <w:b w:val="0"/>
        </w:rPr>
        <w:t>财政拨款</w:t>
      </w:r>
      <w:r>
        <w:rPr>
          <w:rStyle w:val="25"/>
          <w:rFonts w:hint="eastAsia" w:ascii="黑体" w:hAnsi="黑体" w:eastAsia="黑体"/>
        </w:rPr>
        <w:t>“</w:t>
      </w:r>
      <w:r>
        <w:rPr>
          <w:rStyle w:val="25"/>
          <w:rFonts w:hint="eastAsia" w:ascii="黑体" w:hAnsi="黑体" w:eastAsia="黑体"/>
          <w:b w:val="0"/>
        </w:rPr>
        <w:t>三公”经费支出决算情况说明</w:t>
      </w:r>
      <w:bookmarkEnd w:id="20"/>
      <w:bookmarkEnd w:id="21"/>
    </w:p>
    <w:p w14:paraId="17CE127C">
      <w:pPr>
        <w:spacing w:line="600" w:lineRule="exact"/>
        <w:ind w:firstLine="640"/>
        <w:outlineLvl w:val="2"/>
        <w:rPr>
          <w:rFonts w:ascii="仿宋" w:hAnsi="仿宋" w:eastAsia="仿宋"/>
          <w:b/>
          <w:sz w:val="32"/>
          <w:szCs w:val="32"/>
        </w:rPr>
      </w:pPr>
      <w:bookmarkStart w:id="22" w:name="_Toc15377216"/>
      <w:r>
        <w:rPr>
          <w:rFonts w:hint="eastAsia" w:ascii="仿宋" w:hAnsi="仿宋" w:eastAsia="仿宋"/>
          <w:b/>
          <w:sz w:val="32"/>
          <w:szCs w:val="32"/>
        </w:rPr>
        <w:t>（一）“三公”经费财政拨款支出决算总体情况说明</w:t>
      </w:r>
      <w:bookmarkEnd w:id="22"/>
    </w:p>
    <w:p w14:paraId="6F3C3E00">
      <w:pPr>
        <w:spacing w:line="600" w:lineRule="exact"/>
        <w:ind w:firstLine="640"/>
        <w:outlineLvl w:val="2"/>
        <w:rPr>
          <w:rFonts w:ascii="仿宋" w:hAnsi="仿宋" w:eastAsia="仿宋"/>
          <w:b/>
          <w:sz w:val="32"/>
          <w:szCs w:val="32"/>
        </w:rPr>
      </w:pPr>
      <w:r>
        <w:rPr>
          <w:rFonts w:ascii="仿宋" w:hAnsi="仿宋" w:eastAsia="仿宋"/>
          <w:sz w:val="32"/>
          <w:szCs w:val="32"/>
        </w:rPr>
        <w:t>2022</w:t>
      </w:r>
      <w:r>
        <w:rPr>
          <w:rFonts w:hint="eastAsia" w:ascii="仿宋" w:hAnsi="仿宋" w:eastAsia="仿宋"/>
          <w:sz w:val="32"/>
          <w:szCs w:val="32"/>
        </w:rPr>
        <w:t>年</w:t>
      </w:r>
      <w:r>
        <w:rPr>
          <w:rFonts w:ascii="仿宋" w:hAnsi="仿宋" w:eastAsia="仿宋"/>
          <w:sz w:val="32"/>
          <w:szCs w:val="32"/>
        </w:rPr>
        <w:t>“</w:t>
      </w:r>
      <w:r>
        <w:rPr>
          <w:rFonts w:hint="eastAsia" w:ascii="仿宋" w:hAnsi="仿宋" w:eastAsia="仿宋"/>
          <w:sz w:val="32"/>
          <w:szCs w:val="32"/>
        </w:rPr>
        <w:t>三公</w:t>
      </w:r>
      <w:r>
        <w:rPr>
          <w:rFonts w:ascii="仿宋" w:hAnsi="仿宋" w:eastAsia="仿宋"/>
          <w:sz w:val="32"/>
          <w:szCs w:val="32"/>
        </w:rPr>
        <w:t>”</w:t>
      </w:r>
      <w:r>
        <w:rPr>
          <w:rFonts w:hint="eastAsia" w:ascii="仿宋" w:hAnsi="仿宋" w:eastAsia="仿宋"/>
          <w:sz w:val="32"/>
          <w:szCs w:val="32"/>
        </w:rPr>
        <w:t>经费财政拨款支出决算为</w:t>
      </w:r>
      <w:r>
        <w:rPr>
          <w:rFonts w:ascii="仿宋" w:hAnsi="仿宋" w:eastAsia="仿宋"/>
          <w:sz w:val="32"/>
          <w:szCs w:val="32"/>
        </w:rPr>
        <w:t>0</w:t>
      </w:r>
      <w:r>
        <w:rPr>
          <w:rFonts w:hint="eastAsia" w:ascii="仿宋" w:hAnsi="仿宋" w:eastAsia="仿宋"/>
          <w:sz w:val="32"/>
          <w:szCs w:val="32"/>
        </w:rPr>
        <w:t>万元，完成预算</w:t>
      </w:r>
      <w:r>
        <w:rPr>
          <w:rFonts w:ascii="仿宋" w:hAnsi="仿宋" w:eastAsia="仿宋"/>
          <w:sz w:val="32"/>
          <w:szCs w:val="32"/>
        </w:rPr>
        <w:t>0%</w:t>
      </w:r>
      <w:r>
        <w:rPr>
          <w:rFonts w:hint="eastAsia" w:ascii="仿宋" w:hAnsi="仿宋" w:eastAsia="仿宋"/>
          <w:sz w:val="32"/>
          <w:szCs w:val="32"/>
        </w:rPr>
        <w:t>；与上年度持平。决算数小于预算数的主要原因是严格执行接待制度。</w:t>
      </w:r>
    </w:p>
    <w:p w14:paraId="39841A0D">
      <w:pPr>
        <w:spacing w:line="600" w:lineRule="exact"/>
        <w:ind w:firstLine="640"/>
        <w:outlineLvl w:val="2"/>
        <w:rPr>
          <w:rFonts w:ascii="仿宋" w:hAnsi="仿宋" w:eastAsia="仿宋"/>
          <w:b/>
          <w:sz w:val="32"/>
          <w:szCs w:val="32"/>
        </w:rPr>
      </w:pPr>
      <w:bookmarkStart w:id="23" w:name="_Toc15377217"/>
      <w:r>
        <w:rPr>
          <w:rFonts w:hint="eastAsia" w:ascii="仿宋" w:hAnsi="仿宋" w:eastAsia="仿宋"/>
          <w:b/>
          <w:sz w:val="32"/>
          <w:szCs w:val="32"/>
        </w:rPr>
        <w:t>（二）“三公”经费财政拨款支出决算具体情况说明</w:t>
      </w:r>
      <w:bookmarkEnd w:id="23"/>
    </w:p>
    <w:p w14:paraId="60A70231">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22年“三公”经费财政拨款支出决算中，因公出国（境）费支出决算0万元；公务用车购置及运行维护费支出决算0万元；公务接待费支出决算0万元。具体情况如下：</w:t>
      </w:r>
    </w:p>
    <w:p w14:paraId="1B3DA7A6">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4"/>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全年安排因公出国（境）团组0次，出国（境）0人。因公出国（境）支出决算比</w:t>
      </w:r>
      <w:r>
        <w:rPr>
          <w:rFonts w:ascii="仿宋_GB2312" w:eastAsia="仿宋_GB2312"/>
          <w:sz w:val="32"/>
          <w:szCs w:val="32"/>
        </w:rPr>
        <w:t>20</w:t>
      </w:r>
      <w:r>
        <w:rPr>
          <w:rFonts w:hint="eastAsia" w:ascii="仿宋_GB2312" w:eastAsia="仿宋_GB2312"/>
          <w:sz w:val="32"/>
          <w:szCs w:val="32"/>
        </w:rPr>
        <w:t>21年持平。</w:t>
      </w:r>
    </w:p>
    <w:p w14:paraId="0D9C36F2">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4"/>
          <w:rFonts w:hint="eastAsia" w:ascii="仿宋" w:hAnsi="仿宋" w:eastAsia="仿宋"/>
          <w:b w:val="0"/>
          <w:bCs/>
          <w:sz w:val="32"/>
          <w:szCs w:val="32"/>
        </w:rPr>
        <w:t>。</w:t>
      </w:r>
      <w:r>
        <w:rPr>
          <w:rFonts w:hint="eastAsia" w:ascii="仿宋_GB2312" w:eastAsia="仿宋_GB2312"/>
          <w:sz w:val="32"/>
          <w:szCs w:val="32"/>
        </w:rPr>
        <w:t>公务用车购置及运行维护费支出决算比</w:t>
      </w:r>
      <w:r>
        <w:rPr>
          <w:rFonts w:ascii="仿宋_GB2312" w:eastAsia="仿宋_GB2312"/>
          <w:sz w:val="32"/>
          <w:szCs w:val="32"/>
        </w:rPr>
        <w:t>20</w:t>
      </w:r>
      <w:r>
        <w:rPr>
          <w:rFonts w:hint="eastAsia" w:ascii="仿宋_GB2312" w:eastAsia="仿宋_GB2312"/>
          <w:sz w:val="32"/>
          <w:szCs w:val="32"/>
        </w:rPr>
        <w:t>21年持平（</w:t>
      </w:r>
      <w:r>
        <w:rPr>
          <w:rStyle w:val="14"/>
          <w:rFonts w:hint="eastAsia" w:ascii="仿宋" w:hAnsi="仿宋" w:eastAsia="仿宋"/>
          <w:b w:val="0"/>
          <w:bCs/>
          <w:sz w:val="32"/>
          <w:szCs w:val="32"/>
        </w:rPr>
        <w:t>质安站无公务用车）</w:t>
      </w:r>
      <w:r>
        <w:rPr>
          <w:rFonts w:hint="eastAsia" w:ascii="仿宋_GB2312" w:eastAsia="仿宋_GB2312"/>
          <w:sz w:val="32"/>
          <w:szCs w:val="32"/>
        </w:rPr>
        <w:t>。</w:t>
      </w:r>
    </w:p>
    <w:p w14:paraId="3EA4C58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0万元。全年按规定更新购置公务用车0辆，其中：轿车0辆、金额0万元，越野车0辆、金额0万元，载客汽车0辆、金额0万元，主要用于公务用车购置。截至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66E3CFF6">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0万元。主要用于</w:t>
      </w:r>
      <w:r>
        <w:rPr>
          <w:rFonts w:hint="eastAsia" w:ascii="仿宋_GB2312" w:eastAsia="仿宋_GB2312"/>
          <w:sz w:val="32"/>
          <w:szCs w:val="32"/>
          <w:lang w:eastAsia="zh-CN"/>
        </w:rPr>
        <w:t>仁和区辖区内建设工程检查</w:t>
      </w:r>
      <w:r>
        <w:rPr>
          <w:rFonts w:hint="eastAsia" w:ascii="仿宋_GB2312" w:eastAsia="仿宋_GB2312"/>
          <w:sz w:val="32"/>
          <w:szCs w:val="32"/>
        </w:rPr>
        <w:t>等所需的公务用车燃料费、维修费、过路过桥费、保险费等支出。</w:t>
      </w:r>
    </w:p>
    <w:p w14:paraId="2C9FDFA2">
      <w:pPr>
        <w:spacing w:line="60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0万元，</w:t>
      </w:r>
      <w:r>
        <w:rPr>
          <w:rStyle w:val="14"/>
          <w:rFonts w:hint="eastAsia" w:ascii="仿宋" w:hAnsi="仿宋" w:eastAsia="仿宋"/>
          <w:b w:val="0"/>
          <w:bCs/>
          <w:sz w:val="32"/>
          <w:szCs w:val="32"/>
        </w:rPr>
        <w:t>完成预算0</w:t>
      </w:r>
      <w:r>
        <w:rPr>
          <w:rStyle w:val="14"/>
          <w:rFonts w:ascii="仿宋" w:hAnsi="仿宋" w:eastAsia="仿宋"/>
          <w:b w:val="0"/>
          <w:bCs/>
          <w:sz w:val="32"/>
          <w:szCs w:val="32"/>
        </w:rPr>
        <w:t>%</w:t>
      </w:r>
      <w:r>
        <w:rPr>
          <w:rStyle w:val="14"/>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21年持平。</w:t>
      </w:r>
    </w:p>
    <w:p w14:paraId="7353FB81">
      <w:pPr>
        <w:spacing w:line="600" w:lineRule="exact"/>
        <w:ind w:firstLine="640"/>
        <w:outlineLvl w:val="1"/>
        <w:rPr>
          <w:rStyle w:val="25"/>
          <w:rFonts w:ascii="黑体" w:hAnsi="黑体" w:eastAsia="黑体"/>
        </w:rPr>
      </w:pPr>
      <w:bookmarkStart w:id="24" w:name="_Toc15396610"/>
      <w:bookmarkStart w:id="25" w:name="_Toc15377218"/>
      <w:r>
        <w:rPr>
          <w:rFonts w:hint="eastAsia" w:ascii="黑体" w:eastAsia="黑体"/>
          <w:sz w:val="32"/>
          <w:szCs w:val="32"/>
        </w:rPr>
        <w:t>八、</w:t>
      </w:r>
      <w:r>
        <w:rPr>
          <w:rStyle w:val="25"/>
          <w:rFonts w:hint="eastAsia" w:ascii="黑体" w:hAnsi="黑体" w:eastAsia="黑体"/>
          <w:b w:val="0"/>
        </w:rPr>
        <w:t>政府性基金预算支出决算情况说明</w:t>
      </w:r>
      <w:bookmarkEnd w:id="24"/>
      <w:bookmarkEnd w:id="25"/>
    </w:p>
    <w:p w14:paraId="01A713C8">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22年政府性基金预算财政拨款支出0万元。</w:t>
      </w:r>
    </w:p>
    <w:p w14:paraId="45FBB7DB">
      <w:pPr>
        <w:numPr>
          <w:ilvl w:val="0"/>
          <w:numId w:val="2"/>
        </w:numPr>
        <w:spacing w:line="600" w:lineRule="exact"/>
        <w:ind w:firstLine="640"/>
        <w:outlineLvl w:val="1"/>
        <w:rPr>
          <w:rStyle w:val="25"/>
          <w:rFonts w:ascii="黑体" w:hAnsi="黑体" w:eastAsia="黑体"/>
          <w:b w:val="0"/>
        </w:rPr>
      </w:pPr>
      <w:bookmarkStart w:id="26" w:name="_Toc15377219"/>
      <w:bookmarkStart w:id="27" w:name="_Toc15396611"/>
      <w:r>
        <w:rPr>
          <w:rStyle w:val="25"/>
          <w:rFonts w:hint="eastAsia" w:ascii="黑体" w:hAnsi="黑体" w:eastAsia="黑体"/>
          <w:b w:val="0"/>
        </w:rPr>
        <w:t>国有资本经营预算支出决算情况说明</w:t>
      </w:r>
      <w:bookmarkEnd w:id="26"/>
      <w:bookmarkEnd w:id="27"/>
    </w:p>
    <w:p w14:paraId="25AA71EE">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22年国有资本经营预算财政拨款支出0万元。</w:t>
      </w:r>
    </w:p>
    <w:p w14:paraId="7B7AEDC8">
      <w:pPr>
        <w:numPr>
          <w:ilvl w:val="0"/>
          <w:numId w:val="2"/>
        </w:numPr>
        <w:spacing w:line="600" w:lineRule="exact"/>
        <w:ind w:firstLine="640"/>
        <w:outlineLvl w:val="1"/>
        <w:rPr>
          <w:rStyle w:val="25"/>
          <w:rFonts w:ascii="黑体" w:hAnsi="黑体" w:eastAsia="黑体"/>
          <w:b w:val="0"/>
        </w:rPr>
      </w:pPr>
      <w:bookmarkStart w:id="28" w:name="_Toc15377221"/>
      <w:bookmarkStart w:id="29" w:name="_Toc15396612"/>
      <w:r>
        <w:rPr>
          <w:rStyle w:val="25"/>
          <w:rFonts w:hint="eastAsia" w:ascii="黑体" w:hAnsi="黑体" w:eastAsia="黑体"/>
          <w:b w:val="0"/>
        </w:rPr>
        <w:t>其他重要事项的情况说明</w:t>
      </w:r>
      <w:bookmarkEnd w:id="28"/>
      <w:bookmarkEnd w:id="29"/>
    </w:p>
    <w:p w14:paraId="602F5206">
      <w:pPr>
        <w:spacing w:line="600" w:lineRule="exact"/>
        <w:ind w:firstLine="643" w:firstLineChars="200"/>
        <w:outlineLvl w:val="2"/>
        <w:rPr>
          <w:rFonts w:ascii="仿宋" w:hAnsi="仿宋" w:eastAsia="仿宋"/>
          <w:sz w:val="32"/>
          <w:szCs w:val="32"/>
        </w:rPr>
      </w:pPr>
      <w:bookmarkStart w:id="30" w:name="_Toc15377222"/>
      <w:r>
        <w:rPr>
          <w:rFonts w:hint="eastAsia" w:ascii="仿宋" w:hAnsi="仿宋" w:eastAsia="仿宋"/>
          <w:b/>
          <w:sz w:val="32"/>
          <w:szCs w:val="32"/>
        </w:rPr>
        <w:t>（一）机关运行经费支出情况</w:t>
      </w:r>
      <w:bookmarkEnd w:id="30"/>
    </w:p>
    <w:p w14:paraId="2A5387C1">
      <w:pPr>
        <w:spacing w:line="600" w:lineRule="exact"/>
        <w:ind w:firstLine="640" w:firstLineChars="200"/>
        <w:rPr>
          <w:rFonts w:ascii="仿宋_GB2312" w:eastAsia="仿宋_GB2312"/>
          <w:color w:val="000000"/>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仁和区建设工程质量安全站政补助的事业单位，无机关运行经费。</w:t>
      </w:r>
    </w:p>
    <w:p w14:paraId="005B7D00">
      <w:pPr>
        <w:autoSpaceDE w:val="0"/>
        <w:autoSpaceDN w:val="0"/>
        <w:adjustRightInd w:val="0"/>
        <w:spacing w:line="600" w:lineRule="exact"/>
        <w:ind w:firstLine="643" w:firstLineChars="200"/>
        <w:jc w:val="left"/>
        <w:outlineLvl w:val="2"/>
        <w:rPr>
          <w:rFonts w:ascii="仿宋" w:hAnsi="仿宋" w:eastAsia="仿宋"/>
          <w:b/>
          <w:sz w:val="32"/>
          <w:szCs w:val="32"/>
        </w:rPr>
      </w:pPr>
      <w:bookmarkStart w:id="31" w:name="_Toc15377223"/>
      <w:r>
        <w:rPr>
          <w:rFonts w:hint="eastAsia" w:ascii="仿宋" w:hAnsi="仿宋" w:eastAsia="仿宋"/>
          <w:b/>
          <w:sz w:val="32"/>
          <w:szCs w:val="32"/>
        </w:rPr>
        <w:t>（二）政府采购支出情况</w:t>
      </w:r>
      <w:bookmarkEnd w:id="31"/>
    </w:p>
    <w:p w14:paraId="3D104486">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22年，</w:t>
      </w:r>
      <w:r>
        <w:rPr>
          <w:rFonts w:hint="eastAsia" w:ascii="仿宋_GB2312" w:eastAsia="仿宋_GB2312"/>
          <w:color w:val="000000"/>
          <w:sz w:val="32"/>
          <w:szCs w:val="32"/>
        </w:rPr>
        <w:t>仁和区建设工程质量安全站未发生政府采购支出</w:t>
      </w:r>
      <w:r>
        <w:rPr>
          <w:rFonts w:hint="eastAsia" w:ascii="仿宋_GB2312" w:eastAsia="仿宋_GB2312"/>
          <w:sz w:val="32"/>
          <w:szCs w:val="32"/>
        </w:rPr>
        <w:t>。</w:t>
      </w:r>
    </w:p>
    <w:p w14:paraId="67ABA9DD">
      <w:pPr>
        <w:autoSpaceDE w:val="0"/>
        <w:autoSpaceDN w:val="0"/>
        <w:adjustRightInd w:val="0"/>
        <w:spacing w:line="600" w:lineRule="exact"/>
        <w:ind w:firstLine="643" w:firstLineChars="200"/>
        <w:jc w:val="left"/>
        <w:outlineLvl w:val="2"/>
        <w:rPr>
          <w:rFonts w:ascii="仿宋" w:hAnsi="仿宋" w:eastAsia="仿宋"/>
          <w:b/>
          <w:sz w:val="32"/>
          <w:szCs w:val="32"/>
        </w:rPr>
      </w:pPr>
      <w:bookmarkStart w:id="32" w:name="_Toc15377224"/>
      <w:r>
        <w:rPr>
          <w:rFonts w:hint="eastAsia" w:ascii="仿宋" w:hAnsi="仿宋" w:eastAsia="仿宋"/>
          <w:b/>
          <w:sz w:val="32"/>
          <w:szCs w:val="32"/>
        </w:rPr>
        <w:t>（三）国有资产占有使用情况</w:t>
      </w:r>
      <w:bookmarkEnd w:id="32"/>
    </w:p>
    <w:p w14:paraId="29D25789">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22年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仁和区建设工程质量安全站</w:t>
      </w:r>
      <w:r>
        <w:rPr>
          <w:rFonts w:hint="eastAsia" w:ascii="仿宋_GB2312" w:eastAsia="仿宋_GB2312"/>
          <w:sz w:val="32"/>
          <w:szCs w:val="32"/>
        </w:rPr>
        <w:t>共有车辆0辆。</w:t>
      </w:r>
    </w:p>
    <w:p w14:paraId="7BFAE75E">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238E00BD">
      <w:pPr>
        <w:pStyle w:val="2"/>
        <w:spacing w:before="93"/>
        <w:ind w:firstLine="640" w:firstLineChars="200"/>
        <w:rPr>
          <w:highlight w:val="yellow"/>
        </w:rPr>
      </w:pPr>
      <w:r>
        <w:rPr>
          <w:rFonts w:hint="eastAsia" w:hAnsi="仿宋_GB2312" w:cs="仿宋_GB2312"/>
          <w:sz w:val="32"/>
          <w:szCs w:val="32"/>
        </w:rPr>
        <w:t>根据预算绩效管理要求，本单位在2022年度预算编制阶段，项目为连续项目，且预算金额未超过50万元，不需要进行预算事前绩效评估，对1个项目编制了绩效目标，预算执行过程中，选取1个项目开展绩效监控，因区财政资金调度原因，该项目已收回，未进行绩效评价。</w:t>
      </w:r>
    </w:p>
    <w:p w14:paraId="63E11FD7">
      <w:pPr>
        <w:widowControl/>
        <w:jc w:val="left"/>
        <w:rPr>
          <w:rFonts w:ascii="仿宋_GB2312" w:eastAsia="仿宋_GB2312"/>
          <w:b/>
          <w:sz w:val="32"/>
          <w:szCs w:val="32"/>
        </w:rPr>
      </w:pPr>
      <w:r>
        <w:rPr>
          <w:rFonts w:ascii="仿宋_GB2312" w:eastAsia="仿宋_GB2312"/>
          <w:b/>
          <w:sz w:val="32"/>
          <w:szCs w:val="32"/>
        </w:rPr>
        <w:br w:type="page"/>
      </w:r>
    </w:p>
    <w:p w14:paraId="4BF0033E">
      <w:pPr>
        <w:numPr>
          <w:ilvl w:val="0"/>
          <w:numId w:val="3"/>
        </w:numPr>
        <w:spacing w:line="600" w:lineRule="exact"/>
        <w:ind w:firstLine="660" w:firstLineChars="150"/>
        <w:jc w:val="center"/>
        <w:outlineLvl w:val="0"/>
        <w:rPr>
          <w:rStyle w:val="24"/>
          <w:rFonts w:ascii="黑体" w:hAnsi="黑体" w:eastAsia="黑体"/>
          <w:b w:val="0"/>
        </w:rPr>
      </w:pPr>
      <w:bookmarkStart w:id="33" w:name="_Toc15377225"/>
      <w:bookmarkStart w:id="34" w:name="_Toc15396613"/>
      <w:r>
        <w:rPr>
          <w:rFonts w:hint="eastAsia" w:ascii="黑体" w:hAnsi="黑体" w:eastAsia="黑体"/>
          <w:sz w:val="44"/>
          <w:szCs w:val="44"/>
        </w:rPr>
        <w:t>名</w:t>
      </w:r>
      <w:r>
        <w:rPr>
          <w:rStyle w:val="24"/>
          <w:rFonts w:hint="eastAsia" w:ascii="黑体" w:hAnsi="黑体" w:eastAsia="黑体"/>
          <w:b w:val="0"/>
        </w:rPr>
        <w:t>词解释</w:t>
      </w:r>
      <w:bookmarkEnd w:id="33"/>
      <w:bookmarkEnd w:id="34"/>
    </w:p>
    <w:p w14:paraId="22331E19">
      <w:pPr>
        <w:spacing w:line="600" w:lineRule="exact"/>
        <w:jc w:val="left"/>
        <w:rPr>
          <w:rFonts w:ascii="宋体"/>
          <w:b/>
          <w:sz w:val="44"/>
          <w:szCs w:val="44"/>
        </w:rPr>
      </w:pPr>
    </w:p>
    <w:p w14:paraId="6196A21B">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6BAA9752">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18BA7F1D">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498F6EB1">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4BD8AE34">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3A5E67FE">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1E8CF119">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2AC35CE6">
      <w:pPr>
        <w:pStyle w:val="22"/>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2FCFD242">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color w:val="000000"/>
          <w:sz w:val="32"/>
          <w:szCs w:val="32"/>
        </w:rPr>
        <w:t xml:space="preserve"> 社会保障和就业（类）行政事业单位养老支出（款）事业单位离退休（项）：反映事业单位开支的离退休经费。</w:t>
      </w:r>
    </w:p>
    <w:p w14:paraId="37CB1863">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color w:val="000000"/>
          <w:sz w:val="32"/>
          <w:szCs w:val="32"/>
        </w:rPr>
        <w:t xml:space="preserve"> 社会保障和就业（类）行政事业单位养老支出（款）机关事业单位基本养老保险缴费支出（项）：反映机关事业单位实施养老保险制度由单位缴纳的基本养老保险费支出。</w:t>
      </w:r>
    </w:p>
    <w:p w14:paraId="2FAA688B">
      <w:pPr>
        <w:ind w:firstLine="640" w:firstLineChars="200"/>
        <w:rPr>
          <w:rFonts w:ascii="仿宋_GB2312" w:eastAsia="仿宋_GB2312"/>
          <w:sz w:val="32"/>
          <w:szCs w:val="32"/>
        </w:rPr>
      </w:pPr>
      <w:r>
        <w:rPr>
          <w:rFonts w:ascii="仿宋_GB2312" w:eastAsia="仿宋_GB2312"/>
          <w:sz w:val="32"/>
          <w:szCs w:val="32"/>
        </w:rPr>
        <w:t>11.</w:t>
      </w:r>
      <w:r>
        <w:rPr>
          <w:rFonts w:hint="eastAsia" w:ascii="仿宋_GB2312" w:eastAsia="仿宋_GB2312"/>
          <w:color w:val="000000"/>
          <w:sz w:val="32"/>
          <w:szCs w:val="32"/>
        </w:rPr>
        <w:t xml:space="preserve"> 医疗卫生与计划生育（类）行政事业单位医疗（款）事业单位医疗（项）：指财政部门安排的事业单位基本医疗保险缴费经费，未参加医疗保险的事业单位的公费医疗经费，按国家规定享受离休人员待遇的医疗经费。</w:t>
      </w:r>
    </w:p>
    <w:p w14:paraId="0F065899">
      <w:pPr>
        <w:ind w:firstLine="640" w:firstLineChars="200"/>
        <w:rPr>
          <w:rFonts w:ascii="仿宋_GB2312" w:eastAsia="仿宋_GB2312"/>
          <w:sz w:val="32"/>
          <w:szCs w:val="32"/>
        </w:rPr>
      </w:pPr>
      <w:r>
        <w:rPr>
          <w:rFonts w:ascii="仿宋_GB2312" w:eastAsia="仿宋_GB2312"/>
          <w:sz w:val="32"/>
          <w:szCs w:val="32"/>
        </w:rPr>
        <w:t>12.</w:t>
      </w:r>
      <w:r>
        <w:rPr>
          <w:rFonts w:hint="eastAsia" w:ascii="仿宋_GB2312" w:eastAsia="仿宋_GB2312"/>
          <w:color w:val="000000"/>
          <w:sz w:val="32"/>
          <w:szCs w:val="32"/>
        </w:rPr>
        <w:t xml:space="preserve"> 医疗卫生与计划生育（类）行政事业单位医疗（款）事业单位医疗公务员医疗补助（项）：指财政部门安排的公务员医疗补助经费。</w:t>
      </w:r>
    </w:p>
    <w:p w14:paraId="1AA71DC4">
      <w:pPr>
        <w:ind w:firstLine="640" w:firstLineChars="200"/>
        <w:rPr>
          <w:rFonts w:ascii="仿宋_GB2312" w:eastAsia="仿宋_GB2312"/>
          <w:sz w:val="32"/>
          <w:szCs w:val="32"/>
        </w:rPr>
      </w:pPr>
      <w:r>
        <w:rPr>
          <w:rFonts w:ascii="仿宋_GB2312" w:eastAsia="仿宋_GB2312"/>
          <w:sz w:val="32"/>
          <w:szCs w:val="32"/>
        </w:rPr>
        <w:t>13.</w:t>
      </w:r>
      <w:r>
        <w:rPr>
          <w:rFonts w:hint="eastAsia" w:ascii="仿宋_GB2312" w:eastAsia="仿宋_GB2312"/>
          <w:color w:val="000000"/>
          <w:sz w:val="32"/>
          <w:szCs w:val="32"/>
        </w:rPr>
        <w:t xml:space="preserve"> 城乡社区（类）城乡社区管理事务（款）其他城乡社区管理事务支出（项）：指除行政运行、一般行政管理事务、机关服务、城管执法、工程建设标准规范编制与监管、工程建设管理、市政公用行业市场监管、住宅建设与房地产市场监管、资格注册、资质审查等项目以外其他用于城乡社区管理事务方面的支出。</w:t>
      </w:r>
    </w:p>
    <w:p w14:paraId="4F88047B">
      <w:pPr>
        <w:ind w:firstLine="640" w:firstLineChars="200"/>
        <w:rPr>
          <w:rFonts w:ascii="仿宋_GB2312" w:eastAsia="仿宋_GB2312"/>
          <w:sz w:val="32"/>
          <w:szCs w:val="32"/>
        </w:rPr>
      </w:pPr>
      <w:r>
        <w:rPr>
          <w:rFonts w:ascii="仿宋_GB2312" w:eastAsia="仿宋_GB2312"/>
          <w:sz w:val="32"/>
          <w:szCs w:val="32"/>
        </w:rPr>
        <w:t>14.</w:t>
      </w:r>
      <w:r>
        <w:rPr>
          <w:rFonts w:hint="eastAsia" w:ascii="仿宋_GB2312" w:eastAsia="仿宋_GB2312"/>
          <w:color w:val="000000"/>
          <w:sz w:val="32"/>
          <w:szCs w:val="32"/>
        </w:rPr>
        <w:t xml:space="preserve"> 住房保障支出（类）住房改革支出（款）住房公积金（项）：反映行政事业单位按人力资源和社</w:t>
      </w:r>
      <w:r>
        <w:rPr>
          <w:rFonts w:hint="eastAsia" w:ascii="仿宋_GB2312" w:eastAsia="仿宋_GB2312"/>
          <w:color w:val="000000"/>
          <w:sz w:val="32"/>
          <w:szCs w:val="32"/>
          <w:lang w:eastAsia="zh-CN"/>
        </w:rPr>
        <w:t>会</w:t>
      </w:r>
      <w:r>
        <w:rPr>
          <w:rFonts w:hint="eastAsia" w:ascii="仿宋_GB2312" w:eastAsia="仿宋_GB2312"/>
          <w:color w:val="000000"/>
          <w:sz w:val="32"/>
          <w:szCs w:val="32"/>
        </w:rPr>
        <w:t>保障部、财政部规定的基本工资和津贴补贴以及规定比例为职工缴纳的住房公积金。</w:t>
      </w:r>
    </w:p>
    <w:p w14:paraId="118D02B5">
      <w:pPr>
        <w:ind w:firstLine="640" w:firstLineChars="200"/>
        <w:rPr>
          <w:rFonts w:ascii="仿宋_GB2312" w:eastAsia="仿宋_GB2312"/>
          <w:sz w:val="32"/>
          <w:szCs w:val="32"/>
        </w:rPr>
      </w:pPr>
      <w:r>
        <w:rPr>
          <w:rFonts w:hint="eastAsia" w:ascii="仿宋_GB2312" w:eastAsia="仿宋_GB2312"/>
          <w:sz w:val="32"/>
          <w:szCs w:val="32"/>
        </w:rPr>
        <w:t>15</w:t>
      </w:r>
      <w:r>
        <w:rPr>
          <w:rFonts w:ascii="仿宋_GB2312" w:eastAsia="仿宋_GB2312"/>
          <w:sz w:val="32"/>
          <w:szCs w:val="32"/>
        </w:rPr>
        <w:t>.</w:t>
      </w:r>
      <w:r>
        <w:rPr>
          <w:rFonts w:hint="eastAsia" w:ascii="仿宋_GB2312" w:eastAsia="仿宋_GB2312"/>
          <w:sz w:val="32"/>
          <w:szCs w:val="32"/>
        </w:rPr>
        <w:t>基本支出：指为保障机构正常运转、完成日常工作任务而发生的人员支出和公用支出。</w:t>
      </w:r>
    </w:p>
    <w:p w14:paraId="46FEF217">
      <w:pPr>
        <w:ind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项目支出：指在基本支出之外为完成特定行政任务和事业发展目标所发生的支出。</w:t>
      </w:r>
      <w:r>
        <w:rPr>
          <w:rFonts w:ascii="仿宋_GB2312" w:eastAsia="仿宋_GB2312"/>
          <w:sz w:val="32"/>
          <w:szCs w:val="32"/>
        </w:rPr>
        <w:t xml:space="preserve"> </w:t>
      </w:r>
    </w:p>
    <w:p w14:paraId="2715995E">
      <w:pPr>
        <w:ind w:firstLine="640" w:firstLineChars="200"/>
        <w:rPr>
          <w:rFonts w:ascii="仿宋_GB2312" w:eastAsia="仿宋_GB2312"/>
          <w:sz w:val="32"/>
          <w:szCs w:val="32"/>
        </w:rPr>
      </w:pPr>
      <w:r>
        <w:rPr>
          <w:rFonts w:hint="eastAsia" w:ascii="仿宋_GB2312" w:eastAsia="仿宋_GB2312"/>
          <w:sz w:val="32"/>
          <w:szCs w:val="32"/>
        </w:rPr>
        <w:t>17</w:t>
      </w:r>
      <w:r>
        <w:rPr>
          <w:rFonts w:ascii="仿宋_GB2312" w:eastAsia="仿宋_GB2312"/>
          <w:sz w:val="32"/>
          <w:szCs w:val="32"/>
        </w:rPr>
        <w:t>.</w:t>
      </w:r>
      <w:r>
        <w:rPr>
          <w:rFonts w:hint="eastAsia" w:ascii="仿宋_GB2312" w:eastAsia="仿宋_GB2312"/>
          <w:sz w:val="32"/>
          <w:szCs w:val="32"/>
        </w:rPr>
        <w:t xml:space="preserve"> “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CED7295">
      <w:pPr>
        <w:pStyle w:val="22"/>
        <w:spacing w:line="56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18</w:t>
      </w:r>
      <w:r>
        <w:rPr>
          <w:rFonts w:ascii="仿宋_GB2312" w:eastAsia="仿宋_GB2312"/>
          <w:color w:val="auto"/>
          <w:sz w:val="32"/>
          <w:szCs w:val="32"/>
        </w:rPr>
        <w:t>.</w:t>
      </w:r>
      <w:r>
        <w:rPr>
          <w:rFonts w:hint="eastAsia" w:ascii="仿宋_GB2312" w:eastAsia="仿宋_GB2312"/>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78B7FB0">
      <w:pPr>
        <w:spacing w:line="600" w:lineRule="exact"/>
        <w:jc w:val="center"/>
        <w:outlineLvl w:val="0"/>
        <w:rPr>
          <w:rStyle w:val="24"/>
          <w:rFonts w:ascii="黑体" w:hAnsi="黑体" w:eastAsia="黑体"/>
          <w:b w:val="0"/>
        </w:rPr>
      </w:pPr>
      <w:bookmarkStart w:id="35" w:name="_Toc15377226"/>
      <w:r>
        <w:rPr>
          <w:rFonts w:ascii="宋体"/>
          <w:b/>
          <w:sz w:val="44"/>
          <w:szCs w:val="44"/>
        </w:rPr>
        <w:br w:type="page"/>
      </w:r>
      <w:bookmarkStart w:id="36" w:name="_Toc15396614"/>
      <w:r>
        <w:rPr>
          <w:rFonts w:hint="eastAsia" w:ascii="黑体" w:hAnsi="黑体" w:eastAsia="黑体"/>
          <w:sz w:val="44"/>
          <w:szCs w:val="44"/>
        </w:rPr>
        <w:t>第</w:t>
      </w:r>
      <w:r>
        <w:rPr>
          <w:rStyle w:val="24"/>
          <w:rFonts w:hint="eastAsia" w:ascii="黑体" w:hAnsi="黑体" w:eastAsia="黑体"/>
          <w:b w:val="0"/>
        </w:rPr>
        <w:t>四部分 附件</w:t>
      </w:r>
      <w:bookmarkEnd w:id="36"/>
    </w:p>
    <w:p w14:paraId="627C368A">
      <w:pPr>
        <w:spacing w:line="572" w:lineRule="exact"/>
        <w:jc w:val="left"/>
        <w:outlineLvl w:val="0"/>
        <w:rPr>
          <w:rFonts w:ascii="仿宋_GB2312" w:hAnsi="仿宋_GB2312" w:eastAsia="仿宋_GB2312" w:cs="仿宋_GB2312"/>
          <w:sz w:val="32"/>
          <w:szCs w:val="32"/>
        </w:rPr>
      </w:pPr>
    </w:p>
    <w:p w14:paraId="5702198F">
      <w:pPr>
        <w:spacing w:line="600" w:lineRule="exact"/>
        <w:jc w:val="center"/>
        <w:outlineLvl w:val="0"/>
        <w:rPr>
          <w:rFonts w:ascii="宋体" w:hAnsi="宋体" w:cs="宋体"/>
          <w:kern w:val="0"/>
          <w:sz w:val="32"/>
          <w:szCs w:val="32"/>
        </w:rPr>
      </w:pPr>
      <w:bookmarkStart w:id="37" w:name="_Toc15396618"/>
    </w:p>
    <w:p w14:paraId="6A7CA669">
      <w:pPr>
        <w:spacing w:line="600" w:lineRule="exact"/>
        <w:jc w:val="left"/>
        <w:outlineLvl w:val="0"/>
        <w:rPr>
          <w:rFonts w:ascii="仿宋_GB2312" w:hAnsi="Calibri" w:eastAsia="仿宋_GB2312" w:cs="仿宋"/>
          <w:kern w:val="0"/>
          <w:sz w:val="32"/>
          <w:szCs w:val="32"/>
        </w:rPr>
      </w:pPr>
    </w:p>
    <w:p w14:paraId="6D8124CE">
      <w:pPr>
        <w:spacing w:line="600" w:lineRule="exact"/>
        <w:ind w:firstLine="640" w:firstLineChars="200"/>
        <w:jc w:val="left"/>
        <w:outlineLvl w:val="0"/>
        <w:rPr>
          <w:rFonts w:ascii="仿宋_GB2312" w:hAnsi="Calibri" w:eastAsia="仿宋_GB2312" w:cs="仿宋"/>
          <w:kern w:val="0"/>
          <w:sz w:val="32"/>
          <w:szCs w:val="32"/>
        </w:rPr>
      </w:pPr>
      <w:r>
        <w:rPr>
          <w:rFonts w:hint="eastAsia" w:ascii="仿宋_GB2312" w:hAnsi="Calibri" w:eastAsia="仿宋_GB2312" w:cs="仿宋"/>
          <w:kern w:val="0"/>
          <w:sz w:val="32"/>
          <w:szCs w:val="32"/>
        </w:rPr>
        <w:t>2022年无项目。</w:t>
      </w:r>
    </w:p>
    <w:p w14:paraId="4AE34E39">
      <w:pPr>
        <w:pStyle w:val="2"/>
        <w:spacing w:before="93"/>
        <w:rPr>
          <w:rFonts w:hAnsi="Calibri" w:cs="仿宋"/>
          <w:sz w:val="32"/>
          <w:szCs w:val="32"/>
        </w:rPr>
      </w:pPr>
    </w:p>
    <w:p w14:paraId="17768F27">
      <w:pPr>
        <w:pStyle w:val="2"/>
        <w:spacing w:before="93"/>
        <w:rPr>
          <w:rFonts w:hAnsi="Calibri" w:cs="仿宋"/>
          <w:sz w:val="32"/>
          <w:szCs w:val="32"/>
        </w:rPr>
      </w:pPr>
    </w:p>
    <w:p w14:paraId="0FD8A346">
      <w:pPr>
        <w:pStyle w:val="2"/>
        <w:spacing w:before="93"/>
        <w:rPr>
          <w:rFonts w:hAnsi="Calibri" w:cs="仿宋"/>
          <w:sz w:val="32"/>
          <w:szCs w:val="32"/>
        </w:rPr>
      </w:pPr>
    </w:p>
    <w:p w14:paraId="429E24DE">
      <w:pPr>
        <w:pStyle w:val="2"/>
        <w:spacing w:before="93"/>
        <w:rPr>
          <w:rFonts w:hAnsi="Calibri" w:cs="仿宋"/>
          <w:sz w:val="32"/>
          <w:szCs w:val="32"/>
        </w:rPr>
      </w:pPr>
    </w:p>
    <w:p w14:paraId="3D93AA41">
      <w:pPr>
        <w:pStyle w:val="2"/>
        <w:spacing w:before="93"/>
        <w:rPr>
          <w:rFonts w:hAnsi="Calibri" w:cs="仿宋"/>
          <w:sz w:val="32"/>
          <w:szCs w:val="32"/>
        </w:rPr>
      </w:pPr>
    </w:p>
    <w:p w14:paraId="5469209E">
      <w:pPr>
        <w:pStyle w:val="2"/>
        <w:spacing w:before="93"/>
        <w:rPr>
          <w:rFonts w:hAnsi="Calibri" w:cs="仿宋"/>
          <w:sz w:val="32"/>
          <w:szCs w:val="32"/>
        </w:rPr>
      </w:pPr>
    </w:p>
    <w:p w14:paraId="39A875DC">
      <w:pPr>
        <w:pStyle w:val="2"/>
        <w:spacing w:before="93"/>
        <w:rPr>
          <w:rFonts w:hAnsi="Calibri" w:cs="仿宋"/>
          <w:sz w:val="32"/>
          <w:szCs w:val="32"/>
        </w:rPr>
      </w:pPr>
    </w:p>
    <w:p w14:paraId="51DB14A6">
      <w:pPr>
        <w:pStyle w:val="2"/>
        <w:spacing w:before="93"/>
        <w:rPr>
          <w:rFonts w:hAnsi="Calibri" w:cs="仿宋"/>
          <w:sz w:val="32"/>
          <w:szCs w:val="32"/>
        </w:rPr>
      </w:pPr>
    </w:p>
    <w:p w14:paraId="426CB574">
      <w:pPr>
        <w:pStyle w:val="2"/>
        <w:spacing w:before="93"/>
        <w:rPr>
          <w:rFonts w:hAnsi="Calibri" w:cs="仿宋"/>
          <w:sz w:val="32"/>
          <w:szCs w:val="32"/>
        </w:rPr>
      </w:pPr>
    </w:p>
    <w:p w14:paraId="1BA9FAFF">
      <w:pPr>
        <w:pStyle w:val="2"/>
        <w:spacing w:before="93"/>
        <w:rPr>
          <w:rFonts w:hAnsi="Calibri" w:cs="仿宋"/>
          <w:sz w:val="32"/>
          <w:szCs w:val="32"/>
        </w:rPr>
      </w:pPr>
    </w:p>
    <w:p w14:paraId="63EA44EF">
      <w:pPr>
        <w:pStyle w:val="2"/>
        <w:spacing w:before="93"/>
        <w:rPr>
          <w:rFonts w:hAnsi="Calibri" w:cs="仿宋"/>
          <w:sz w:val="32"/>
          <w:szCs w:val="32"/>
        </w:rPr>
      </w:pPr>
    </w:p>
    <w:p w14:paraId="3E5C6C8A">
      <w:pPr>
        <w:pStyle w:val="2"/>
        <w:spacing w:before="93"/>
        <w:rPr>
          <w:rFonts w:hint="eastAsia" w:hAnsi="Calibri" w:cs="仿宋"/>
          <w:sz w:val="32"/>
          <w:szCs w:val="32"/>
        </w:rPr>
      </w:pPr>
    </w:p>
    <w:p w14:paraId="368C765F">
      <w:pPr>
        <w:pStyle w:val="2"/>
        <w:spacing w:before="93"/>
        <w:rPr>
          <w:rFonts w:hint="eastAsia" w:hAnsi="Calibri" w:cs="仿宋"/>
          <w:sz w:val="32"/>
          <w:szCs w:val="32"/>
        </w:rPr>
      </w:pPr>
    </w:p>
    <w:p w14:paraId="2123B867">
      <w:pPr>
        <w:pStyle w:val="2"/>
        <w:spacing w:before="93"/>
        <w:rPr>
          <w:rFonts w:hint="eastAsia" w:hAnsi="Calibri" w:cs="仿宋"/>
          <w:sz w:val="32"/>
          <w:szCs w:val="32"/>
        </w:rPr>
      </w:pPr>
    </w:p>
    <w:p w14:paraId="767F17C5">
      <w:pPr>
        <w:pStyle w:val="2"/>
        <w:spacing w:before="93"/>
        <w:rPr>
          <w:rFonts w:hint="eastAsia" w:hAnsi="Calibri" w:cs="仿宋"/>
          <w:sz w:val="32"/>
          <w:szCs w:val="32"/>
        </w:rPr>
      </w:pPr>
    </w:p>
    <w:p w14:paraId="489D9A65">
      <w:pPr>
        <w:pStyle w:val="2"/>
        <w:spacing w:before="93"/>
        <w:rPr>
          <w:rFonts w:hAnsi="Calibri" w:cs="仿宋"/>
          <w:sz w:val="32"/>
          <w:szCs w:val="32"/>
        </w:rPr>
      </w:pPr>
    </w:p>
    <w:p w14:paraId="08BA00CC">
      <w:pPr>
        <w:spacing w:line="600" w:lineRule="exact"/>
        <w:jc w:val="center"/>
        <w:outlineLvl w:val="0"/>
        <w:rPr>
          <w:rFonts w:ascii="仿宋" w:hAnsi="仿宋" w:eastAsia="仿宋"/>
        </w:rPr>
      </w:pPr>
      <w:r>
        <w:rPr>
          <w:rFonts w:hint="eastAsia" w:ascii="黑体" w:hAnsi="黑体" w:eastAsia="黑体"/>
          <w:sz w:val="44"/>
          <w:szCs w:val="44"/>
        </w:rPr>
        <w:t>第</w:t>
      </w:r>
      <w:r>
        <w:rPr>
          <w:rStyle w:val="24"/>
          <w:rFonts w:hint="eastAsia" w:ascii="黑体" w:hAnsi="黑体" w:eastAsia="黑体"/>
          <w:b w:val="0"/>
        </w:rPr>
        <w:t>五部分 附表</w:t>
      </w:r>
      <w:bookmarkEnd w:id="35"/>
      <w:bookmarkEnd w:id="37"/>
      <w:bookmarkStart w:id="38" w:name="_Toc15396619"/>
    </w:p>
    <w:p w14:paraId="44EEADD4">
      <w:pPr>
        <w:pStyle w:val="4"/>
        <w:rPr>
          <w:rFonts w:ascii="仿宋" w:hAnsi="仿宋" w:eastAsia="仿宋"/>
        </w:rPr>
      </w:pPr>
      <w:r>
        <w:rPr>
          <w:rFonts w:hint="eastAsia" w:ascii="仿宋" w:hAnsi="仿宋" w:eastAsia="仿宋"/>
          <w:b w:val="0"/>
        </w:rPr>
        <w:t>一、收</w:t>
      </w:r>
      <w:r>
        <w:rPr>
          <w:rStyle w:val="25"/>
          <w:rFonts w:hint="eastAsia" w:ascii="仿宋" w:hAnsi="仿宋" w:eastAsia="仿宋"/>
          <w:b w:val="0"/>
          <w:bCs w:val="0"/>
        </w:rPr>
        <w:t>入支出决算总表</w:t>
      </w:r>
      <w:bookmarkEnd w:id="38"/>
    </w:p>
    <w:p w14:paraId="7C813C39">
      <w:pPr>
        <w:pStyle w:val="4"/>
        <w:rPr>
          <w:rFonts w:ascii="仿宋" w:hAnsi="仿宋" w:eastAsia="仿宋"/>
        </w:rPr>
      </w:pPr>
      <w:bookmarkStart w:id="39" w:name="_Toc15396620"/>
      <w:r>
        <w:rPr>
          <w:rFonts w:hint="eastAsia" w:ascii="仿宋" w:hAnsi="仿宋" w:eastAsia="仿宋"/>
          <w:b w:val="0"/>
        </w:rPr>
        <w:t>二、收</w:t>
      </w:r>
      <w:r>
        <w:rPr>
          <w:rStyle w:val="25"/>
          <w:rFonts w:hint="eastAsia" w:ascii="仿宋" w:hAnsi="仿宋" w:eastAsia="仿宋"/>
          <w:b w:val="0"/>
          <w:bCs w:val="0"/>
        </w:rPr>
        <w:t>入决算表</w:t>
      </w:r>
      <w:bookmarkEnd w:id="39"/>
    </w:p>
    <w:p w14:paraId="1C1A7FCE">
      <w:pPr>
        <w:pStyle w:val="4"/>
        <w:rPr>
          <w:rFonts w:ascii="仿宋" w:hAnsi="仿宋" w:eastAsia="仿宋"/>
        </w:rPr>
      </w:pPr>
      <w:bookmarkStart w:id="40" w:name="_Toc15396621"/>
      <w:r>
        <w:rPr>
          <w:rStyle w:val="25"/>
          <w:rFonts w:hint="eastAsia" w:ascii="仿宋" w:hAnsi="仿宋" w:eastAsia="仿宋"/>
          <w:b w:val="0"/>
          <w:bCs w:val="0"/>
        </w:rPr>
        <w:t>三、</w:t>
      </w:r>
      <w:r>
        <w:rPr>
          <w:rFonts w:hint="eastAsia" w:ascii="仿宋" w:hAnsi="仿宋" w:eastAsia="仿宋"/>
          <w:b w:val="0"/>
        </w:rPr>
        <w:t>支</w:t>
      </w:r>
      <w:r>
        <w:rPr>
          <w:rStyle w:val="25"/>
          <w:rFonts w:hint="eastAsia" w:ascii="仿宋" w:hAnsi="仿宋" w:eastAsia="仿宋"/>
          <w:b w:val="0"/>
          <w:bCs w:val="0"/>
        </w:rPr>
        <w:t>出决算表</w:t>
      </w:r>
      <w:bookmarkEnd w:id="40"/>
    </w:p>
    <w:p w14:paraId="1970803C">
      <w:pPr>
        <w:pStyle w:val="4"/>
        <w:rPr>
          <w:rFonts w:ascii="仿宋" w:hAnsi="仿宋" w:eastAsia="仿宋"/>
          <w:b w:val="0"/>
        </w:rPr>
      </w:pPr>
      <w:bookmarkStart w:id="41" w:name="_Toc15396622"/>
      <w:r>
        <w:rPr>
          <w:rStyle w:val="25"/>
          <w:rFonts w:hint="eastAsia" w:ascii="仿宋" w:hAnsi="仿宋" w:eastAsia="仿宋"/>
          <w:b w:val="0"/>
          <w:bCs w:val="0"/>
        </w:rPr>
        <w:t>四、</w:t>
      </w:r>
      <w:r>
        <w:rPr>
          <w:rFonts w:hint="eastAsia" w:ascii="仿宋" w:hAnsi="仿宋" w:eastAsia="仿宋"/>
          <w:b w:val="0"/>
        </w:rPr>
        <w:t>财</w:t>
      </w:r>
      <w:r>
        <w:rPr>
          <w:rStyle w:val="25"/>
          <w:rFonts w:hint="eastAsia" w:ascii="仿宋" w:hAnsi="仿宋" w:eastAsia="仿宋"/>
          <w:b w:val="0"/>
          <w:bCs w:val="0"/>
        </w:rPr>
        <w:t>政拨款收入支出决算总表</w:t>
      </w:r>
      <w:bookmarkEnd w:id="41"/>
    </w:p>
    <w:p w14:paraId="17FEEC31">
      <w:pPr>
        <w:pStyle w:val="4"/>
        <w:rPr>
          <w:rStyle w:val="25"/>
          <w:rFonts w:ascii="仿宋" w:hAnsi="仿宋" w:eastAsia="仿宋"/>
          <w:b w:val="0"/>
          <w:bCs w:val="0"/>
        </w:rPr>
      </w:pPr>
      <w:bookmarkStart w:id="42" w:name="_Toc15396623"/>
      <w:r>
        <w:rPr>
          <w:rStyle w:val="25"/>
          <w:rFonts w:hint="eastAsia" w:ascii="仿宋" w:hAnsi="仿宋" w:eastAsia="仿宋"/>
          <w:b w:val="0"/>
          <w:bCs w:val="0"/>
        </w:rPr>
        <w:t>五、</w:t>
      </w:r>
      <w:r>
        <w:rPr>
          <w:rFonts w:hint="eastAsia" w:ascii="仿宋" w:hAnsi="仿宋" w:eastAsia="仿宋"/>
          <w:b w:val="0"/>
        </w:rPr>
        <w:t>财</w:t>
      </w:r>
      <w:r>
        <w:rPr>
          <w:rStyle w:val="25"/>
          <w:rFonts w:hint="eastAsia" w:ascii="仿宋" w:hAnsi="仿宋" w:eastAsia="仿宋"/>
          <w:b w:val="0"/>
          <w:bCs w:val="0"/>
        </w:rPr>
        <w:t>政拨款支出决算明细表</w:t>
      </w:r>
      <w:bookmarkEnd w:id="42"/>
      <w:bookmarkStart w:id="43" w:name="_Toc15396624"/>
    </w:p>
    <w:p w14:paraId="6AA86BB1">
      <w:pPr>
        <w:pStyle w:val="4"/>
        <w:rPr>
          <w:rFonts w:ascii="仿宋" w:hAnsi="仿宋" w:eastAsia="仿宋"/>
        </w:rPr>
      </w:pPr>
      <w:r>
        <w:rPr>
          <w:rStyle w:val="25"/>
          <w:rFonts w:hint="eastAsia" w:ascii="仿宋" w:hAnsi="仿宋" w:eastAsia="仿宋"/>
          <w:b w:val="0"/>
          <w:bCs w:val="0"/>
        </w:rPr>
        <w:t>六、</w:t>
      </w:r>
      <w:r>
        <w:rPr>
          <w:rFonts w:hint="eastAsia" w:ascii="仿宋" w:hAnsi="仿宋" w:eastAsia="仿宋"/>
          <w:b w:val="0"/>
        </w:rPr>
        <w:t>一</w:t>
      </w:r>
      <w:r>
        <w:rPr>
          <w:rStyle w:val="25"/>
          <w:rFonts w:hint="eastAsia" w:ascii="仿宋" w:hAnsi="仿宋" w:eastAsia="仿宋"/>
          <w:b w:val="0"/>
          <w:bCs w:val="0"/>
        </w:rPr>
        <w:t>般公共预算财政拨款支出决算表</w:t>
      </w:r>
      <w:bookmarkEnd w:id="43"/>
    </w:p>
    <w:p w14:paraId="7FD2DC6C">
      <w:pPr>
        <w:pStyle w:val="4"/>
        <w:rPr>
          <w:rFonts w:ascii="仿宋" w:hAnsi="仿宋" w:eastAsia="仿宋"/>
        </w:rPr>
      </w:pPr>
      <w:bookmarkStart w:id="44" w:name="_Toc15396625"/>
      <w:r>
        <w:rPr>
          <w:rStyle w:val="25"/>
          <w:rFonts w:hint="eastAsia" w:ascii="仿宋" w:hAnsi="仿宋" w:eastAsia="仿宋"/>
          <w:b w:val="0"/>
          <w:bCs w:val="0"/>
        </w:rPr>
        <w:t>七、</w:t>
      </w:r>
      <w:r>
        <w:rPr>
          <w:rFonts w:hint="eastAsia" w:ascii="仿宋" w:hAnsi="仿宋" w:eastAsia="仿宋"/>
          <w:b w:val="0"/>
        </w:rPr>
        <w:t>一</w:t>
      </w:r>
      <w:r>
        <w:rPr>
          <w:rStyle w:val="25"/>
          <w:rFonts w:hint="eastAsia" w:ascii="仿宋" w:hAnsi="仿宋" w:eastAsia="仿宋"/>
          <w:b w:val="0"/>
          <w:bCs w:val="0"/>
        </w:rPr>
        <w:t>般公共预算财政拨款支出决算明细表</w:t>
      </w:r>
      <w:bookmarkEnd w:id="44"/>
    </w:p>
    <w:p w14:paraId="0010DF5D">
      <w:pPr>
        <w:pStyle w:val="4"/>
        <w:rPr>
          <w:rFonts w:ascii="仿宋" w:hAnsi="仿宋" w:eastAsia="仿宋"/>
        </w:rPr>
      </w:pPr>
      <w:bookmarkStart w:id="45" w:name="_Toc15396626"/>
      <w:r>
        <w:rPr>
          <w:rStyle w:val="25"/>
          <w:rFonts w:hint="eastAsia" w:ascii="仿宋" w:hAnsi="仿宋" w:eastAsia="仿宋"/>
          <w:b w:val="0"/>
          <w:bCs w:val="0"/>
        </w:rPr>
        <w:t>八、</w:t>
      </w:r>
      <w:r>
        <w:rPr>
          <w:rFonts w:hint="eastAsia" w:ascii="仿宋" w:hAnsi="仿宋" w:eastAsia="仿宋"/>
          <w:b w:val="0"/>
        </w:rPr>
        <w:t>一</w:t>
      </w:r>
      <w:r>
        <w:rPr>
          <w:rStyle w:val="25"/>
          <w:rFonts w:hint="eastAsia" w:ascii="仿宋" w:hAnsi="仿宋" w:eastAsia="仿宋"/>
          <w:b w:val="0"/>
          <w:bCs w:val="0"/>
        </w:rPr>
        <w:t>般公共预算财政拨款基本支出决算表</w:t>
      </w:r>
      <w:bookmarkEnd w:id="45"/>
    </w:p>
    <w:p w14:paraId="48F1F2AB">
      <w:pPr>
        <w:pStyle w:val="4"/>
        <w:rPr>
          <w:rFonts w:ascii="仿宋" w:hAnsi="仿宋" w:eastAsia="仿宋"/>
        </w:rPr>
      </w:pPr>
      <w:bookmarkStart w:id="46" w:name="_Toc15396627"/>
      <w:r>
        <w:rPr>
          <w:rStyle w:val="25"/>
          <w:rFonts w:hint="eastAsia" w:ascii="仿宋" w:hAnsi="仿宋" w:eastAsia="仿宋"/>
          <w:b w:val="0"/>
          <w:bCs w:val="0"/>
        </w:rPr>
        <w:t>九、</w:t>
      </w:r>
      <w:r>
        <w:rPr>
          <w:rFonts w:hint="eastAsia" w:ascii="仿宋" w:hAnsi="仿宋" w:eastAsia="仿宋"/>
          <w:b w:val="0"/>
        </w:rPr>
        <w:t>一</w:t>
      </w:r>
      <w:r>
        <w:rPr>
          <w:rStyle w:val="25"/>
          <w:rFonts w:hint="eastAsia" w:ascii="仿宋" w:hAnsi="仿宋" w:eastAsia="仿宋"/>
          <w:b w:val="0"/>
          <w:bCs w:val="0"/>
        </w:rPr>
        <w:t>般公共预算财政拨款项目支出决算表</w:t>
      </w:r>
      <w:bookmarkEnd w:id="46"/>
    </w:p>
    <w:p w14:paraId="1936283B">
      <w:pPr>
        <w:pStyle w:val="4"/>
        <w:rPr>
          <w:rFonts w:ascii="仿宋" w:hAnsi="仿宋" w:eastAsia="仿宋"/>
        </w:rPr>
      </w:pPr>
      <w:bookmarkStart w:id="47" w:name="_Toc15396628"/>
      <w:r>
        <w:rPr>
          <w:rStyle w:val="25"/>
          <w:rFonts w:hint="eastAsia" w:ascii="仿宋" w:hAnsi="仿宋" w:eastAsia="仿宋"/>
          <w:b w:val="0"/>
          <w:bCs w:val="0"/>
        </w:rPr>
        <w:t>十、</w:t>
      </w:r>
      <w:bookmarkEnd w:id="47"/>
      <w:r>
        <w:rPr>
          <w:rFonts w:hint="eastAsia" w:ascii="仿宋" w:hAnsi="仿宋" w:eastAsia="仿宋"/>
          <w:b w:val="0"/>
        </w:rPr>
        <w:t>政</w:t>
      </w:r>
      <w:r>
        <w:rPr>
          <w:rStyle w:val="25"/>
          <w:rFonts w:hint="eastAsia" w:ascii="仿宋" w:hAnsi="仿宋" w:eastAsia="仿宋"/>
          <w:b w:val="0"/>
          <w:bCs w:val="0"/>
        </w:rPr>
        <w:t>府性基金预算财政拨款收入支出决算表</w:t>
      </w:r>
    </w:p>
    <w:p w14:paraId="0098F365">
      <w:pPr>
        <w:pStyle w:val="4"/>
        <w:rPr>
          <w:rFonts w:ascii="仿宋" w:hAnsi="仿宋" w:eastAsia="仿宋"/>
        </w:rPr>
      </w:pPr>
      <w:bookmarkStart w:id="48" w:name="_Toc15396629"/>
      <w:r>
        <w:rPr>
          <w:rStyle w:val="25"/>
          <w:rFonts w:hint="eastAsia" w:ascii="仿宋" w:hAnsi="仿宋" w:eastAsia="仿宋"/>
          <w:b w:val="0"/>
          <w:bCs w:val="0"/>
        </w:rPr>
        <w:t>十一、</w:t>
      </w:r>
      <w:bookmarkEnd w:id="48"/>
      <w:r>
        <w:rPr>
          <w:rFonts w:hint="eastAsia" w:ascii="仿宋" w:hAnsi="仿宋" w:eastAsia="仿宋"/>
          <w:b w:val="0"/>
        </w:rPr>
        <w:t>国</w:t>
      </w:r>
      <w:r>
        <w:rPr>
          <w:rStyle w:val="25"/>
          <w:rFonts w:hint="eastAsia" w:ascii="仿宋" w:hAnsi="仿宋" w:eastAsia="仿宋"/>
          <w:b w:val="0"/>
          <w:bCs w:val="0"/>
        </w:rPr>
        <w:t>有资本经营预算财政拨款收入支出决算表</w:t>
      </w:r>
    </w:p>
    <w:p w14:paraId="63C06C7D">
      <w:pPr>
        <w:pStyle w:val="4"/>
        <w:rPr>
          <w:rFonts w:ascii="仿宋" w:hAnsi="仿宋" w:eastAsia="仿宋"/>
        </w:rPr>
      </w:pPr>
      <w:bookmarkStart w:id="49" w:name="_Toc15396630"/>
      <w:r>
        <w:rPr>
          <w:rStyle w:val="25"/>
          <w:rFonts w:hint="eastAsia" w:ascii="仿宋" w:hAnsi="仿宋" w:eastAsia="仿宋"/>
          <w:b w:val="0"/>
          <w:bCs w:val="0"/>
        </w:rPr>
        <w:t>十二、</w:t>
      </w:r>
      <w:bookmarkEnd w:id="49"/>
      <w:r>
        <w:rPr>
          <w:rStyle w:val="25"/>
          <w:rFonts w:hint="eastAsia" w:ascii="仿宋" w:hAnsi="仿宋" w:eastAsia="仿宋"/>
          <w:b w:val="0"/>
          <w:bCs w:val="0"/>
        </w:rPr>
        <w:t>国有资本经营预算财政拨款支出决算表</w:t>
      </w:r>
    </w:p>
    <w:p w14:paraId="1D5825BF">
      <w:pPr>
        <w:pStyle w:val="4"/>
        <w:rPr>
          <w:rFonts w:eastAsia="仿宋"/>
        </w:rPr>
      </w:pPr>
      <w:bookmarkStart w:id="50" w:name="_Toc15396631"/>
      <w:r>
        <w:rPr>
          <w:rStyle w:val="25"/>
          <w:rFonts w:hint="eastAsia" w:ascii="仿宋" w:hAnsi="仿宋" w:eastAsia="仿宋"/>
          <w:b w:val="0"/>
          <w:bCs w:val="0"/>
        </w:rPr>
        <w:t>十三、</w:t>
      </w:r>
      <w:bookmarkEnd w:id="50"/>
      <w:r>
        <w:rPr>
          <w:rStyle w:val="25"/>
          <w:rFonts w:hint="eastAsia" w:ascii="仿宋" w:hAnsi="仿宋" w:eastAsia="仿宋"/>
          <w:b w:val="0"/>
          <w:bCs w:val="0"/>
        </w:rPr>
        <w:t>财政拨款“三公”经费支出决算表</w:t>
      </w:r>
    </w:p>
    <w:sectPr>
      <w:footerReference r:id="rId6" w:type="first"/>
      <w:footerReference r:id="rId5" w:type="default"/>
      <w:pgSz w:w="11906" w:h="16838"/>
      <w:pgMar w:top="1440" w:right="1800" w:bottom="1440" w:left="1800"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811203"/>
      <w:showingPlcHdr/>
    </w:sdtPr>
    <w:sdtContent>
      <w:p w14:paraId="5F705BAB">
        <w:pPr>
          <w:pStyle w:val="8"/>
          <w:jc w:val="center"/>
        </w:pPr>
        <w:r>
          <w:t xml:space="preserve">     </w:t>
        </w:r>
      </w:p>
    </w:sdtContent>
  </w:sdt>
  <w:p w14:paraId="5E45DF3F">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A0367">
    <w:pPr>
      <w:pStyle w:val="8"/>
      <w:jc w:val="center"/>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1BB68CB">
                <w:pPr>
                  <w:pStyle w:val="8"/>
                </w:pPr>
                <w:r>
                  <w:fldChar w:fldCharType="begin"/>
                </w:r>
                <w:r>
                  <w:instrText xml:space="preserve"> PAGE  \* MERGEFORMAT </w:instrText>
                </w:r>
                <w:r>
                  <w:fldChar w:fldCharType="separate"/>
                </w:r>
                <w:r>
                  <w:t>2</w:t>
                </w:r>
                <w:r>
                  <w:fldChar w:fldCharType="end"/>
                </w:r>
              </w:p>
            </w:txbxContent>
          </v:textbox>
        </v:shape>
      </w:pict>
    </w:r>
    <w:sdt>
      <w:sdtPr>
        <w:id w:val="147463590"/>
        <w:showingPlcHdr/>
      </w:sdtPr>
      <w:sdtContent>
        <w:r>
          <w:t xml:space="preserve">     </w:t>
        </w:r>
      </w:sdtContent>
    </w:sdt>
  </w:p>
  <w:p w14:paraId="7AEB7552">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7E26">
    <w:pPr>
      <w:pStyle w:val="8"/>
    </w:pPr>
    <w:r>
      <w:rPr>
        <w:sz w:val="18"/>
      </w:rP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805C79A">
                <w:pPr>
                  <w:pStyle w:val="8"/>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C0677">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470BC"/>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1B44"/>
    <w:rsid w:val="004223DE"/>
    <w:rsid w:val="00434489"/>
    <w:rsid w:val="00437085"/>
    <w:rsid w:val="00443880"/>
    <w:rsid w:val="004464F4"/>
    <w:rsid w:val="00471401"/>
    <w:rsid w:val="00473F31"/>
    <w:rsid w:val="0048263A"/>
    <w:rsid w:val="00487E5D"/>
    <w:rsid w:val="004923A3"/>
    <w:rsid w:val="004A711F"/>
    <w:rsid w:val="004B199D"/>
    <w:rsid w:val="004B4690"/>
    <w:rsid w:val="004E0A2D"/>
    <w:rsid w:val="004E206B"/>
    <w:rsid w:val="004E6DF7"/>
    <w:rsid w:val="004F0FBD"/>
    <w:rsid w:val="00505A47"/>
    <w:rsid w:val="00512FDA"/>
    <w:rsid w:val="00520DA0"/>
    <w:rsid w:val="005470F2"/>
    <w:rsid w:val="005664BB"/>
    <w:rsid w:val="00566FFA"/>
    <w:rsid w:val="0057481D"/>
    <w:rsid w:val="0058486E"/>
    <w:rsid w:val="00585B33"/>
    <w:rsid w:val="0059014D"/>
    <w:rsid w:val="005936F2"/>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32DF8"/>
    <w:rsid w:val="007416B6"/>
    <w:rsid w:val="00746F48"/>
    <w:rsid w:val="0075404D"/>
    <w:rsid w:val="0076182A"/>
    <w:rsid w:val="00767B7E"/>
    <w:rsid w:val="007770C3"/>
    <w:rsid w:val="00777BE9"/>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27F80"/>
    <w:rsid w:val="0083706E"/>
    <w:rsid w:val="008408F6"/>
    <w:rsid w:val="008423A5"/>
    <w:rsid w:val="00850625"/>
    <w:rsid w:val="00853718"/>
    <w:rsid w:val="00855221"/>
    <w:rsid w:val="00860645"/>
    <w:rsid w:val="00871F71"/>
    <w:rsid w:val="00872FD8"/>
    <w:rsid w:val="00885AF4"/>
    <w:rsid w:val="008939CD"/>
    <w:rsid w:val="008B768C"/>
    <w:rsid w:val="008C27A1"/>
    <w:rsid w:val="008C4DB1"/>
    <w:rsid w:val="008C4EAF"/>
    <w:rsid w:val="008C5176"/>
    <w:rsid w:val="008C7FD0"/>
    <w:rsid w:val="008E1DE7"/>
    <w:rsid w:val="008E6EE4"/>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18B6"/>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C68AC"/>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3ED7"/>
    <w:rsid w:val="00D34E7C"/>
    <w:rsid w:val="00D35489"/>
    <w:rsid w:val="00D36AFE"/>
    <w:rsid w:val="00D50267"/>
    <w:rsid w:val="00D51276"/>
    <w:rsid w:val="00D7035F"/>
    <w:rsid w:val="00DA387E"/>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543D"/>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313"/>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0D5709"/>
    <w:rsid w:val="053A62B5"/>
    <w:rsid w:val="0A2032A3"/>
    <w:rsid w:val="0B8A37D8"/>
    <w:rsid w:val="0ECB15ED"/>
    <w:rsid w:val="10C055FF"/>
    <w:rsid w:val="118107EC"/>
    <w:rsid w:val="11DD6519"/>
    <w:rsid w:val="16BB723D"/>
    <w:rsid w:val="18015F3F"/>
    <w:rsid w:val="1BE8440E"/>
    <w:rsid w:val="1D155CEE"/>
    <w:rsid w:val="20F57F95"/>
    <w:rsid w:val="240371BF"/>
    <w:rsid w:val="25711CC6"/>
    <w:rsid w:val="25C741E6"/>
    <w:rsid w:val="27842671"/>
    <w:rsid w:val="29FD04D3"/>
    <w:rsid w:val="2ABE7A3E"/>
    <w:rsid w:val="2CA234A8"/>
    <w:rsid w:val="2EFA178C"/>
    <w:rsid w:val="2F22527D"/>
    <w:rsid w:val="30B46D73"/>
    <w:rsid w:val="319F7F4E"/>
    <w:rsid w:val="383D272C"/>
    <w:rsid w:val="39AE70AB"/>
    <w:rsid w:val="3C0C0783"/>
    <w:rsid w:val="3F9F3A96"/>
    <w:rsid w:val="48BF60AB"/>
    <w:rsid w:val="493C27E9"/>
    <w:rsid w:val="496F39ED"/>
    <w:rsid w:val="49FF41D3"/>
    <w:rsid w:val="4BE068DB"/>
    <w:rsid w:val="4BF6002B"/>
    <w:rsid w:val="4ECE2238"/>
    <w:rsid w:val="51DB4B86"/>
    <w:rsid w:val="55333C3E"/>
    <w:rsid w:val="5CDF1616"/>
    <w:rsid w:val="64CA39A1"/>
    <w:rsid w:val="69630ADE"/>
    <w:rsid w:val="6C4A05C8"/>
    <w:rsid w:val="6D3B1A89"/>
    <w:rsid w:val="71BF4EC2"/>
    <w:rsid w:val="72734D90"/>
    <w:rsid w:val="7412278C"/>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paragraph" w:customStyle="1" w:styleId="30">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8.png"/><Relationship Id="rId22" Type="http://schemas.openxmlformats.org/officeDocument/2006/relationships/oleObject" Target="embeddings/oleObject8.bin"/><Relationship Id="rId21" Type="http://schemas.openxmlformats.org/officeDocument/2006/relationships/image" Target="media/image7.png"/><Relationship Id="rId20" Type="http://schemas.openxmlformats.org/officeDocument/2006/relationships/oleObject" Target="embeddings/oleObject7.bin"/><Relationship Id="rId2" Type="http://schemas.openxmlformats.org/officeDocument/2006/relationships/settings" Target="settings.xml"/><Relationship Id="rId19" Type="http://schemas.openxmlformats.org/officeDocument/2006/relationships/image" Target="media/image6.png"/><Relationship Id="rId18" Type="http://schemas.openxmlformats.org/officeDocument/2006/relationships/oleObject" Target="embeddings/oleObject6.bin"/><Relationship Id="rId17" Type="http://schemas.openxmlformats.org/officeDocument/2006/relationships/image" Target="media/image5.png"/><Relationship Id="rId16" Type="http://schemas.openxmlformats.org/officeDocument/2006/relationships/oleObject" Target="embeddings/oleObject5.bin"/><Relationship Id="rId15" Type="http://schemas.openxmlformats.org/officeDocument/2006/relationships/image" Target="media/image4.png"/><Relationship Id="rId14" Type="http://schemas.openxmlformats.org/officeDocument/2006/relationships/oleObject" Target="embeddings/oleObject4.bin"/><Relationship Id="rId13" Type="http://schemas.openxmlformats.org/officeDocument/2006/relationships/image" Target="media/image3.png"/><Relationship Id="rId12" Type="http://schemas.openxmlformats.org/officeDocument/2006/relationships/oleObject" Target="embeddings/oleObject3.bin"/><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16</Pages>
  <Words>1726</Words>
  <Characters>1974</Characters>
  <Lines>36</Lines>
  <Paragraphs>10</Paragraphs>
  <TotalTime>4</TotalTime>
  <ScaleCrop>false</ScaleCrop>
  <LinksUpToDate>false</LinksUpToDate>
  <CharactersWithSpaces>2361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马玲</cp:lastModifiedBy>
  <cp:lastPrinted>2023-07-31T02:35:00Z</cp:lastPrinted>
  <dcterms:modified xsi:type="dcterms:W3CDTF">2024-12-26T01:52:55Z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95C7B6DDB8FF466FA3CE188F1D03E525</vt:lpwstr>
  </property>
</Properties>
</file>