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194"/>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仁和区交通运输局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160"/>
          <w:szCs w:val="160"/>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7"/>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fldChar w:fldCharType="begin"/>
      </w:r>
      <w:r>
        <w:instrText xml:space="preserve"> PAGEREF _Toc15396602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28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四部分附件</w:t>
      </w:r>
      <w:r>
        <w:tab/>
      </w:r>
      <w:r>
        <w:fldChar w:fldCharType="begin"/>
      </w:r>
      <w:r>
        <w:instrText xml:space="preserve"> PAGEREF _Toc15396614 \h </w:instrText>
      </w:r>
      <w:r>
        <w:fldChar w:fldCharType="separate"/>
      </w:r>
      <w:r>
        <w:t>31</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五部分附表</w:t>
      </w:r>
      <w:r>
        <w:tab/>
      </w:r>
      <w:r>
        <w:fldChar w:fldCharType="begin"/>
      </w:r>
      <w:r>
        <w:instrText xml:space="preserve"> PAGEREF _Toc15396618 \h </w:instrText>
      </w:r>
      <w:r>
        <w:fldChar w:fldCharType="separate"/>
      </w:r>
      <w:r>
        <w:t>34</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spacing w:line="560" w:lineRule="exact"/>
        <w:ind w:firstLine="640" w:firstLineChars="200"/>
        <w:rPr>
          <w:rFonts w:hint="eastAsia" w:ascii="仿宋_GB2312" w:hAnsi="仿宋" w:eastAsia="仿宋_GB2312"/>
          <w:sz w:val="32"/>
          <w:szCs w:val="32"/>
        </w:rPr>
      </w:pPr>
      <w:bookmarkStart w:id="16" w:name="_Toc15378445"/>
      <w:bookmarkStart w:id="17" w:name="_Toc15377198"/>
      <w:r>
        <w:rPr>
          <w:rFonts w:hint="eastAsia" w:ascii="仿宋" w:hAnsi="仿宋" w:eastAsia="仿宋"/>
          <w:bCs/>
          <w:color w:val="000000"/>
          <w:sz w:val="32"/>
          <w:szCs w:val="32"/>
        </w:rPr>
        <w:t>（一）主要职能。</w:t>
      </w:r>
    </w:p>
    <w:p>
      <w:pPr>
        <w:spacing w:line="56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lang w:val="en-US" w:eastAsia="zh-CN"/>
        </w:rPr>
        <w:t>1.</w:t>
      </w:r>
      <w:r>
        <w:rPr>
          <w:rFonts w:hint="eastAsia" w:ascii="仿宋_GB2312" w:hAnsi="宋体" w:eastAsia="仿宋_GB2312" w:cs="仿宋"/>
          <w:bCs/>
          <w:sz w:val="32"/>
          <w:szCs w:val="32"/>
        </w:rPr>
        <w:t>攀枝花市仁和区交通运输局性质为行政机关，主要职能：(一)贯彻执行国家有关交通运输行业的方针、政策和法律、法规，贯彻执行省、市地方性法规、规章、交通运输行业规划、政策和标准。组织拟订并监督实施公路、水路等行业发展战略、政策和规范性文件，会同有关部门组织编制综合运输体系规划，参与拟订物流业发展战略和规划。（二）负责本系统、本部门依法行政工作，落实行政执法责任制。指导公路、水路行业有关体制改革和机制转换工作。（三）承担道路、水路交通运输市场监管责任。组织实施并监督执行道路、水路运输有关政策、技术标准和运营规范；负责辖区内公共客运交通管理工作；指导城乡客运管理工作，指导出租车行业管理工作；会同有关部门制定运输价格。（四）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五）负责提出公路、水路固定资产投资规模和方向、区财政资金安排建议，按照程序报批国家、省、市、区规划内和年度计划规模内固定资产投资项目。指导交通运输行业审计工作。（六）承担公路、水路建设市场监管责任。组织实施并监督执行公路、水路工程建设相关政策、制度、技术标准，组织协调公路、水路有关重点工程建设和工程质量、安全生产监督管理工作；负责对交通行业和产业项目的招投标活动进行监督指导；指导交通运输基础设施管理和维护，承担有关重要设施的管理的维护；按照规定负责小码头规划和小码头的使用管理工作，指导交通运输行业特许经营管理，会同有关部门组织实施交通运输行业职业资格管理工作。（七）指导公路、水路行业安全生产和应急管理工作。按规定组织协调国家、省、市重点物资、危险货物运输和紧急客货运输，负责全区干线路网运行监测和协调。组织协调地方交通战备工作，承担国防动员有关工作。（八）承担交通运输科技项目的开发和研究的组织实施工作，负责交通运输科研成果的推广、应用工作。指导全区交通信息化建设，监测分析运行情况，开展相关统计工作，发布有关信息。指导公路、水路行业环境保护和节能减排工作。（九）负责公路、水路有关涉外工作，开展经济技术交流与合作，指导全区交通运输行业招商引资和利用外部资金工作。（十）负责宣传贯彻落实公路管理养护有关法律法规、政策；对仁和区农村公路管理养护工作进行技术指导。（十一）承担区政府公布的有关行政审批事项。（十二）承办区政府交办的其他事项。</w:t>
      </w:r>
    </w:p>
    <w:p>
      <w:pPr>
        <w:spacing w:line="560" w:lineRule="exact"/>
        <w:ind w:firstLine="640" w:firstLineChars="200"/>
        <w:rPr>
          <w:rFonts w:hint="eastAsia" w:ascii="仿宋_GB2312" w:hAnsi="宋体" w:eastAsia="仿宋_GB2312" w:cs="仿宋"/>
          <w:bCs/>
          <w:sz w:val="32"/>
          <w:szCs w:val="32"/>
        </w:rPr>
      </w:pPr>
      <w:r>
        <w:rPr>
          <w:rFonts w:hint="eastAsia" w:ascii="仿宋_GB2312" w:hAnsi="宋体" w:eastAsia="仿宋_GB2312" w:cs="仿宋"/>
          <w:bCs/>
          <w:sz w:val="32"/>
          <w:szCs w:val="32"/>
        </w:rPr>
        <w:t>2、机构编制管理部门核定编制人数2</w:t>
      </w:r>
      <w:r>
        <w:rPr>
          <w:rFonts w:hint="eastAsia" w:ascii="仿宋_GB2312" w:hAnsi="宋体" w:eastAsia="仿宋_GB2312" w:cs="仿宋"/>
          <w:bCs/>
          <w:sz w:val="32"/>
          <w:szCs w:val="32"/>
          <w:lang w:val="en-US" w:eastAsia="zh-CN"/>
        </w:rPr>
        <w:t>3</w:t>
      </w:r>
      <w:r>
        <w:rPr>
          <w:rFonts w:hint="eastAsia" w:ascii="仿宋_GB2312" w:hAnsi="宋体" w:eastAsia="仿宋_GB2312" w:cs="仿宋"/>
          <w:bCs/>
          <w:sz w:val="32"/>
          <w:szCs w:val="32"/>
        </w:rPr>
        <w:t>人，其中：行政编制人数10人，工勤人员2人，事业编制人数1</w:t>
      </w:r>
      <w:r>
        <w:rPr>
          <w:rFonts w:hint="eastAsia" w:ascii="仿宋_GB2312" w:hAnsi="宋体" w:eastAsia="仿宋_GB2312" w:cs="仿宋"/>
          <w:bCs/>
          <w:sz w:val="32"/>
          <w:szCs w:val="32"/>
          <w:lang w:val="en-US" w:eastAsia="zh-CN"/>
        </w:rPr>
        <w:t>1</w:t>
      </w:r>
      <w:r>
        <w:rPr>
          <w:rFonts w:hint="eastAsia" w:ascii="仿宋_GB2312" w:hAnsi="宋体" w:eastAsia="仿宋_GB2312" w:cs="仿宋"/>
          <w:bCs/>
          <w:sz w:val="32"/>
          <w:szCs w:val="32"/>
        </w:rPr>
        <w:t>人。截止201</w:t>
      </w:r>
      <w:r>
        <w:rPr>
          <w:rFonts w:hint="eastAsia" w:ascii="仿宋_GB2312" w:hAnsi="宋体" w:eastAsia="仿宋_GB2312" w:cs="仿宋"/>
          <w:bCs/>
          <w:sz w:val="32"/>
          <w:szCs w:val="32"/>
          <w:lang w:val="en-US" w:eastAsia="zh-CN"/>
        </w:rPr>
        <w:t>8</w:t>
      </w:r>
      <w:r>
        <w:rPr>
          <w:rFonts w:hint="eastAsia" w:ascii="仿宋_GB2312" w:hAnsi="宋体" w:eastAsia="仿宋_GB2312" w:cs="仿宋"/>
          <w:bCs/>
          <w:sz w:val="32"/>
          <w:szCs w:val="32"/>
        </w:rPr>
        <w:t>年12月31日止职工人数 22人，其中属于行政编制人员10人，工勤人员</w:t>
      </w:r>
      <w:r>
        <w:rPr>
          <w:rFonts w:hint="eastAsia" w:ascii="仿宋_GB2312" w:hAnsi="宋体" w:eastAsia="仿宋_GB2312" w:cs="仿宋"/>
          <w:bCs/>
          <w:sz w:val="32"/>
          <w:szCs w:val="32"/>
          <w:lang w:val="en-US" w:eastAsia="zh-CN"/>
        </w:rPr>
        <w:t>1</w:t>
      </w:r>
      <w:r>
        <w:rPr>
          <w:rFonts w:hint="eastAsia" w:ascii="仿宋_GB2312" w:hAnsi="宋体" w:eastAsia="仿宋_GB2312" w:cs="仿宋"/>
          <w:bCs/>
          <w:sz w:val="32"/>
          <w:szCs w:val="32"/>
        </w:rPr>
        <w:t>人</w:t>
      </w:r>
      <w:r>
        <w:rPr>
          <w:rFonts w:hint="eastAsia" w:ascii="仿宋_GB2312" w:hAnsi="宋体" w:eastAsia="仿宋_GB2312" w:cs="仿宋"/>
          <w:bCs/>
          <w:sz w:val="32"/>
          <w:szCs w:val="32"/>
          <w:lang w:val="en-US" w:eastAsia="zh-CN"/>
        </w:rPr>
        <w:t>,</w:t>
      </w:r>
      <w:r>
        <w:rPr>
          <w:rFonts w:hint="eastAsia" w:ascii="仿宋_GB2312" w:hAnsi="宋体" w:eastAsia="仿宋_GB2312" w:cs="仿宋"/>
          <w:bCs/>
          <w:sz w:val="32"/>
          <w:szCs w:val="32"/>
        </w:rPr>
        <w:t>事业编制人员1</w:t>
      </w:r>
      <w:r>
        <w:rPr>
          <w:rFonts w:hint="eastAsia" w:ascii="仿宋_GB2312" w:hAnsi="宋体" w:eastAsia="仿宋_GB2312" w:cs="仿宋"/>
          <w:bCs/>
          <w:sz w:val="32"/>
          <w:szCs w:val="32"/>
          <w:lang w:val="en-US" w:eastAsia="zh-CN"/>
        </w:rPr>
        <w:t>1</w:t>
      </w:r>
      <w:r>
        <w:rPr>
          <w:rFonts w:hint="eastAsia" w:ascii="仿宋_GB2312" w:hAnsi="宋体" w:eastAsia="仿宋_GB2312" w:cs="仿宋"/>
          <w:bCs/>
          <w:sz w:val="32"/>
          <w:szCs w:val="32"/>
        </w:rPr>
        <w:t>人。</w:t>
      </w:r>
      <w:r>
        <w:rPr>
          <w:rFonts w:hint="eastAsia" w:ascii="仿宋_GB2312" w:hAnsi="仿宋_GB2312" w:eastAsia="仿宋_GB2312"/>
          <w:bCs/>
          <w:sz w:val="32"/>
          <w:szCs w:val="32"/>
        </w:rPr>
        <w:t>机关离退休1</w:t>
      </w:r>
      <w:r>
        <w:rPr>
          <w:rFonts w:hint="eastAsia" w:ascii="仿宋_GB2312" w:hAnsi="仿宋_GB2312" w:eastAsia="仿宋_GB2312"/>
          <w:bCs/>
          <w:sz w:val="32"/>
          <w:szCs w:val="32"/>
          <w:lang w:val="en-US" w:eastAsia="zh-CN"/>
        </w:rPr>
        <w:t>0</w:t>
      </w:r>
      <w:r>
        <w:rPr>
          <w:rFonts w:hint="eastAsia" w:ascii="仿宋_GB2312" w:hAnsi="仿宋_GB2312" w:eastAsia="仿宋_GB2312"/>
          <w:bCs/>
          <w:sz w:val="32"/>
          <w:szCs w:val="32"/>
        </w:rPr>
        <w:t>人，事业离退休3人。</w:t>
      </w:r>
    </w:p>
    <w:p>
      <w:pPr>
        <w:snapToGrid w:val="0"/>
        <w:spacing w:line="588" w:lineRule="exact"/>
        <w:rPr>
          <w:rFonts w:hint="eastAsia" w:ascii="仿宋_GB2312" w:hAnsi="仿宋" w:eastAsia="仿宋_GB2312"/>
          <w:sz w:val="32"/>
          <w:szCs w:val="32"/>
        </w:rPr>
      </w:pPr>
      <w:r>
        <w:rPr>
          <w:rFonts w:hint="eastAsia" w:ascii="仿宋_GB2312" w:hAnsi="仿宋" w:eastAsia="仿宋_GB2312"/>
          <w:sz w:val="32"/>
          <w:szCs w:val="32"/>
        </w:rPr>
        <w:t xml:space="preserve">   3．机构人员当年变动情况及原因。</w:t>
      </w:r>
    </w:p>
    <w:p>
      <w:pPr>
        <w:snapToGrid w:val="0"/>
        <w:spacing w:line="588" w:lineRule="exact"/>
        <w:ind w:firstLine="640" w:firstLineChars="200"/>
        <w:rPr>
          <w:rFonts w:ascii="仿宋" w:hAnsi="仿宋" w:eastAsia="仿宋"/>
          <w:bCs/>
          <w:color w:val="000000"/>
          <w:sz w:val="32"/>
          <w:szCs w:val="32"/>
        </w:rPr>
      </w:pPr>
      <w:r>
        <w:rPr>
          <w:rFonts w:hint="eastAsia" w:ascii="仿宋_GB2312" w:hAnsi="仿宋" w:eastAsia="仿宋_GB2312"/>
          <w:sz w:val="32"/>
          <w:szCs w:val="32"/>
        </w:rPr>
        <w:t>与201</w:t>
      </w:r>
      <w:r>
        <w:rPr>
          <w:rFonts w:hint="eastAsia" w:ascii="仿宋_GB2312" w:hAnsi="仿宋" w:eastAsia="仿宋_GB2312"/>
          <w:sz w:val="32"/>
          <w:szCs w:val="32"/>
          <w:lang w:val="en-US" w:eastAsia="zh-CN"/>
        </w:rPr>
        <w:t>7</w:t>
      </w:r>
      <w:r>
        <w:rPr>
          <w:rFonts w:hint="eastAsia" w:ascii="仿宋_GB2312" w:hAnsi="仿宋" w:eastAsia="仿宋_GB2312"/>
          <w:sz w:val="32"/>
          <w:szCs w:val="32"/>
        </w:rPr>
        <w:t>年机构人员情况比较，行政人员</w:t>
      </w:r>
      <w:r>
        <w:rPr>
          <w:rFonts w:hint="eastAsia" w:ascii="仿宋_GB2312" w:hAnsi="仿宋" w:eastAsia="仿宋_GB2312"/>
          <w:sz w:val="32"/>
          <w:szCs w:val="32"/>
          <w:lang w:eastAsia="zh-CN"/>
        </w:rPr>
        <w:t>总数不变</w:t>
      </w:r>
      <w:r>
        <w:rPr>
          <w:rFonts w:hint="eastAsia" w:ascii="仿宋_GB2312" w:hAnsi="仿宋" w:eastAsia="仿宋_GB2312"/>
          <w:sz w:val="32"/>
          <w:szCs w:val="32"/>
        </w:rPr>
        <w:t>，机关工勤人员</w:t>
      </w:r>
      <w:r>
        <w:rPr>
          <w:rFonts w:hint="eastAsia" w:ascii="仿宋_GB2312" w:hAnsi="仿宋" w:eastAsia="仿宋_GB2312"/>
          <w:sz w:val="32"/>
          <w:szCs w:val="32"/>
          <w:lang w:eastAsia="zh-CN"/>
        </w:rPr>
        <w:t>不变</w:t>
      </w:r>
      <w:r>
        <w:rPr>
          <w:rFonts w:hint="eastAsia" w:ascii="仿宋_GB2312" w:hAnsi="仿宋" w:eastAsia="仿宋_GB2312"/>
          <w:sz w:val="32"/>
          <w:szCs w:val="32"/>
        </w:rPr>
        <w:t>；事业人员</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1人</w:t>
      </w:r>
      <w:r>
        <w:rPr>
          <w:rFonts w:hint="eastAsia" w:ascii="仿宋_GB2312" w:hAnsi="仿宋" w:eastAsia="仿宋_GB2312"/>
          <w:sz w:val="32"/>
          <w:szCs w:val="32"/>
        </w:rPr>
        <w:t>。</w:t>
      </w:r>
      <w:bookmarkEnd w:id="16"/>
      <w:bookmarkEnd w:id="17"/>
    </w:p>
    <w:p>
      <w:pPr>
        <w:keepNext w:val="0"/>
        <w:keepLines w:val="0"/>
        <w:pageBreakBefore w:val="0"/>
        <w:widowControl w:val="0"/>
        <w:wordWrap/>
        <w:topLinePunct w:val="0"/>
        <w:bidi w:val="0"/>
        <w:adjustRightInd w:val="0"/>
        <w:snapToGrid w:val="0"/>
        <w:spacing w:line="540" w:lineRule="exact"/>
        <w:ind w:right="0" w:rightChars="0" w:firstLine="640" w:firstLineChars="200"/>
        <w:jc w:val="left"/>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widowControl w:val="0"/>
        <w:wordWrap/>
        <w:topLinePunct w:val="0"/>
        <w:bidi w:val="0"/>
        <w:adjustRightInd w:val="0"/>
        <w:snapToGrid w:val="0"/>
        <w:spacing w:line="540" w:lineRule="exact"/>
        <w:ind w:right="0" w:rightChars="0" w:firstLine="663" w:firstLineChars="200"/>
        <w:jc w:val="left"/>
        <w:rPr>
          <w:rFonts w:ascii="方正楷体_GBK" w:eastAsia="方正楷体_GBK"/>
          <w:b/>
          <w:bCs/>
          <w:sz w:val="33"/>
          <w:szCs w:val="33"/>
        </w:rPr>
      </w:pPr>
      <w:r>
        <w:rPr>
          <w:rFonts w:ascii="方正楷体_GBK" w:eastAsia="方正楷体_GBK"/>
          <w:b/>
          <w:bCs/>
          <w:sz w:val="33"/>
          <w:szCs w:val="33"/>
        </w:rPr>
        <w:t>固定资产投资</w:t>
      </w:r>
    </w:p>
    <w:p>
      <w:pPr>
        <w:spacing w:line="600" w:lineRule="exact"/>
        <w:ind w:firstLine="645"/>
        <w:rPr>
          <w:rFonts w:eastAsia="方正仿宋_GBK"/>
          <w:sz w:val="33"/>
          <w:szCs w:val="33"/>
        </w:rPr>
      </w:pPr>
      <w:r>
        <w:rPr>
          <w:rFonts w:eastAsia="方正仿宋_GBK"/>
          <w:b/>
          <w:sz w:val="33"/>
          <w:szCs w:val="33"/>
        </w:rPr>
        <w:t>1.项目投资。</w:t>
      </w:r>
      <w:r>
        <w:rPr>
          <w:rFonts w:eastAsia="方正仿宋_GBK"/>
          <w:bCs/>
          <w:sz w:val="33"/>
          <w:szCs w:val="33"/>
        </w:rPr>
        <w:t>预计年底前完成固定资产投资</w:t>
      </w:r>
      <w:r>
        <w:rPr>
          <w:rFonts w:eastAsia="方正仿宋_GBK"/>
          <w:b/>
          <w:sz w:val="33"/>
          <w:szCs w:val="33"/>
        </w:rPr>
        <w:t>13</w:t>
      </w:r>
      <w:r>
        <w:rPr>
          <w:rFonts w:eastAsia="方正仿宋_GBK"/>
          <w:bCs/>
          <w:sz w:val="33"/>
          <w:szCs w:val="33"/>
        </w:rPr>
        <w:t>亿元，</w:t>
      </w:r>
      <w:r>
        <w:rPr>
          <w:rFonts w:eastAsia="方正仿宋_GBK"/>
          <w:sz w:val="33"/>
          <w:szCs w:val="33"/>
        </w:rPr>
        <w:t>完成全年目标任务（13亿元）的</w:t>
      </w:r>
      <w:r>
        <w:rPr>
          <w:rFonts w:eastAsia="方正仿宋_GBK"/>
          <w:b/>
          <w:bCs/>
          <w:sz w:val="33"/>
          <w:szCs w:val="33"/>
        </w:rPr>
        <w:t>100</w:t>
      </w:r>
      <w:r>
        <w:rPr>
          <w:rFonts w:eastAsia="方正仿宋_GBK"/>
          <w:sz w:val="33"/>
          <w:szCs w:val="33"/>
        </w:rPr>
        <w:t>%。</w:t>
      </w:r>
    </w:p>
    <w:p>
      <w:pPr>
        <w:spacing w:line="600" w:lineRule="exact"/>
        <w:ind w:firstLine="645"/>
        <w:rPr>
          <w:rFonts w:ascii="方正楷体_GBK" w:eastAsia="方正楷体_GBK"/>
          <w:b/>
          <w:bCs/>
          <w:sz w:val="33"/>
          <w:szCs w:val="33"/>
        </w:rPr>
      </w:pPr>
      <w:r>
        <w:rPr>
          <w:rFonts w:eastAsia="方正仿宋_GBK"/>
          <w:b/>
          <w:sz w:val="33"/>
          <w:szCs w:val="33"/>
        </w:rPr>
        <w:t>2项目入库。</w:t>
      </w:r>
      <w:r>
        <w:rPr>
          <w:rFonts w:eastAsia="方正仿宋_GBK"/>
          <w:bCs/>
          <w:sz w:val="33"/>
          <w:szCs w:val="33"/>
        </w:rPr>
        <w:t>截</w:t>
      </w:r>
      <w:r>
        <w:rPr>
          <w:rFonts w:hint="eastAsia" w:eastAsia="方正仿宋_GBK"/>
          <w:bCs/>
          <w:sz w:val="33"/>
          <w:szCs w:val="33"/>
          <w:lang w:eastAsia="zh-CN"/>
        </w:rPr>
        <w:t>至</w:t>
      </w:r>
      <w:bookmarkStart w:id="76" w:name="_GoBack"/>
      <w:bookmarkEnd w:id="76"/>
      <w:r>
        <w:rPr>
          <w:rFonts w:eastAsia="方正仿宋_GBK"/>
          <w:bCs/>
          <w:sz w:val="33"/>
          <w:szCs w:val="33"/>
        </w:rPr>
        <w:t>目前，</w:t>
      </w:r>
      <w:r>
        <w:rPr>
          <w:rFonts w:eastAsia="方正仿宋_GBK"/>
          <w:sz w:val="33"/>
          <w:szCs w:val="33"/>
        </w:rPr>
        <w:t>项目入库5个，力争年底前完成入库</w:t>
      </w:r>
      <w:r>
        <w:rPr>
          <w:rFonts w:eastAsia="方正仿宋_GBK"/>
          <w:b/>
          <w:bCs/>
          <w:sz w:val="33"/>
          <w:szCs w:val="33"/>
        </w:rPr>
        <w:t>5</w:t>
      </w:r>
      <w:r>
        <w:rPr>
          <w:rFonts w:eastAsia="方正仿宋_GBK"/>
          <w:sz w:val="33"/>
          <w:szCs w:val="33"/>
        </w:rPr>
        <w:t>亿元。</w:t>
      </w:r>
    </w:p>
    <w:p>
      <w:pPr>
        <w:widowControl/>
        <w:kinsoku w:val="0"/>
        <w:overflowPunct w:val="0"/>
        <w:autoSpaceDE w:val="0"/>
        <w:autoSpaceDN w:val="0"/>
        <w:spacing w:line="600" w:lineRule="exact"/>
        <w:ind w:firstLine="331" w:firstLineChars="100"/>
        <w:rPr>
          <w:rFonts w:ascii="方正楷体_GBK" w:eastAsia="方正楷体_GBK"/>
          <w:b/>
          <w:bCs/>
          <w:sz w:val="33"/>
          <w:szCs w:val="33"/>
        </w:rPr>
      </w:pPr>
      <w:r>
        <w:rPr>
          <w:rFonts w:ascii="方正楷体_GBK" w:eastAsia="方正楷体_GBK"/>
          <w:b/>
          <w:bCs/>
          <w:sz w:val="33"/>
          <w:szCs w:val="33"/>
        </w:rPr>
        <w:t>上级资金争取</w:t>
      </w:r>
    </w:p>
    <w:p>
      <w:pPr>
        <w:widowControl/>
        <w:spacing w:line="600" w:lineRule="exact"/>
        <w:ind w:firstLine="645"/>
        <w:jc w:val="left"/>
        <w:rPr>
          <w:rFonts w:eastAsia="方正仿宋_GBK"/>
          <w:sz w:val="33"/>
          <w:szCs w:val="33"/>
        </w:rPr>
      </w:pPr>
      <w:r>
        <w:rPr>
          <w:rFonts w:eastAsia="方正仿宋_GBK"/>
          <w:color w:val="000000"/>
          <w:sz w:val="33"/>
          <w:szCs w:val="33"/>
        </w:rPr>
        <w:t>截止</w:t>
      </w:r>
      <w:r>
        <w:rPr>
          <w:rFonts w:hint="eastAsia" w:eastAsia="方正仿宋_GBK"/>
          <w:color w:val="000000"/>
          <w:sz w:val="33"/>
          <w:szCs w:val="33"/>
          <w:lang w:eastAsia="zh-CN"/>
        </w:rPr>
        <w:t>年底</w:t>
      </w:r>
      <w:r>
        <w:rPr>
          <w:rFonts w:eastAsia="方正仿宋_GBK"/>
          <w:color w:val="000000"/>
          <w:sz w:val="33"/>
          <w:szCs w:val="33"/>
        </w:rPr>
        <w:t>，争取专项资金</w:t>
      </w:r>
      <w:r>
        <w:rPr>
          <w:rFonts w:hint="eastAsia" w:eastAsia="方正仿宋_GBK"/>
          <w:b/>
          <w:bCs/>
          <w:color w:val="000000"/>
          <w:sz w:val="33"/>
          <w:szCs w:val="33"/>
          <w:lang w:val="en-US" w:eastAsia="zh-CN"/>
        </w:rPr>
        <w:t>8000</w:t>
      </w:r>
      <w:r>
        <w:rPr>
          <w:rFonts w:eastAsia="方正仿宋_GBK"/>
          <w:color w:val="000000"/>
          <w:sz w:val="33"/>
          <w:szCs w:val="33"/>
        </w:rPr>
        <w:t>万元。具体为：省级中央车购税资金1227万元，攀西建设资金800万元，金沙电站库周交通还建资金1000万元。目前正在争取省道218线金拉路提档升级补助资金6000余万元。</w:t>
      </w:r>
    </w:p>
    <w:p>
      <w:pPr>
        <w:widowControl/>
        <w:kinsoku w:val="0"/>
        <w:overflowPunct w:val="0"/>
        <w:autoSpaceDE w:val="0"/>
        <w:autoSpaceDN w:val="0"/>
        <w:spacing w:line="600" w:lineRule="exact"/>
        <w:ind w:firstLine="480" w:firstLineChars="145"/>
        <w:rPr>
          <w:rFonts w:ascii="方正楷体_GBK" w:eastAsia="方正楷体_GBK"/>
          <w:b/>
          <w:bCs/>
          <w:sz w:val="33"/>
          <w:szCs w:val="33"/>
        </w:rPr>
      </w:pPr>
      <w:r>
        <w:rPr>
          <w:rFonts w:ascii="方正楷体_GBK" w:eastAsia="方正楷体_GBK"/>
          <w:b/>
          <w:bCs/>
          <w:sz w:val="33"/>
          <w:szCs w:val="33"/>
        </w:rPr>
        <w:t>公路运输总周转量增长速度(现价)</w:t>
      </w:r>
    </w:p>
    <w:p>
      <w:pPr>
        <w:widowControl/>
        <w:kinsoku w:val="0"/>
        <w:overflowPunct w:val="0"/>
        <w:autoSpaceDE w:val="0"/>
        <w:autoSpaceDN w:val="0"/>
        <w:spacing w:line="600" w:lineRule="exact"/>
        <w:ind w:firstLine="660" w:firstLineChars="200"/>
        <w:rPr>
          <w:rFonts w:eastAsia="方正仿宋_GBK"/>
          <w:color w:val="000000"/>
          <w:sz w:val="33"/>
          <w:szCs w:val="33"/>
        </w:rPr>
      </w:pPr>
      <w:r>
        <w:rPr>
          <w:rFonts w:eastAsia="方正仿宋_GBK"/>
          <w:color w:val="000000"/>
          <w:sz w:val="33"/>
          <w:szCs w:val="33"/>
        </w:rPr>
        <w:t>2018年，仁和区前三季度公路运输总周转量增速9%，完成年初下达公路运输总周转量增速10%的90%，年底由市级统一核算计算增速。</w:t>
      </w:r>
    </w:p>
    <w:p>
      <w:pPr>
        <w:widowControl/>
        <w:kinsoku w:val="0"/>
        <w:overflowPunct w:val="0"/>
        <w:autoSpaceDE w:val="0"/>
        <w:autoSpaceDN w:val="0"/>
        <w:spacing w:line="600" w:lineRule="exact"/>
        <w:ind w:firstLine="480" w:firstLineChars="145"/>
        <w:rPr>
          <w:rFonts w:eastAsia="方正仿宋_GBK"/>
          <w:b/>
          <w:bCs/>
          <w:sz w:val="33"/>
          <w:szCs w:val="33"/>
        </w:rPr>
      </w:pPr>
      <w:r>
        <w:rPr>
          <w:rFonts w:eastAsia="方正仿宋_GBK"/>
          <w:b/>
          <w:bCs/>
          <w:sz w:val="33"/>
          <w:szCs w:val="33"/>
        </w:rPr>
        <w:t>服务业统计入库</w:t>
      </w:r>
    </w:p>
    <w:p>
      <w:pPr>
        <w:widowControl/>
        <w:kinsoku w:val="0"/>
        <w:overflowPunct w:val="0"/>
        <w:autoSpaceDE w:val="0"/>
        <w:autoSpaceDN w:val="0"/>
        <w:spacing w:line="600" w:lineRule="exact"/>
        <w:ind w:firstLine="660" w:firstLineChars="200"/>
        <w:rPr>
          <w:rFonts w:eastAsia="方正仿宋_GBK"/>
          <w:color w:val="000000"/>
          <w:sz w:val="33"/>
          <w:szCs w:val="33"/>
        </w:rPr>
      </w:pPr>
      <w:r>
        <w:rPr>
          <w:rFonts w:eastAsia="方正仿宋_GBK"/>
          <w:color w:val="000000"/>
          <w:sz w:val="33"/>
          <w:szCs w:val="33"/>
        </w:rPr>
        <w:t>已申报千力达运输公司符合统计入库条件，年底前入库。</w:t>
      </w:r>
    </w:p>
    <w:p>
      <w:pPr>
        <w:widowControl/>
        <w:kinsoku w:val="0"/>
        <w:overflowPunct w:val="0"/>
        <w:autoSpaceDE w:val="0"/>
        <w:autoSpaceDN w:val="0"/>
        <w:spacing w:line="600" w:lineRule="exact"/>
        <w:rPr>
          <w:rFonts w:ascii="方正黑体_GBK" w:eastAsia="方正黑体_GBK"/>
          <w:sz w:val="33"/>
          <w:szCs w:val="33"/>
        </w:rPr>
      </w:pPr>
      <w:r>
        <w:rPr>
          <w:rFonts w:ascii="方正黑体_GBK" w:eastAsia="方正黑体_GBK"/>
          <w:sz w:val="33"/>
          <w:szCs w:val="33"/>
        </w:rPr>
        <w:t>二、主要成绩和特色亮点</w:t>
      </w:r>
    </w:p>
    <w:p>
      <w:pPr>
        <w:widowControl/>
        <w:kinsoku w:val="0"/>
        <w:overflowPunct w:val="0"/>
        <w:autoSpaceDE w:val="0"/>
        <w:autoSpaceDN w:val="0"/>
        <w:spacing w:line="600" w:lineRule="exact"/>
        <w:ind w:firstLine="660" w:firstLineChars="200"/>
        <w:rPr>
          <w:rFonts w:eastAsia="方正仿宋_GBK"/>
          <w:sz w:val="33"/>
          <w:szCs w:val="33"/>
        </w:rPr>
      </w:pPr>
      <w:r>
        <w:rPr>
          <w:rFonts w:eastAsia="方正仿宋_GBK"/>
          <w:sz w:val="33"/>
          <w:szCs w:val="33"/>
        </w:rPr>
        <w:t>2018年，仁和区交通运输局紧紧围绕市委市政府、区委区政府提出的实施交通大会战战略目标，理清思路，强化措施，重点加强了新机场选址、高速公路“一支六线”（京昆、丽攀、攀大、宜攀、西盐、绕城）枢纽建设、农村公路建设，进一步打通对外通道，建立开放门户，疏通农村道路毛细血管网络，振兴乡村经济。争创省级“四好农村公路”示范县（区），加快推进农村公路建、管、养、运协调可持续发展。</w:t>
      </w:r>
    </w:p>
    <w:p>
      <w:pPr>
        <w:widowControl/>
        <w:kinsoku w:val="0"/>
        <w:overflowPunct w:val="0"/>
        <w:autoSpaceDE w:val="0"/>
        <w:autoSpaceDN w:val="0"/>
        <w:spacing w:line="600" w:lineRule="exact"/>
        <w:ind w:firstLine="663" w:firstLineChars="200"/>
        <w:rPr>
          <w:rFonts w:ascii="方正楷体_GBK" w:eastAsia="方正楷体_GBK"/>
          <w:b/>
          <w:bCs/>
          <w:sz w:val="33"/>
          <w:szCs w:val="33"/>
        </w:rPr>
      </w:pPr>
      <w:r>
        <w:rPr>
          <w:rFonts w:ascii="方正楷体_GBK" w:eastAsia="方正楷体_GBK"/>
          <w:b/>
          <w:bCs/>
          <w:sz w:val="33"/>
          <w:szCs w:val="33"/>
        </w:rPr>
        <w:t>（一）强化保障，推动建设，着力打通对外通道、建立对外门户。</w:t>
      </w:r>
    </w:p>
    <w:p>
      <w:pPr>
        <w:widowControl/>
        <w:spacing w:line="600" w:lineRule="exact"/>
        <w:ind w:firstLine="660" w:firstLineChars="200"/>
        <w:rPr>
          <w:rFonts w:eastAsia="方正仿宋_GBK"/>
          <w:sz w:val="33"/>
          <w:szCs w:val="33"/>
        </w:rPr>
      </w:pPr>
      <w:r>
        <w:rPr>
          <w:rFonts w:eastAsia="方正仿宋_GBK"/>
          <w:sz w:val="33"/>
          <w:szCs w:val="33"/>
        </w:rPr>
        <w:t>1.协同做好新机场选址。2018年按照市、区政府安排部署，督促平地镇做好新机场——平地镇双龙潭村附近建控区管理工作，制定日常巡查工作机制，维持土地现状，禁止抢栽抢种、违规建房等行为。</w:t>
      </w:r>
    </w:p>
    <w:p>
      <w:pPr>
        <w:widowControl/>
        <w:spacing w:line="600" w:lineRule="exact"/>
        <w:ind w:firstLine="660" w:firstLineChars="200"/>
        <w:rPr>
          <w:rFonts w:eastAsia="方正仿宋_GBK"/>
          <w:sz w:val="33"/>
          <w:szCs w:val="33"/>
        </w:rPr>
      </w:pPr>
      <w:r>
        <w:rPr>
          <w:rFonts w:eastAsia="方正仿宋_GBK"/>
          <w:sz w:val="33"/>
          <w:szCs w:val="33"/>
        </w:rPr>
        <w:t>2.推进攀大高速征拆协调。2018年累计完成投资</w:t>
      </w:r>
      <w:r>
        <w:rPr>
          <w:rFonts w:hint="eastAsia" w:eastAsia="方正仿宋_GBK"/>
          <w:sz w:val="33"/>
          <w:szCs w:val="33"/>
          <w:lang w:val="en-US" w:eastAsia="zh-CN"/>
        </w:rPr>
        <w:t>12亿</w:t>
      </w:r>
      <w:r>
        <w:rPr>
          <w:rFonts w:eastAsia="方正仿宋_GBK"/>
          <w:sz w:val="33"/>
          <w:szCs w:val="33"/>
        </w:rPr>
        <w:t>元。积极协调配合搞好攀大高速公路施工导致水源、炮损、农作物损坏等问题，推进项目建设。</w:t>
      </w:r>
    </w:p>
    <w:p>
      <w:pPr>
        <w:widowControl/>
        <w:spacing w:line="600" w:lineRule="exact"/>
        <w:ind w:firstLine="488" w:firstLineChars="148"/>
        <w:jc w:val="left"/>
        <w:rPr>
          <w:rFonts w:eastAsia="方正仿宋_GBK"/>
          <w:sz w:val="33"/>
          <w:szCs w:val="33"/>
        </w:rPr>
      </w:pPr>
      <w:r>
        <w:rPr>
          <w:rFonts w:eastAsia="方正仿宋_GBK"/>
          <w:sz w:val="33"/>
          <w:szCs w:val="33"/>
        </w:rPr>
        <w:t>3.加快推进攀宜高速、攀枝花绕城高速东线、攀枝花市西区至凉山洲盐源县高速公路（攀枝花段）前期工可、初设等工作，已完成工可资料提供，根据市级工作安排及时跟进。</w:t>
      </w:r>
    </w:p>
    <w:p>
      <w:pPr>
        <w:widowControl/>
        <w:kinsoku w:val="0"/>
        <w:overflowPunct w:val="0"/>
        <w:autoSpaceDE w:val="0"/>
        <w:autoSpaceDN w:val="0"/>
        <w:spacing w:line="600" w:lineRule="exact"/>
        <w:ind w:firstLine="663" w:firstLineChars="200"/>
        <w:rPr>
          <w:rFonts w:ascii="方正楷体_GBK" w:eastAsia="方正楷体_GBK"/>
          <w:b/>
          <w:bCs/>
          <w:sz w:val="33"/>
          <w:szCs w:val="33"/>
        </w:rPr>
      </w:pPr>
      <w:r>
        <w:rPr>
          <w:rFonts w:ascii="方正楷体_GBK" w:eastAsia="方正楷体_GBK"/>
          <w:b/>
          <w:bCs/>
          <w:sz w:val="33"/>
          <w:szCs w:val="33"/>
        </w:rPr>
        <w:t>（二）持续改善，加快完善，致力健全村道骨架、疏通毛细血管。</w:t>
      </w:r>
    </w:p>
    <w:p>
      <w:pPr>
        <w:widowControl/>
        <w:kinsoku w:val="0"/>
        <w:overflowPunct w:val="0"/>
        <w:autoSpaceDE w:val="0"/>
        <w:autoSpaceDN w:val="0"/>
        <w:spacing w:line="600" w:lineRule="exact"/>
        <w:ind w:firstLine="660" w:firstLineChars="200"/>
        <w:rPr>
          <w:rFonts w:eastAsia="方正仿宋_GBK"/>
          <w:sz w:val="33"/>
          <w:szCs w:val="33"/>
        </w:rPr>
      </w:pPr>
      <w:r>
        <w:rPr>
          <w:rFonts w:eastAsia="方正仿宋_GBK"/>
          <w:sz w:val="33"/>
          <w:szCs w:val="33"/>
          <w:shd w:val="clear" w:color="auto" w:fill="FFFFFF"/>
        </w:rPr>
        <w:t>2018年，积极开展“三抓”（抓政策、抓项目、抓资金）工作，开足马力全面推进</w:t>
      </w:r>
      <w:r>
        <w:rPr>
          <w:rFonts w:eastAsia="方正仿宋_GBK"/>
          <w:sz w:val="33"/>
          <w:szCs w:val="33"/>
        </w:rPr>
        <w:t>形成乡村交通大骨架、构建互联互通、打通最后一公里、解决车到山前没有路问题，组建毛细血管式村社道。总投资3375余万元，新开工建设农村公路县乡道改善工程26.4公里，完成窄道加宽18公里，完成撤并建制村18.7公里，完成病危桥梁重建1座，完成县乡病危道整治13条。</w:t>
      </w:r>
    </w:p>
    <w:p>
      <w:pPr>
        <w:spacing w:line="600" w:lineRule="exact"/>
        <w:ind w:firstLine="663" w:firstLineChars="200"/>
        <w:rPr>
          <w:rFonts w:eastAsia="方正仿宋_GBK"/>
          <w:b/>
          <w:bCs/>
          <w:sz w:val="33"/>
          <w:szCs w:val="33"/>
        </w:rPr>
      </w:pPr>
      <w:r>
        <w:rPr>
          <w:rFonts w:ascii="方正楷体_GBK" w:eastAsia="方正楷体_GBK"/>
          <w:b/>
          <w:bCs/>
          <w:sz w:val="33"/>
          <w:szCs w:val="33"/>
        </w:rPr>
        <w:t>（三）争先进位，助推发展，创建四好农村公路、优化交通富民。</w:t>
      </w:r>
    </w:p>
    <w:p>
      <w:pPr>
        <w:spacing w:line="600" w:lineRule="exact"/>
        <w:ind w:firstLine="660" w:firstLineChars="200"/>
        <w:rPr>
          <w:rFonts w:eastAsia="方正仿宋_GBK"/>
          <w:sz w:val="33"/>
          <w:szCs w:val="33"/>
        </w:rPr>
      </w:pPr>
      <w:r>
        <w:rPr>
          <w:rFonts w:eastAsia="方正仿宋_GBK"/>
          <w:sz w:val="33"/>
          <w:szCs w:val="33"/>
        </w:rPr>
        <w:t>2018年，积极争取省厅、市局支持，借鉴兄弟县区经验，启动“四好农村公路”省级示范县创建工作，积极探索适合区情交通发展新路子，努力形成“交通+产业”、“交通+旅游”、“交通+城镇”模式，大力发展我区农村公路建设，完善路网结构，提升道路质量，促进便民出行、城乡均等，助推我区经济发展、乡村振兴、群众致富。制定完成了我区“四好农村公路”创建工作方案，成立了全区四好农村公路领导小组，将四好农村路创建工作纳入全区2018年重点工程项目，并与市政府签订了目标责任书，明确了100公里示范路、其他附属设施工程的具体施工内容和投资，并上报区政府。目前已完成“四好农村公路”示范路及附属设施项目施工图审查，争取年底施工。</w:t>
      </w:r>
    </w:p>
    <w:p>
      <w:pPr>
        <w:spacing w:line="600" w:lineRule="exact"/>
        <w:ind w:firstLine="663" w:firstLineChars="200"/>
        <w:rPr>
          <w:rFonts w:ascii="方正楷体_GBK" w:eastAsia="方正楷体_GBK"/>
          <w:b/>
          <w:bCs/>
          <w:sz w:val="33"/>
          <w:szCs w:val="33"/>
        </w:rPr>
      </w:pPr>
      <w:r>
        <w:rPr>
          <w:rFonts w:ascii="方正楷体_GBK" w:eastAsia="方正楷体_GBK"/>
          <w:b/>
          <w:bCs/>
          <w:sz w:val="33"/>
          <w:szCs w:val="33"/>
        </w:rPr>
        <w:t>（四）强化监管，行业治理，提升交通保障能力、交通环保安全。</w:t>
      </w:r>
    </w:p>
    <w:p>
      <w:pPr>
        <w:spacing w:line="600" w:lineRule="exact"/>
        <w:ind w:firstLine="660"/>
        <w:rPr>
          <w:rFonts w:eastAsia="方正仿宋_GBK"/>
          <w:sz w:val="33"/>
          <w:szCs w:val="33"/>
        </w:rPr>
      </w:pPr>
      <w:r>
        <w:rPr>
          <w:rFonts w:eastAsia="方正仿宋_GBK"/>
          <w:sz w:val="33"/>
          <w:szCs w:val="33"/>
        </w:rPr>
        <w:t>2018年，区交通运输局切实履行“一岗双责”责任制，加强交通运输行业监管，提升交通保障能力，深入开展行业乱象治理，巩固扫黑除恶成果，持续推进固废物品、扬尘抛洒治理、在建工程扬尘治理，抓好环保“三大战役”攻坚，深刻吸取盐边6.21交通较大事故、宜宾7.12爆燃事故等深刻教训，统筹开展交通运输道路运输、水路运输、公路管养、在建工程安全大检查及专项整治、汛期安全隐患排查治理，持续稳定安全形势。</w:t>
      </w:r>
    </w:p>
    <w:p>
      <w:pPr>
        <w:spacing w:line="600" w:lineRule="exact"/>
        <w:ind w:firstLine="660"/>
        <w:rPr>
          <w:rFonts w:eastAsia="方正仿宋_GBK"/>
          <w:sz w:val="33"/>
          <w:szCs w:val="33"/>
        </w:rPr>
      </w:pPr>
      <w:r>
        <w:rPr>
          <w:rFonts w:eastAsia="方正仿宋_GBK"/>
          <w:b/>
          <w:bCs/>
          <w:sz w:val="33"/>
          <w:szCs w:val="33"/>
        </w:rPr>
        <w:t>1.强化交通运输管理。一是</w:t>
      </w:r>
      <w:r>
        <w:rPr>
          <w:rFonts w:eastAsia="方正仿宋_GBK"/>
          <w:sz w:val="33"/>
          <w:szCs w:val="33"/>
        </w:rPr>
        <w:t>开展人力三轮车专项整治。由仁和区交通、公安、城管、市场监管、人武部等相关部门组成的10个治理小组100余名执法人员，昼夜轮流执法，采取定点治理与拉网式治理相结合方式，对有牌有证人力三轮车进行价格评估，动员车主主动退出市场，共办理退市人力三轮车168台，查扣无牌无证人力三轮车28台，查扣教育有证有牌人力三轮车6台，拆除非法加装动力装置108套，目前仁和主城区载客人力三轮车已停止运行，所有三轮车已进入修理厂拆卸，人力三轮已全部取缔。</w:t>
      </w:r>
      <w:r>
        <w:rPr>
          <w:rFonts w:eastAsia="方正仿宋_GBK"/>
          <w:b/>
          <w:bCs/>
          <w:sz w:val="33"/>
          <w:szCs w:val="33"/>
        </w:rPr>
        <w:t>二是</w:t>
      </w:r>
      <w:r>
        <w:rPr>
          <w:rFonts w:eastAsia="方正仿宋_GBK"/>
          <w:sz w:val="33"/>
          <w:szCs w:val="33"/>
        </w:rPr>
        <w:t>开展维修企业环保大检查。加强汽车维修企业污染防治工作，促进道路运输绿色、低碳发展。加强对维修企业污染防治工作的督查力度，督促辖区一、二类维修企业做好危废申报登记工作，处理办结维修环保投诉20余起。</w:t>
      </w:r>
      <w:r>
        <w:rPr>
          <w:rFonts w:eastAsia="方正仿宋_GBK"/>
          <w:b/>
          <w:bCs/>
          <w:sz w:val="33"/>
          <w:szCs w:val="33"/>
        </w:rPr>
        <w:t>三是</w:t>
      </w:r>
      <w:r>
        <w:rPr>
          <w:rFonts w:eastAsia="方正仿宋_GBK"/>
          <w:sz w:val="33"/>
          <w:szCs w:val="33"/>
        </w:rPr>
        <w:t>开展扬尘污染整治工作。通过责任、宣传、整治三到位，实现扬尘污染整治工作的常态化和制度化，2018年共查处未采取有效措施防止防治货物脱落扬撒行为14起。</w:t>
      </w:r>
      <w:r>
        <w:rPr>
          <w:rFonts w:eastAsia="方正仿宋_GBK"/>
          <w:b/>
          <w:bCs/>
          <w:sz w:val="33"/>
          <w:szCs w:val="33"/>
        </w:rPr>
        <w:t>四是</w:t>
      </w:r>
      <w:r>
        <w:rPr>
          <w:rFonts w:eastAsia="方正仿宋_GBK"/>
          <w:sz w:val="33"/>
          <w:szCs w:val="33"/>
        </w:rPr>
        <w:t>规范道路运输秩序。强化道路运输市场监管，开展社会乱象治理，严查各类道路运输违法经营行为，全年出动执法车辆600余台次，出动执法人员1300余人次，共查处涉嫌非法营运行为26起，处罚11起，教育学习15起。开展客运秩序综合整治，先后开展了春运安全、道路客运隐患专项整治、打击非法违法道路运输生产经营遏制道路交通安全事故专项整治行动、道路运输安全隐患排查整治等工作。</w:t>
      </w:r>
    </w:p>
    <w:p>
      <w:pPr>
        <w:spacing w:line="600" w:lineRule="exact"/>
        <w:ind w:firstLine="828" w:firstLineChars="250"/>
        <w:rPr>
          <w:rFonts w:eastAsia="方正仿宋_GBK"/>
          <w:sz w:val="33"/>
          <w:szCs w:val="33"/>
        </w:rPr>
      </w:pPr>
      <w:r>
        <w:rPr>
          <w:rFonts w:eastAsia="方正仿宋_GBK"/>
          <w:b/>
          <w:bCs/>
          <w:color w:val="333333"/>
          <w:sz w:val="33"/>
          <w:szCs w:val="33"/>
        </w:rPr>
        <w:t>2.强化水路运输管理。</w:t>
      </w:r>
      <w:r>
        <w:rPr>
          <w:rFonts w:eastAsia="方正仿宋_GBK"/>
          <w:color w:val="333333"/>
          <w:sz w:val="33"/>
          <w:szCs w:val="33"/>
        </w:rPr>
        <w:t>积极推进四川省水上交通安全监测巡航救助一体化专项工程建设，强化辖区水路运输航运企业指导，督促航运企业切实落实好安全生产主体责任，进一步完善安全责任体系，及时开展和落实好全年的安全监督和管理工作。重点加强对辖区客渡运输船舶在金沙江通航水域运营航行过程中的监管，确保船舶适航、船员适任、航行安全。按上级要求，认真做好省市区行政权力信息资源平台、一体化信息平台和航务海事水路运政信息管理三个专项平台的使用管理及日常案件录入和运行工作。全年共出动车辆 30余台次，参与检查的执法人员350余人次，劝导员现场劝导检查1040余次，开展安全检查146余次，巡（航）查50余次，达4000余公里，检查各类船舶70余艘次，排查并整治完成安全隐患7 起。</w:t>
      </w:r>
    </w:p>
    <w:p>
      <w:pPr>
        <w:spacing w:line="600" w:lineRule="exact"/>
        <w:ind w:firstLine="663" w:firstLineChars="200"/>
        <w:rPr>
          <w:rFonts w:eastAsia="方正仿宋_GBK"/>
          <w:sz w:val="33"/>
          <w:szCs w:val="33"/>
        </w:rPr>
      </w:pPr>
      <w:r>
        <w:rPr>
          <w:rFonts w:eastAsia="方正仿宋_GBK"/>
          <w:b/>
          <w:bCs/>
          <w:sz w:val="33"/>
          <w:szCs w:val="33"/>
        </w:rPr>
        <w:t>3.强化农村公路管养。一是</w:t>
      </w:r>
      <w:r>
        <w:rPr>
          <w:rFonts w:eastAsia="方正仿宋_GBK"/>
          <w:sz w:val="33"/>
          <w:szCs w:val="33"/>
        </w:rPr>
        <w:t>加强公路建控区的管理、养护，及时查处损坏公路路产的违法行为，加强公路桥梁检查，确保桥梁安全运行。2018年查处损坏公路路产案件6件，办理路政行政许可案件3件。罚没收入2.15万元，收取路产损坏、占用赔（补）偿费17万元。</w:t>
      </w:r>
      <w:r>
        <w:rPr>
          <w:rFonts w:eastAsia="方正仿宋_GBK"/>
          <w:b/>
          <w:bCs/>
          <w:sz w:val="33"/>
          <w:szCs w:val="33"/>
        </w:rPr>
        <w:t>二是</w:t>
      </w:r>
      <w:r>
        <w:rPr>
          <w:rFonts w:eastAsia="方正仿宋_GBK"/>
          <w:sz w:val="33"/>
          <w:szCs w:val="33"/>
        </w:rPr>
        <w:t>开展汛期公路隐患排查整治。按照汛期“三查”工作要求，做好农村公路防汛工作。汛期共清除塌方约6500m</w:t>
      </w:r>
      <w:r>
        <w:rPr>
          <w:rFonts w:eastAsia="方正仿宋_GBK"/>
          <w:sz w:val="33"/>
          <w:szCs w:val="33"/>
          <w:vertAlign w:val="superscript"/>
        </w:rPr>
        <w:t>3</w:t>
      </w:r>
      <w:r>
        <w:rPr>
          <w:rFonts w:eastAsia="方正仿宋_GBK"/>
          <w:sz w:val="33"/>
          <w:szCs w:val="33"/>
        </w:rPr>
        <w:t>，清理影响行车安全的行道树9棵，临时投入抢险机械95台班，抢险人员460人次。</w:t>
      </w:r>
      <w:r>
        <w:rPr>
          <w:rFonts w:eastAsia="方正仿宋_GBK"/>
          <w:b/>
          <w:bCs/>
          <w:sz w:val="33"/>
          <w:szCs w:val="33"/>
        </w:rPr>
        <w:t>三是</w:t>
      </w:r>
      <w:r>
        <w:rPr>
          <w:rFonts w:eastAsia="方正仿宋_GBK"/>
          <w:sz w:val="33"/>
          <w:szCs w:val="33"/>
        </w:rPr>
        <w:t>开展双超治理。截止10月底，共开展路政巡查、超限运输和扬尘治理共259次，出动执法车辆259台次，出动执法人员1037人次，抽检货物运输车辆1211台次，发放宣传资料1259份。现场纠正货运车辆装载不规范易抛撒行为110起，防止道路施工扬尘污染清理规范公路周边施工现场32处，查处未经许可超限运输车辆行驶公路案件6件。</w:t>
      </w:r>
    </w:p>
    <w:p>
      <w:pPr>
        <w:spacing w:line="600" w:lineRule="exact"/>
        <w:ind w:firstLine="663" w:firstLineChars="200"/>
        <w:rPr>
          <w:rFonts w:eastAsia="方正仿宋_GBK"/>
          <w:sz w:val="33"/>
          <w:szCs w:val="33"/>
        </w:rPr>
      </w:pPr>
      <w:r>
        <w:rPr>
          <w:rFonts w:eastAsia="方正仿宋_GBK"/>
          <w:b/>
          <w:bCs/>
          <w:sz w:val="33"/>
          <w:szCs w:val="33"/>
        </w:rPr>
        <w:t>4.强化工程安全监管。</w:t>
      </w:r>
      <w:r>
        <w:rPr>
          <w:rFonts w:eastAsia="方正仿宋_GBK"/>
          <w:sz w:val="33"/>
          <w:szCs w:val="33"/>
        </w:rPr>
        <w:t>推进监管标准化建设，加大攀大高速、农村公路等在建工程重点项目、重点部位、关键环节的安全生产监管力度，创新监管措施，强化监管手段，增强监管实效，确保全年无安全责任事故发生。</w:t>
      </w:r>
    </w:p>
    <w:p>
      <w:pPr>
        <w:spacing w:line="600" w:lineRule="exact"/>
        <w:ind w:firstLine="663" w:firstLineChars="200"/>
        <w:rPr>
          <w:rFonts w:eastAsia="方正仿宋_GBK"/>
          <w:sz w:val="33"/>
          <w:szCs w:val="33"/>
        </w:rPr>
      </w:pPr>
      <w:r>
        <w:rPr>
          <w:rFonts w:eastAsia="方正仿宋_GBK"/>
          <w:b/>
          <w:bCs/>
          <w:sz w:val="33"/>
          <w:szCs w:val="33"/>
        </w:rPr>
        <w:t>5.强化交通战备工作。</w:t>
      </w:r>
      <w:r>
        <w:rPr>
          <w:rFonts w:eastAsia="方正仿宋_GBK"/>
          <w:sz w:val="33"/>
          <w:szCs w:val="33"/>
        </w:rPr>
        <w:t>加大国防、交通、通信的安全保障，认真完善落实战备组织机构，搞好战备调查、摸底，及时上报相关资料，积极配合加强国防交通基础设施的建设，配合市级对辖区内重大交通道路和国防通信线路、装备库、交通战备安全保障、交通战备设施等，进行认真督促和安全检查。</w:t>
      </w:r>
    </w:p>
    <w:p>
      <w:pPr>
        <w:widowControl/>
        <w:kinsoku w:val="0"/>
        <w:overflowPunct w:val="0"/>
        <w:autoSpaceDE w:val="0"/>
        <w:autoSpaceDN w:val="0"/>
        <w:spacing w:line="600" w:lineRule="exact"/>
        <w:ind w:firstLine="663" w:firstLineChars="200"/>
        <w:rPr>
          <w:rFonts w:ascii="方正楷体_GBK" w:eastAsia="方正楷体_GBK"/>
          <w:b/>
          <w:bCs/>
          <w:sz w:val="33"/>
          <w:szCs w:val="33"/>
        </w:rPr>
      </w:pPr>
      <w:r>
        <w:rPr>
          <w:rFonts w:ascii="方正楷体_GBK" w:eastAsia="方正楷体_GBK"/>
          <w:b/>
          <w:bCs/>
          <w:sz w:val="33"/>
          <w:szCs w:val="33"/>
        </w:rPr>
        <w:t>（五）依法行政，深化改革，推进法治交通建设、构建和谐交通。</w:t>
      </w:r>
    </w:p>
    <w:p>
      <w:pPr>
        <w:spacing w:line="600" w:lineRule="exact"/>
        <w:ind w:firstLine="663" w:firstLineChars="200"/>
        <w:rPr>
          <w:rFonts w:eastAsia="方正仿宋_GBK"/>
          <w:sz w:val="33"/>
          <w:szCs w:val="33"/>
        </w:rPr>
      </w:pPr>
      <w:r>
        <w:rPr>
          <w:rFonts w:eastAsia="方正仿宋_GBK"/>
          <w:b/>
          <w:bCs/>
          <w:sz w:val="33"/>
          <w:szCs w:val="33"/>
        </w:rPr>
        <w:t>一是</w:t>
      </w:r>
      <w:r>
        <w:rPr>
          <w:rFonts w:eastAsia="方正仿宋_GBK"/>
          <w:sz w:val="33"/>
          <w:szCs w:val="33"/>
        </w:rPr>
        <w:t>推进行政决策规范化。建立健全学法制度，领导干部带头学法。建立完善依法决策制度，严格规范性文件管理。</w:t>
      </w:r>
      <w:r>
        <w:rPr>
          <w:rFonts w:eastAsia="方正仿宋_GBK"/>
          <w:b/>
          <w:bCs/>
          <w:sz w:val="33"/>
          <w:szCs w:val="33"/>
        </w:rPr>
        <w:t>二是</w:t>
      </w:r>
      <w:r>
        <w:rPr>
          <w:rFonts w:eastAsia="方正仿宋_GBK"/>
          <w:sz w:val="33"/>
          <w:szCs w:val="33"/>
        </w:rPr>
        <w:t>加强行政执法规范化建设。扎实开展执法形象大提升活动，推进“三基三化”建设，建立行政权力规范公开运行长效机制。</w:t>
      </w:r>
      <w:r>
        <w:rPr>
          <w:rFonts w:eastAsia="方正仿宋_GBK"/>
          <w:b/>
          <w:bCs/>
          <w:sz w:val="33"/>
          <w:szCs w:val="33"/>
        </w:rPr>
        <w:t>三是</w:t>
      </w:r>
      <w:r>
        <w:rPr>
          <w:rFonts w:eastAsia="方正仿宋_GBK"/>
          <w:sz w:val="33"/>
          <w:szCs w:val="33"/>
        </w:rPr>
        <w:t>强化行政执法队伍管理。加强行政执法队伍管理，加强执法人员培训教育。</w:t>
      </w:r>
      <w:r>
        <w:rPr>
          <w:rFonts w:eastAsia="方正仿宋_GBK"/>
          <w:b/>
          <w:bCs/>
          <w:sz w:val="33"/>
          <w:szCs w:val="33"/>
        </w:rPr>
        <w:t>四是</w:t>
      </w:r>
      <w:r>
        <w:rPr>
          <w:rFonts w:eastAsia="方正仿宋_GBK"/>
          <w:sz w:val="33"/>
          <w:szCs w:val="33"/>
        </w:rPr>
        <w:t>深化行业改革。健全外部协调机制，加强部门沟通协作，建立联动执法机制，有效治理社会关切的超限运输、公路路域环境整治等问题。</w:t>
      </w:r>
      <w:r>
        <w:rPr>
          <w:rFonts w:eastAsia="方正仿宋_GBK"/>
          <w:color w:val="000000"/>
          <w:sz w:val="33"/>
          <w:szCs w:val="33"/>
        </w:rPr>
        <w:t>进一步推进依法行政改革。</w:t>
      </w:r>
      <w:r>
        <w:rPr>
          <w:rFonts w:eastAsia="方正仿宋_GBK"/>
          <w:kern w:val="0"/>
          <w:sz w:val="33"/>
          <w:szCs w:val="33"/>
        </w:rPr>
        <w:t>健全交通行政执法相关制度，深化行政审批制度改革。进一步减少行政审批事项，优化审批流程、精简审批环节，深化一站式服务，加强事中事后监管。2018年，行政审批（许可）</w:t>
      </w:r>
      <w:r>
        <w:rPr>
          <w:rFonts w:eastAsia="方正仿宋_GBK"/>
          <w:color w:val="333333"/>
          <w:sz w:val="33"/>
          <w:szCs w:val="33"/>
        </w:rPr>
        <w:t>道路运输公司</w:t>
      </w:r>
      <w:r>
        <w:rPr>
          <w:rFonts w:eastAsia="方正仿宋_GBK"/>
          <w:sz w:val="33"/>
          <w:szCs w:val="33"/>
        </w:rPr>
        <w:t>37</w:t>
      </w:r>
      <w:r>
        <w:rPr>
          <w:rFonts w:eastAsia="方正仿宋_GBK"/>
          <w:color w:val="333333"/>
          <w:sz w:val="33"/>
          <w:szCs w:val="33"/>
        </w:rPr>
        <w:t>家，维修企业</w:t>
      </w:r>
      <w:r>
        <w:rPr>
          <w:rFonts w:eastAsia="方正仿宋_GBK"/>
          <w:sz w:val="33"/>
          <w:szCs w:val="33"/>
        </w:rPr>
        <w:t>10</w:t>
      </w:r>
      <w:r>
        <w:rPr>
          <w:rFonts w:eastAsia="方正仿宋_GBK"/>
          <w:color w:val="333333"/>
          <w:sz w:val="33"/>
          <w:szCs w:val="33"/>
        </w:rPr>
        <w:t>家，</w:t>
      </w:r>
      <w:r>
        <w:rPr>
          <w:rFonts w:eastAsia="方正仿宋_GBK"/>
          <w:sz w:val="33"/>
          <w:szCs w:val="33"/>
        </w:rPr>
        <w:t>共办理新增道路运输业户640户，新增运输车辆1334辆；行政处罚19件，查处道路运输证14起，查处非法营运车辆 28起（面包车5个），逾期审验46件；路政执法发出警告62 起，行政许可2件，行政处罚6件；海事行政许可2件；采取行政强制措施6起，暂扣车辆6台；实施行政检查167起，海事行政检查232起，公路建设行政检查80起。</w:t>
      </w:r>
      <w:r>
        <w:rPr>
          <w:rFonts w:eastAsia="方正仿宋_GBK"/>
          <w:kern w:val="0"/>
          <w:sz w:val="33"/>
          <w:szCs w:val="33"/>
        </w:rPr>
        <w:t>行政调解各种矛盾纠纷</w:t>
      </w:r>
      <w:r>
        <w:rPr>
          <w:rFonts w:eastAsia="方正仿宋_GBK"/>
          <w:sz w:val="33"/>
          <w:szCs w:val="33"/>
        </w:rPr>
        <w:t>10余</w:t>
      </w:r>
      <w:r>
        <w:rPr>
          <w:rFonts w:eastAsia="方正仿宋_GBK"/>
          <w:kern w:val="0"/>
          <w:sz w:val="33"/>
          <w:szCs w:val="33"/>
        </w:rPr>
        <w:t>件。</w:t>
      </w:r>
    </w:p>
    <w:p>
      <w:pPr>
        <w:widowControl/>
        <w:kinsoku w:val="0"/>
        <w:overflowPunct w:val="0"/>
        <w:autoSpaceDE w:val="0"/>
        <w:autoSpaceDN w:val="0"/>
        <w:spacing w:line="600" w:lineRule="exact"/>
        <w:ind w:firstLine="663" w:firstLineChars="200"/>
        <w:rPr>
          <w:rFonts w:ascii="方正楷体_GBK" w:eastAsia="方正楷体_GBK"/>
          <w:b/>
          <w:bCs/>
          <w:sz w:val="33"/>
          <w:szCs w:val="33"/>
        </w:rPr>
      </w:pPr>
      <w:r>
        <w:rPr>
          <w:rFonts w:ascii="方正楷体_GBK" w:eastAsia="方正楷体_GBK"/>
          <w:b/>
          <w:bCs/>
          <w:sz w:val="33"/>
          <w:szCs w:val="33"/>
        </w:rPr>
        <w:t>（六）加强建设，锤炼自身，树立良好对外形象、创建廉洁交通</w:t>
      </w:r>
    </w:p>
    <w:p>
      <w:pPr>
        <w:spacing w:line="600" w:lineRule="exact"/>
        <w:ind w:firstLine="663" w:firstLineChars="200"/>
        <w:rPr>
          <w:rFonts w:eastAsia="方正仿宋_GBK"/>
          <w:sz w:val="33"/>
          <w:szCs w:val="33"/>
        </w:rPr>
      </w:pPr>
      <w:r>
        <w:rPr>
          <w:rFonts w:eastAsia="方正仿宋_GBK"/>
          <w:b/>
          <w:bCs/>
          <w:sz w:val="33"/>
          <w:szCs w:val="33"/>
        </w:rPr>
        <w:t>1.加强党的建设。</w:t>
      </w:r>
      <w:r>
        <w:rPr>
          <w:rFonts w:eastAsia="方正仿宋_GBK"/>
          <w:sz w:val="33"/>
          <w:szCs w:val="33"/>
        </w:rPr>
        <w:t>局党组制定中心组学习计划，定期组织深入学习贯彻党的十九大精神，坚持以习近平新时代中国特色社会主义思想武装头脑指导工作。深入学习贯彻党的十九大精神和省、市、区委历次全会精神，坚持把政治建设摆在首位，高度重视意识形态工作，扎实开展“不忘初心、牢记使命”主题教育，2018年紧紧围绕党中央、省市区安排部署，扎实开展扫黑除恶交通社会乱象（人力三轮车、非法运营、黑校车等）治理，抓好环保问题（固体废物、扬尘抛洒）等整改，建立长效机制，履行安全生产监管责任，确保交通运输安全生产全年零事故。规范党建基础，推进机关党组织建设，落实机关党建责任，建强机关党支部，建强机关党员队伍，配强机关党务干部，培育党建示范点。强化正风肃纪，巩固发展风清气正良好政治生态，认真落实中央八项规定精神，持之以恒纠正“四风”，深化机关纪律建设。聚焦脱贫攻坚，切实抓好帮扶工作，深入落实帮扶工作责任，抓好交通专项扶贫工程全覆盖，强化帮扶力量能力建设，着力抓好联系和服务群众工作，全面完成民生工程（农村公路建设10公里）。</w:t>
      </w:r>
    </w:p>
    <w:p>
      <w:pPr>
        <w:spacing w:line="600" w:lineRule="exact"/>
        <w:ind w:firstLine="663" w:firstLineChars="200"/>
        <w:rPr>
          <w:rFonts w:hint="eastAsia" w:ascii="仿宋_GB2312" w:hAnsi="楷体" w:eastAsia="仿宋_GB2312" w:cs="宋体"/>
          <w:b/>
          <w:bCs/>
          <w:kern w:val="0"/>
          <w:sz w:val="32"/>
          <w:szCs w:val="32"/>
        </w:rPr>
      </w:pPr>
      <w:r>
        <w:rPr>
          <w:rFonts w:eastAsia="方正仿宋_GBK"/>
          <w:b/>
          <w:bCs/>
          <w:sz w:val="33"/>
          <w:szCs w:val="33"/>
        </w:rPr>
        <w:t>2加强党风廉政建设。</w:t>
      </w:r>
      <w:r>
        <w:rPr>
          <w:rFonts w:eastAsia="方正仿宋_GBK"/>
          <w:sz w:val="33"/>
          <w:szCs w:val="33"/>
        </w:rPr>
        <w:t>完善工作机制，传导压力促担当，严明政治纪律，抓好廉洁自律承诺和公开的落实，在各项管理制度逐步完善的基础上，进一步抓好制度落实。加强宣传教育，提升素质守纪律，深入贯彻落实十九大、省委十一届二次全会和市委十届四次全会暨市委经济工作、全市金融工作会议、区十一届党代会所作出的各项决策部署，提高全体党员领导干部学法和守法意识，加强廉政文化建设和警示教育，不断完善廉政谈话制度。从“两个责任”为重点狠抓责任落实，严格主体责任，强化监督责任，严肃责任追究。持之以恒正风肃纪，贯彻落实中央八项规定实施细则精神和省市区党委政府十项规定细则，</w:t>
      </w:r>
      <w:r>
        <w:rPr>
          <w:rFonts w:eastAsia="方正仿宋_GBK"/>
          <w:sz w:val="33"/>
          <w:szCs w:val="33"/>
          <w:lang w:val="zh-CN"/>
        </w:rPr>
        <w:t>继续开展正风肃纪专项整治，</w:t>
      </w:r>
      <w:r>
        <w:rPr>
          <w:rFonts w:eastAsia="方正仿宋_GBK"/>
          <w:sz w:val="33"/>
          <w:szCs w:val="33"/>
        </w:rPr>
        <w:t>建立健全检查及通报制度，进一步落实区交通运输系统行风政风监督工作。</w:t>
      </w:r>
    </w:p>
    <w:p>
      <w:pPr>
        <w:numPr>
          <w:ilvl w:val="0"/>
          <w:numId w:val="1"/>
        </w:numPr>
        <w:spacing w:line="600" w:lineRule="exact"/>
        <w:ind w:firstLine="640" w:firstLineChars="200"/>
        <w:rPr>
          <w:rStyle w:val="27"/>
          <w:rFonts w:hint="eastAsia" w:ascii="黑体" w:hAnsi="黑体" w:eastAsia="黑体"/>
          <w:b w:val="0"/>
          <w:bCs w:val="0"/>
        </w:rPr>
      </w:pPr>
      <w:bookmarkStart w:id="20" w:name="_Toc15377200"/>
      <w:bookmarkStart w:id="21" w:name="_Toc15396601"/>
      <w:r>
        <w:rPr>
          <w:rStyle w:val="27"/>
          <w:rFonts w:hint="eastAsia" w:ascii="黑体" w:hAnsi="黑体" w:eastAsia="黑体"/>
          <w:b w:val="0"/>
          <w:bCs w:val="0"/>
          <w:lang w:eastAsia="zh-CN"/>
        </w:rPr>
        <w:t>机</w:t>
      </w:r>
      <w:r>
        <w:rPr>
          <w:rStyle w:val="27"/>
          <w:rFonts w:hint="eastAsia" w:ascii="黑体" w:hAnsi="黑体" w:eastAsia="黑体"/>
          <w:b w:val="0"/>
          <w:bCs w:val="0"/>
        </w:rPr>
        <w:t>构设置</w:t>
      </w:r>
      <w:bookmarkEnd w:id="20"/>
      <w:bookmarkEnd w:id="21"/>
    </w:p>
    <w:p>
      <w:pPr>
        <w:numPr>
          <w:ilvl w:val="0"/>
          <w:numId w:val="0"/>
        </w:numPr>
        <w:spacing w:line="600" w:lineRule="exact"/>
        <w:ind w:firstLine="640" w:firstLineChars="200"/>
        <w:rPr>
          <w:rFonts w:ascii="仿宋" w:hAnsi="仿宋" w:eastAsia="仿宋"/>
          <w:sz w:val="32"/>
          <w:szCs w:val="32"/>
        </w:rPr>
      </w:pPr>
      <w:r>
        <w:rPr>
          <w:rFonts w:hint="eastAsia"/>
          <w:sz w:val="32"/>
          <w:szCs w:val="32"/>
        </w:rPr>
        <w:t>仁和区交通运输局下属二级决算单位3个，其中行政单位0个，参照公务员法管理的事业单位</w:t>
      </w:r>
      <w:r>
        <w:rPr>
          <w:rFonts w:hint="eastAsia"/>
          <w:bCs/>
          <w:sz w:val="32"/>
          <w:szCs w:val="32"/>
        </w:rPr>
        <w:t>2</w:t>
      </w:r>
      <w:r>
        <w:rPr>
          <w:rFonts w:hint="eastAsia"/>
          <w:sz w:val="32"/>
          <w:szCs w:val="32"/>
        </w:rPr>
        <w:t>个，其他事业单位1个。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纳入2018年度部门决算编制范围的二级预算单位包括：</w:t>
      </w:r>
    </w:p>
    <w:p>
      <w:pPr>
        <w:pStyle w:val="5"/>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攀枝花市仁和区路政管理大队</w:t>
      </w:r>
    </w:p>
    <w:p>
      <w:pPr>
        <w:pStyle w:val="5"/>
        <w:numPr>
          <w:ilvl w:val="0"/>
          <w:numId w:val="2"/>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攀枝花市仁和区地方海事处</w:t>
      </w:r>
    </w:p>
    <w:p>
      <w:pPr>
        <w:pStyle w:val="5"/>
        <w:numPr>
          <w:ilvl w:val="0"/>
          <w:numId w:val="2"/>
        </w:numPr>
        <w:adjustRightInd w:val="0"/>
        <w:snapToGrid w:val="0"/>
        <w:spacing w:before="93" w:line="600" w:lineRule="exact"/>
        <w:outlineLvl w:val="2"/>
        <w:rPr>
          <w:rFonts w:ascii="仿宋" w:hAnsi="仿宋" w:eastAsia="仿宋"/>
          <w:color w:val="000000"/>
          <w:kern w:val="0"/>
          <w:sz w:val="32"/>
          <w:szCs w:val="32"/>
        </w:rPr>
      </w:pPr>
      <w:r>
        <w:rPr>
          <w:rFonts w:hint="eastAsia" w:ascii="仿宋" w:hAnsi="仿宋" w:eastAsia="仿宋"/>
          <w:color w:val="000000"/>
          <w:sz w:val="32"/>
          <w:szCs w:val="32"/>
          <w:lang w:eastAsia="zh-CN"/>
        </w:rPr>
        <w:t>攀枝花市仁和区农村公路建设管理办公室</w:t>
      </w:r>
    </w:p>
    <w:p>
      <w:pPr>
        <w:pStyle w:val="2"/>
        <w:ind w:right="440"/>
        <w:jc w:val="right"/>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6"/>
          <w:rFonts w:hint="eastAsia" w:ascii="黑体" w:hAnsi="黑体" w:eastAsia="黑体"/>
          <w:b w:val="0"/>
          <w:bCs w:val="0"/>
        </w:rPr>
        <w:t>2018年度部门决算情况说明</w:t>
      </w:r>
      <w:bookmarkEnd w:id="22"/>
      <w:bookmarkEnd w:id="23"/>
    </w:p>
    <w:p/>
    <w:p>
      <w:pPr>
        <w:pStyle w:val="25"/>
        <w:numPr>
          <w:ilvl w:val="0"/>
          <w:numId w:val="3"/>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7164.48</w:t>
      </w:r>
      <w:r>
        <w:rPr>
          <w:rFonts w:hint="eastAsia" w:ascii="仿宋" w:hAnsi="仿宋" w:eastAsia="仿宋"/>
          <w:color w:val="000000"/>
          <w:sz w:val="32"/>
          <w:szCs w:val="32"/>
        </w:rPr>
        <w:t>万元。与2017年相比，收、支总计各减少</w:t>
      </w:r>
      <w:r>
        <w:rPr>
          <w:rFonts w:hint="eastAsia" w:ascii="仿宋" w:hAnsi="仿宋" w:eastAsia="仿宋"/>
          <w:color w:val="000000"/>
          <w:sz w:val="32"/>
          <w:szCs w:val="32"/>
          <w:lang w:val="en-US" w:eastAsia="zh-CN"/>
        </w:rPr>
        <w:t>429.69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2018年其他项目少，相应的收入减少。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5"/>
        <w:numPr>
          <w:ilvl w:val="0"/>
          <w:numId w:val="3"/>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4377.5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3282.61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1094.89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5"/>
        <w:numPr>
          <w:ilvl w:val="0"/>
          <w:numId w:val="3"/>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3709.71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442.9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3266.81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3731.25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824.16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是财政拨款增加，财返增加。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1673.32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403.39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2018年项目建设资金支出减少。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1673.32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ascii="仿宋" w:hAnsi="仿宋" w:eastAsia="仿宋"/>
          <w:color w:val="000000" w:themeColor="text1"/>
          <w:sz w:val="32"/>
          <w:szCs w:val="32"/>
        </w:rPr>
        <w:t>**</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97.34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5.8</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color w:val="000000" w:themeColor="text1"/>
          <w:sz w:val="32"/>
          <w:szCs w:val="32"/>
          <w:lang w:val="en-US" w:eastAsia="zh-CN"/>
        </w:rPr>
        <w:t>14.61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34.7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节能环保支出</w:t>
      </w:r>
      <w:r>
        <w:rPr>
          <w:rFonts w:hint="eastAsia" w:ascii="仿宋" w:hAnsi="仿宋" w:eastAsia="仿宋"/>
          <w:color w:val="000000" w:themeColor="text1"/>
          <w:sz w:val="32"/>
          <w:szCs w:val="32"/>
          <w:lang w:val="en-US" w:eastAsia="zh-CN"/>
        </w:rPr>
        <w:t>24万元，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1.4</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；交通运输支出</w:t>
      </w:r>
      <w:r>
        <w:rPr>
          <w:rFonts w:hint="eastAsia" w:ascii="仿宋" w:hAnsi="仿宋" w:eastAsia="仿宋"/>
          <w:color w:val="000000" w:themeColor="text1"/>
          <w:sz w:val="32"/>
          <w:szCs w:val="32"/>
          <w:lang w:val="en-US" w:eastAsia="zh-CN"/>
        </w:rPr>
        <w:t>1367.67万元，占81.7%；农林水支出135万元，占8.1%</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rPr>
          <w:rFonts w:hint="default"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208  社会保障和就业支出97.34万元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210  医疗卫生与计划生育支出14.61万元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211  节能环保支出24.00万元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213   农业水支出135.00万元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  交通运输支出1367.67万元</w:t>
      </w:r>
    </w:p>
    <w:p>
      <w:pPr>
        <w:spacing w:line="600" w:lineRule="exact"/>
        <w:ind w:firstLine="643" w:firstLineChars="200"/>
        <w:rPr>
          <w:rFonts w:hint="default"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221  住房保障支出34.7万元</w:t>
      </w:r>
    </w:p>
    <w:p>
      <w:pPr>
        <w:spacing w:line="600" w:lineRule="exact"/>
        <w:ind w:firstLine="640"/>
        <w:rPr>
          <w:rFonts w:hint="default" w:ascii="仿宋" w:hAnsi="仿宋" w:eastAsia="仿宋"/>
          <w:b/>
          <w:color w:val="000000" w:themeColor="text1"/>
          <w:sz w:val="32"/>
          <w:szCs w:val="32"/>
          <w:lang w:val="en-US" w:eastAsia="zh-CN"/>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2018年般公共预算支出决算数为</w:t>
      </w:r>
      <w:r>
        <w:rPr>
          <w:rFonts w:hint="eastAsia" w:ascii="仿宋" w:hAnsi="仿宋" w:eastAsia="仿宋"/>
          <w:b/>
          <w:color w:val="000000" w:themeColor="text1"/>
          <w:sz w:val="32"/>
          <w:szCs w:val="32"/>
          <w:lang w:val="en-US" w:eastAsia="zh-CN"/>
        </w:rPr>
        <w:t>1673.32万元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97.34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14.61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p>
    <w:p>
      <w:pPr>
        <w:spacing w:line="600" w:lineRule="exact"/>
        <w:ind w:firstLine="640" w:firstLineChars="200"/>
        <w:rPr>
          <w:rStyle w:val="15"/>
          <w:rFonts w:hint="eastAsia" w:ascii="仿宋_GB2312" w:eastAsia="仿宋_GB2312"/>
          <w:b w:val="0"/>
          <w:color w:val="000000"/>
          <w:sz w:val="32"/>
          <w:szCs w:val="32"/>
          <w:lang w:eastAsia="zh-CN"/>
        </w:rPr>
      </w:pPr>
      <w:r>
        <w:rPr>
          <w:rFonts w:hint="eastAsia" w:ascii="仿宋" w:hAnsi="仿宋" w:eastAsia="仿宋"/>
          <w:color w:val="000000"/>
          <w:sz w:val="32"/>
          <w:szCs w:val="32"/>
          <w:lang w:val="en-US" w:eastAsia="zh-CN"/>
        </w:rPr>
        <w:t>7</w:t>
      </w:r>
      <w:r>
        <w:rPr>
          <w:rStyle w:val="15"/>
          <w:rFonts w:hint="eastAsia" w:ascii="仿宋_GB2312" w:eastAsia="仿宋_GB2312"/>
          <w:color w:val="000000"/>
          <w:sz w:val="32"/>
          <w:szCs w:val="32"/>
        </w:rPr>
        <w:t>.</w:t>
      </w:r>
      <w:r>
        <w:rPr>
          <w:rStyle w:val="15"/>
          <w:rFonts w:hint="eastAsia" w:ascii="仿宋_GB2312" w:eastAsia="仿宋_GB2312"/>
          <w:color w:val="000000"/>
          <w:sz w:val="32"/>
          <w:szCs w:val="32"/>
          <w:lang w:eastAsia="zh-CN"/>
        </w:rPr>
        <w:t>住房保障</w:t>
      </w:r>
      <w:r>
        <w:rPr>
          <w:rStyle w:val="15"/>
          <w:rFonts w:hint="eastAsia" w:ascii="仿宋_GB2312" w:eastAsia="仿宋_GB2312"/>
          <w:color w:val="000000"/>
          <w:sz w:val="32"/>
          <w:szCs w:val="32"/>
        </w:rPr>
        <w:t>（类）***（款）***（项）:</w:t>
      </w:r>
      <w:r>
        <w:rPr>
          <w:rStyle w:val="15"/>
          <w:rFonts w:hint="eastAsia" w:ascii="仿宋_GB2312" w:eastAsia="仿宋_GB2312"/>
          <w:b w:val="0"/>
          <w:color w:val="000000"/>
          <w:sz w:val="32"/>
          <w:szCs w:val="32"/>
        </w:rPr>
        <w:t xml:space="preserve"> 支出决算为</w:t>
      </w:r>
      <w:r>
        <w:rPr>
          <w:rStyle w:val="15"/>
          <w:rFonts w:hint="eastAsia" w:ascii="仿宋_GB2312" w:eastAsia="仿宋_GB2312"/>
          <w:b w:val="0"/>
          <w:color w:val="000000"/>
          <w:sz w:val="32"/>
          <w:szCs w:val="32"/>
          <w:lang w:val="en-US" w:eastAsia="zh-CN"/>
        </w:rPr>
        <w:t>34.7</w:t>
      </w:r>
      <w:r>
        <w:rPr>
          <w:rStyle w:val="15"/>
          <w:rFonts w:hint="eastAsia" w:ascii="仿宋_GB2312" w:eastAsia="仿宋_GB2312"/>
          <w:b w:val="0"/>
          <w:color w:val="000000"/>
          <w:sz w:val="32"/>
          <w:szCs w:val="32"/>
        </w:rPr>
        <w:t>万元，完成预算</w:t>
      </w:r>
      <w:r>
        <w:rPr>
          <w:rStyle w:val="15"/>
          <w:rFonts w:hint="eastAsia" w:ascii="仿宋_GB2312" w:eastAsia="仿宋_GB2312"/>
          <w:b w:val="0"/>
          <w:color w:val="000000"/>
          <w:sz w:val="32"/>
          <w:szCs w:val="32"/>
          <w:lang w:val="en-US" w:eastAsia="zh-CN"/>
        </w:rPr>
        <w:t>100</w:t>
      </w:r>
      <w:r>
        <w:rPr>
          <w:rStyle w:val="15"/>
          <w:rFonts w:hint="eastAsia" w:ascii="仿宋_GB2312" w:eastAsia="仿宋_GB2312"/>
          <w:b w:val="0"/>
          <w:color w:val="000000"/>
          <w:sz w:val="32"/>
          <w:szCs w:val="32"/>
        </w:rPr>
        <w:t>%</w:t>
      </w:r>
      <w:r>
        <w:rPr>
          <w:rStyle w:val="15"/>
          <w:rFonts w:hint="eastAsia" w:ascii="仿宋_GB2312" w:eastAsia="仿宋_GB2312"/>
          <w:b w:val="0"/>
          <w:color w:val="000000"/>
          <w:sz w:val="32"/>
          <w:szCs w:val="32"/>
          <w:lang w:eastAsia="zh-CN"/>
        </w:rPr>
        <w:t>。</w:t>
      </w:r>
    </w:p>
    <w:p>
      <w:pPr>
        <w:spacing w:line="600" w:lineRule="exact"/>
        <w:ind w:firstLine="640" w:firstLineChars="200"/>
        <w:rPr>
          <w:rStyle w:val="15"/>
          <w:rFonts w:hint="eastAsia" w:ascii="仿宋_GB2312" w:eastAsia="仿宋_GB2312"/>
          <w:b w:val="0"/>
          <w:color w:val="000000"/>
          <w:sz w:val="32"/>
          <w:szCs w:val="32"/>
        </w:rPr>
      </w:pPr>
      <w:r>
        <w:rPr>
          <w:rStyle w:val="15"/>
          <w:rFonts w:hint="eastAsia" w:ascii="仿宋_GB2312" w:eastAsia="仿宋_GB2312"/>
          <w:b w:val="0"/>
          <w:color w:val="000000"/>
          <w:sz w:val="32"/>
          <w:szCs w:val="32"/>
          <w:lang w:val="en-US" w:eastAsia="zh-CN"/>
        </w:rPr>
        <w:t>8、</w:t>
      </w:r>
      <w:r>
        <w:rPr>
          <w:rStyle w:val="15"/>
          <w:rFonts w:hint="eastAsia" w:ascii="仿宋_GB2312" w:eastAsia="仿宋_GB2312"/>
          <w:color w:val="000000"/>
          <w:sz w:val="32"/>
          <w:szCs w:val="32"/>
          <w:lang w:eastAsia="zh-CN"/>
        </w:rPr>
        <w:t>农林水</w:t>
      </w:r>
      <w:r>
        <w:rPr>
          <w:rStyle w:val="15"/>
          <w:rFonts w:hint="eastAsia" w:ascii="仿宋_GB2312" w:eastAsia="仿宋_GB2312"/>
          <w:color w:val="000000"/>
          <w:sz w:val="32"/>
          <w:szCs w:val="32"/>
        </w:rPr>
        <w:t>（类）***（款）***（项）:</w:t>
      </w:r>
      <w:r>
        <w:rPr>
          <w:rStyle w:val="15"/>
          <w:rFonts w:hint="eastAsia" w:ascii="仿宋_GB2312" w:eastAsia="仿宋_GB2312"/>
          <w:b w:val="0"/>
          <w:color w:val="000000"/>
          <w:sz w:val="32"/>
          <w:szCs w:val="32"/>
        </w:rPr>
        <w:t xml:space="preserve"> 支出决算为</w:t>
      </w:r>
      <w:r>
        <w:rPr>
          <w:rStyle w:val="15"/>
          <w:rFonts w:hint="eastAsia" w:ascii="仿宋_GB2312" w:eastAsia="仿宋_GB2312"/>
          <w:b w:val="0"/>
          <w:color w:val="000000"/>
          <w:sz w:val="32"/>
          <w:szCs w:val="32"/>
          <w:lang w:val="en-US" w:eastAsia="zh-CN"/>
        </w:rPr>
        <w:t>135</w:t>
      </w:r>
      <w:r>
        <w:rPr>
          <w:rStyle w:val="15"/>
          <w:rFonts w:hint="eastAsia" w:ascii="仿宋_GB2312" w:eastAsia="仿宋_GB2312"/>
          <w:b w:val="0"/>
          <w:color w:val="000000"/>
          <w:sz w:val="32"/>
          <w:szCs w:val="32"/>
        </w:rPr>
        <w:t>万元，完成预算**%，决算数大于预算数的主要原因</w:t>
      </w:r>
      <w:r>
        <w:rPr>
          <w:rStyle w:val="15"/>
          <w:rFonts w:hint="eastAsia" w:ascii="仿宋_GB2312" w:eastAsia="仿宋_GB2312"/>
          <w:b w:val="0"/>
          <w:color w:val="000000"/>
          <w:sz w:val="32"/>
          <w:szCs w:val="32"/>
          <w:lang w:val="en-US" w:eastAsia="zh-CN"/>
        </w:rPr>
        <w:t>2018年项目增加</w:t>
      </w:r>
      <w:r>
        <w:rPr>
          <w:rStyle w:val="15"/>
          <w:rFonts w:hint="eastAsia" w:ascii="仿宋_GB2312" w:eastAsia="仿宋_GB2312"/>
          <w:b w:val="0"/>
          <w:color w:val="000000"/>
          <w:sz w:val="32"/>
          <w:szCs w:val="32"/>
        </w:rPr>
        <w:t>。</w:t>
      </w:r>
    </w:p>
    <w:p>
      <w:pPr>
        <w:spacing w:line="600" w:lineRule="exact"/>
        <w:ind w:firstLine="640" w:firstLineChars="200"/>
        <w:rPr>
          <w:rStyle w:val="15"/>
          <w:rFonts w:hint="eastAsia" w:ascii="仿宋_GB2312" w:eastAsia="仿宋_GB2312"/>
          <w:b w:val="0"/>
          <w:color w:val="000000"/>
          <w:sz w:val="32"/>
          <w:szCs w:val="32"/>
        </w:rPr>
      </w:pPr>
      <w:r>
        <w:rPr>
          <w:rStyle w:val="15"/>
          <w:rFonts w:hint="eastAsia" w:ascii="仿宋_GB2312" w:eastAsia="仿宋_GB2312"/>
          <w:b w:val="0"/>
          <w:color w:val="000000"/>
          <w:sz w:val="32"/>
          <w:szCs w:val="32"/>
          <w:lang w:val="en-US" w:eastAsia="zh-CN"/>
        </w:rPr>
        <w:t>9</w:t>
      </w:r>
      <w:r>
        <w:rPr>
          <w:rStyle w:val="15"/>
          <w:rFonts w:hint="eastAsia" w:ascii="仿宋_GB2312" w:eastAsia="仿宋_GB2312"/>
          <w:color w:val="000000"/>
          <w:sz w:val="32"/>
          <w:szCs w:val="32"/>
        </w:rPr>
        <w:t>.</w:t>
      </w:r>
      <w:r>
        <w:rPr>
          <w:rStyle w:val="15"/>
          <w:rFonts w:hint="eastAsia" w:ascii="仿宋_GB2312" w:eastAsia="仿宋_GB2312"/>
          <w:color w:val="000000"/>
          <w:sz w:val="32"/>
          <w:szCs w:val="32"/>
          <w:lang w:eastAsia="zh-CN"/>
        </w:rPr>
        <w:t>交通运输</w:t>
      </w:r>
      <w:r>
        <w:rPr>
          <w:rStyle w:val="15"/>
          <w:rFonts w:hint="eastAsia" w:ascii="仿宋_GB2312" w:eastAsia="仿宋_GB2312"/>
          <w:color w:val="000000"/>
          <w:sz w:val="32"/>
          <w:szCs w:val="32"/>
        </w:rPr>
        <w:t>（类）***（款）***（项）:</w:t>
      </w:r>
      <w:r>
        <w:rPr>
          <w:rStyle w:val="15"/>
          <w:rFonts w:hint="eastAsia" w:ascii="仿宋_GB2312" w:eastAsia="仿宋_GB2312"/>
          <w:b w:val="0"/>
          <w:color w:val="000000"/>
          <w:sz w:val="32"/>
          <w:szCs w:val="32"/>
        </w:rPr>
        <w:t xml:space="preserve"> 支出决算为</w:t>
      </w:r>
      <w:r>
        <w:rPr>
          <w:rStyle w:val="15"/>
          <w:rFonts w:hint="eastAsia" w:ascii="仿宋_GB2312" w:eastAsia="仿宋_GB2312"/>
          <w:b w:val="0"/>
          <w:color w:val="000000"/>
          <w:sz w:val="32"/>
          <w:szCs w:val="32"/>
          <w:lang w:val="en-US" w:eastAsia="zh-CN"/>
        </w:rPr>
        <w:t>1367.67</w:t>
      </w:r>
      <w:r>
        <w:rPr>
          <w:rStyle w:val="15"/>
          <w:rFonts w:hint="eastAsia" w:ascii="仿宋_GB2312" w:eastAsia="仿宋_GB2312"/>
          <w:b w:val="0"/>
          <w:color w:val="000000"/>
          <w:sz w:val="32"/>
          <w:szCs w:val="32"/>
        </w:rPr>
        <w:t>万元，完成预算**%，决算数大于预算数的主要原因是</w:t>
      </w:r>
      <w:r>
        <w:rPr>
          <w:rStyle w:val="15"/>
          <w:rFonts w:hint="eastAsia" w:ascii="仿宋_GB2312" w:eastAsia="仿宋_GB2312"/>
          <w:b w:val="0"/>
          <w:color w:val="000000"/>
          <w:sz w:val="32"/>
          <w:szCs w:val="32"/>
          <w:lang w:eastAsia="zh-CN"/>
        </w:rPr>
        <w:t>交通项目增加</w:t>
      </w:r>
      <w:r>
        <w:rPr>
          <w:rStyle w:val="15"/>
          <w:rFonts w:hint="eastAsia" w:ascii="仿宋_GB2312" w:eastAsia="仿宋_GB2312"/>
          <w:b w:val="0"/>
          <w:color w:val="000000"/>
          <w:sz w:val="32"/>
          <w:szCs w:val="32"/>
        </w:rPr>
        <w:t>。</w:t>
      </w:r>
    </w:p>
    <w:p>
      <w:pPr>
        <w:spacing w:line="600" w:lineRule="exact"/>
        <w:ind w:firstLine="640" w:firstLineChars="200"/>
        <w:rPr>
          <w:rStyle w:val="15"/>
          <w:rFonts w:hint="eastAsia" w:ascii="仿宋_GB2312" w:eastAsia="仿宋_GB2312"/>
          <w:b w:val="0"/>
          <w:color w:val="000000"/>
          <w:sz w:val="32"/>
          <w:szCs w:val="32"/>
        </w:rPr>
      </w:pPr>
      <w:r>
        <w:rPr>
          <w:rStyle w:val="15"/>
          <w:rFonts w:hint="eastAsia" w:ascii="仿宋_GB2312" w:eastAsia="仿宋_GB2312"/>
          <w:b w:val="0"/>
          <w:color w:val="000000"/>
          <w:sz w:val="32"/>
          <w:szCs w:val="32"/>
          <w:lang w:val="en-US" w:eastAsia="zh-CN"/>
        </w:rPr>
        <w:t>10.节能环保</w:t>
      </w:r>
      <w:r>
        <w:rPr>
          <w:rStyle w:val="15"/>
          <w:rFonts w:hint="eastAsia" w:ascii="仿宋_GB2312" w:eastAsia="仿宋_GB2312"/>
          <w:color w:val="000000"/>
          <w:sz w:val="32"/>
          <w:szCs w:val="32"/>
        </w:rPr>
        <w:t>（类）***（款）***（项）</w:t>
      </w:r>
      <w:r>
        <w:rPr>
          <w:rStyle w:val="15"/>
          <w:rFonts w:hint="eastAsia" w:ascii="仿宋_GB2312" w:eastAsia="仿宋_GB2312"/>
          <w:color w:val="000000"/>
          <w:sz w:val="32"/>
          <w:szCs w:val="32"/>
          <w:lang w:eastAsia="zh-CN"/>
        </w:rPr>
        <w:t>：</w:t>
      </w:r>
      <w:r>
        <w:rPr>
          <w:rStyle w:val="15"/>
          <w:rFonts w:hint="eastAsia" w:ascii="仿宋_GB2312" w:eastAsia="仿宋_GB2312"/>
          <w:b w:val="0"/>
          <w:color w:val="000000"/>
          <w:sz w:val="32"/>
          <w:szCs w:val="32"/>
        </w:rPr>
        <w:t>支出决算为</w:t>
      </w:r>
      <w:r>
        <w:rPr>
          <w:rStyle w:val="15"/>
          <w:rFonts w:hint="eastAsia" w:ascii="仿宋_GB2312" w:eastAsia="仿宋_GB2312"/>
          <w:b w:val="0"/>
          <w:color w:val="000000"/>
          <w:sz w:val="32"/>
          <w:szCs w:val="32"/>
          <w:lang w:val="en-US" w:eastAsia="zh-CN"/>
        </w:rPr>
        <w:t>24</w:t>
      </w:r>
      <w:r>
        <w:rPr>
          <w:rStyle w:val="15"/>
          <w:rFonts w:hint="eastAsia" w:ascii="仿宋_GB2312" w:eastAsia="仿宋_GB2312"/>
          <w:b w:val="0"/>
          <w:color w:val="000000"/>
          <w:sz w:val="32"/>
          <w:szCs w:val="32"/>
        </w:rPr>
        <w:t>万元，完成预算**%，决算数大于预算数的主要原因是</w:t>
      </w:r>
      <w:r>
        <w:rPr>
          <w:rStyle w:val="15"/>
          <w:rFonts w:hint="eastAsia" w:ascii="仿宋_GB2312" w:eastAsia="仿宋_GB2312"/>
          <w:b w:val="0"/>
          <w:color w:val="000000"/>
          <w:sz w:val="32"/>
          <w:szCs w:val="32"/>
          <w:lang w:eastAsia="zh-CN"/>
        </w:rPr>
        <w:t>交通项目增加</w:t>
      </w:r>
      <w:r>
        <w:rPr>
          <w:rStyle w:val="15"/>
          <w:rFonts w:hint="eastAsia" w:ascii="仿宋_GB2312" w:eastAsia="仿宋_GB2312"/>
          <w:b w:val="0"/>
          <w:color w:val="000000"/>
          <w:sz w:val="32"/>
          <w:szCs w:val="32"/>
        </w:rPr>
        <w:t>。</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2080504  未归口管理的行政单位离退休9.15万元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2080505  机关事业单位基本养老保险缴费26.26万元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2080506  机关事业单位职业年金缴费5.89万元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2080801  死亡抚恤56.04万元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2101101  行政单位医疗12.02万元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2101103   公务员医疗补助2.59万元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2110402   农村环境保护24.00万元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2130199   其他农业支出135.00万元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2140101   行政运行257.53万元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2140102   一般行政管理事务0.43万元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2140104    公路建设212.00万元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2140106    公路养护145.4万元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2140131    海事管理4.48万元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2140199   其他公路运输支出458.9万元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2140402   对农村道路客运的补贴250.43万元</w:t>
      </w:r>
    </w:p>
    <w:p>
      <w:pPr>
        <w:spacing w:line="600" w:lineRule="exact"/>
        <w:ind w:firstLine="640"/>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2140601  车辆购置税用于公路等基础设施建设支出38.5万元</w:t>
      </w:r>
    </w:p>
    <w:p>
      <w:pPr>
        <w:spacing w:line="600" w:lineRule="exact"/>
        <w:ind w:firstLine="640"/>
        <w:rPr>
          <w:rFonts w:hint="default"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2210201  住房公积金34.7万元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438.65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385.63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53.02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14.99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99</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r>
        <w:rPr>
          <w:rFonts w:hint="eastAsia" w:ascii="仿宋" w:hAnsi="仿宋" w:eastAsia="仿宋"/>
          <w:color w:val="000000"/>
          <w:sz w:val="32"/>
          <w:szCs w:val="32"/>
          <w:lang w:eastAsia="zh-CN"/>
        </w:rPr>
        <w:t>严格按照预算执行，</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9.48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9.48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1.82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23</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w:t>
      </w:r>
      <w:r>
        <w:rPr>
          <w:rFonts w:hint="eastAsia" w:ascii="仿宋_GB2312" w:eastAsia="仿宋_GB2312"/>
          <w:color w:val="000000"/>
          <w:sz w:val="32"/>
          <w:szCs w:val="32"/>
          <w:lang w:val="en-US" w:eastAsia="zh-CN"/>
        </w:rPr>
        <w:t>2018年预算3辆车，2017年预算只有2台车</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9.48</w:t>
      </w:r>
      <w:r>
        <w:rPr>
          <w:rFonts w:hint="eastAsia" w:ascii="仿宋_GB2312" w:eastAsia="仿宋_GB2312"/>
          <w:color w:val="000000"/>
          <w:sz w:val="32"/>
          <w:szCs w:val="32"/>
        </w:rPr>
        <w:t>万元。主要用</w:t>
      </w:r>
      <w:r>
        <w:rPr>
          <w:rFonts w:hint="eastAsia" w:ascii="仿宋_GB2312" w:eastAsia="仿宋_GB2312"/>
          <w:color w:val="000000"/>
          <w:sz w:val="32"/>
          <w:szCs w:val="32"/>
          <w:lang w:eastAsia="zh-CN"/>
        </w:rPr>
        <w:t>于交通运输道路建设</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5.51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1.44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严格按标准执行，节约开支，节流减排</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118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5.51</w:t>
      </w:r>
      <w:r>
        <w:rPr>
          <w:rFonts w:hint="eastAsia" w:ascii="仿宋_GB2312" w:eastAsia="仿宋_GB2312"/>
          <w:color w:val="000000"/>
          <w:sz w:val="32"/>
          <w:szCs w:val="32"/>
        </w:rPr>
        <w:t>万元，具体内容包括：</w:t>
      </w:r>
      <w:r>
        <w:rPr>
          <w:rFonts w:hint="eastAsia" w:ascii="仿宋_GB2312" w:eastAsia="仿宋_GB2312"/>
          <w:sz w:val="32"/>
          <w:szCs w:val="32"/>
        </w:rPr>
        <w:t>用于和公路建设、养护以及争取资金相关的协调和接待。</w:t>
      </w:r>
      <w:r>
        <w:rPr>
          <w:rFonts w:hint="eastAsia" w:ascii="仿宋_GB2312" w:eastAsia="仿宋_GB2312"/>
          <w:color w:val="000000"/>
          <w:sz w:val="32"/>
          <w:szCs w:val="32"/>
          <w:lang w:eastAsia="zh-CN"/>
        </w:rPr>
        <w:t>攀大高速公路施工建设及金沙电站恢复建设工程开支</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万元，主要用于……</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ind w:firstLine="800" w:firstLineChars="250"/>
        <w:rPr>
          <w:rStyle w:val="27"/>
          <w:rFonts w:ascii="黑体" w:hAnsi="黑体" w:eastAsia="黑体"/>
          <w:b w:val="0"/>
        </w:rPr>
      </w:pPr>
      <w:r>
        <w:rPr>
          <w:rStyle w:val="27"/>
          <w:rFonts w:hint="eastAsia" w:ascii="黑体" w:hAnsi="黑体" w:eastAsia="黑体"/>
          <w:b w:val="0"/>
        </w:rPr>
        <w:t>十、预算绩效情况说明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atLeast"/>
        <w:ind w:firstLine="640" w:firstLineChars="200"/>
        <w:rPr>
          <w:rFonts w:hint="eastAsia" w:asciiTheme="minorEastAsia" w:hAnsiTheme="minorEastAsia" w:eastAsiaTheme="minorEastAsia" w:cstheme="minorEastAsia"/>
          <w:b/>
          <w:color w:val="000000"/>
          <w:sz w:val="32"/>
          <w:szCs w:val="32"/>
          <w:highlight w:val="yellow"/>
        </w:rPr>
      </w:pPr>
      <w:r>
        <w:rPr>
          <w:rFonts w:hint="eastAsia" w:asciiTheme="minorEastAsia" w:hAnsiTheme="minorEastAsia" w:eastAsiaTheme="minorEastAsia" w:cstheme="minorEastAsia"/>
          <w:color w:val="000000"/>
          <w:sz w:val="32"/>
          <w:szCs w:val="32"/>
        </w:rPr>
        <w:t>按照预算绩效管理要求，</w:t>
      </w:r>
      <w:r>
        <w:rPr>
          <w:rFonts w:hint="eastAsia" w:asciiTheme="minorEastAsia" w:hAnsiTheme="minorEastAsia" w:eastAsiaTheme="minorEastAsia" w:cstheme="minorEastAsia"/>
          <w:sz w:val="32"/>
          <w:szCs w:val="32"/>
        </w:rPr>
        <w:t>本部门（单位）在年初预算编制阶段，</w:t>
      </w:r>
      <w:r>
        <w:rPr>
          <w:rFonts w:hint="eastAsia" w:asciiTheme="minorEastAsia" w:hAnsiTheme="minorEastAsia" w:eastAsiaTheme="minorEastAsia" w:cstheme="minorEastAsia"/>
          <w:color w:val="000000"/>
          <w:sz w:val="32"/>
          <w:szCs w:val="32"/>
        </w:rPr>
        <w:t>本部门对201</w:t>
      </w:r>
      <w:r>
        <w:rPr>
          <w:rFonts w:hint="eastAsia" w:asciiTheme="minorEastAsia" w:hAnsiTheme="minorEastAsia" w:eastAsiaTheme="minorEastAsia" w:cstheme="minorEastAsia"/>
          <w:color w:val="000000"/>
          <w:sz w:val="32"/>
          <w:szCs w:val="32"/>
          <w:lang w:val="en-US" w:eastAsia="zh-CN"/>
        </w:rPr>
        <w:t>8</w:t>
      </w:r>
      <w:r>
        <w:rPr>
          <w:rFonts w:hint="eastAsia" w:asciiTheme="minorEastAsia" w:hAnsiTheme="minorEastAsia" w:eastAsiaTheme="minorEastAsia" w:cstheme="minorEastAsia"/>
          <w:color w:val="000000"/>
          <w:sz w:val="32"/>
          <w:szCs w:val="32"/>
        </w:rPr>
        <w:t>年一般公共预算项目支出开展了绩效目标管理，共编制绩效目标</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个，涉及财政资金</w:t>
      </w:r>
      <w:r>
        <w:rPr>
          <w:rFonts w:hint="eastAsia" w:asciiTheme="minorEastAsia" w:hAnsiTheme="minorEastAsia" w:eastAsiaTheme="minorEastAsia" w:cstheme="minorEastAsia"/>
          <w:color w:val="000000"/>
          <w:sz w:val="32"/>
          <w:szCs w:val="32"/>
          <w:lang w:val="en-US" w:eastAsia="zh-CN"/>
        </w:rPr>
        <w:t>119.48</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sz w:val="32"/>
          <w:szCs w:val="32"/>
        </w:rPr>
        <w:t>年终执行完毕后，对</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个项目开展了绩效目标完成情况梳理填报</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000000"/>
          <w:sz w:val="32"/>
          <w:szCs w:val="32"/>
        </w:rPr>
        <w:t>覆盖率达到</w:t>
      </w:r>
      <w:r>
        <w:rPr>
          <w:rFonts w:hint="eastAsia" w:asciiTheme="minorEastAsia" w:hAnsiTheme="minorEastAsia" w:eastAsiaTheme="minorEastAsia" w:cstheme="minorEastAsia"/>
          <w:color w:val="000000"/>
          <w:sz w:val="32"/>
          <w:szCs w:val="32"/>
          <w:lang w:val="en-US" w:eastAsia="zh-CN"/>
        </w:rPr>
        <w:t>100</w:t>
      </w:r>
      <w:r>
        <w:rPr>
          <w:rFonts w:hint="eastAsia" w:asciiTheme="minorEastAsia" w:hAnsiTheme="minorEastAsia" w:eastAsiaTheme="minorEastAsia" w:cstheme="minorEastAsia"/>
          <w:color w:val="000000"/>
          <w:sz w:val="32"/>
          <w:szCs w:val="32"/>
        </w:rPr>
        <w:t>%。</w:t>
      </w:r>
    </w:p>
    <w:p>
      <w:pPr>
        <w:widowControl/>
        <w:adjustRightInd w:val="0"/>
        <w:snapToGrid w:val="0"/>
        <w:spacing w:line="54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本部门按要求对2018年部门整体支出开展绩效自评，从评价情况来看</w:t>
      </w:r>
      <w:r>
        <w:rPr>
          <w:rFonts w:hint="eastAsia" w:asciiTheme="minorEastAsia" w:hAnsiTheme="minorEastAsia" w:eastAsiaTheme="minorEastAsia" w:cstheme="minorEastAsia"/>
          <w:b w:val="0"/>
          <w:bCs/>
          <w:snapToGrid w:val="0"/>
          <w:kern w:val="0"/>
          <w:sz w:val="32"/>
          <w:szCs w:val="32"/>
        </w:rPr>
        <w:t>从自评情况来看，我部门支出绩效水平较高，整体上完成了年初设定的绩效目标，保障了部门各单位的正常运转，促进了交通事业发展，充分发挥了财政资金的经济效益和社会效益</w:t>
      </w:r>
      <w:r>
        <w:rPr>
          <w:rFonts w:hint="eastAsia" w:asciiTheme="minorEastAsia" w:hAnsiTheme="minorEastAsia" w:eastAsiaTheme="minorEastAsia" w:cstheme="minorEastAsia"/>
          <w:sz w:val="32"/>
          <w:szCs w:val="32"/>
        </w:rPr>
        <w:t>。本部门还自行组织了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个项目绩效评价，</w:t>
      </w:r>
      <w:r>
        <w:rPr>
          <w:rFonts w:hint="eastAsia" w:asciiTheme="minorEastAsia" w:hAnsiTheme="minorEastAsia" w:eastAsiaTheme="minorEastAsia" w:cstheme="minorEastAsia"/>
          <w:sz w:val="32"/>
          <w:szCs w:val="32"/>
          <w:lang w:eastAsia="zh-CN"/>
        </w:rPr>
        <w:t>一是农村公路养护经费，仁和区县道</w:t>
      </w:r>
      <w:r>
        <w:rPr>
          <w:rFonts w:hint="eastAsia" w:asciiTheme="minorEastAsia" w:hAnsiTheme="minorEastAsia" w:eastAsiaTheme="minorEastAsia" w:cstheme="minorEastAsia"/>
          <w:sz w:val="32"/>
          <w:szCs w:val="32"/>
          <w:lang w:val="en-US" w:eastAsia="zh-CN"/>
        </w:rPr>
        <w:t>124.982公里，乡道169.04公里，村道455.689公里的日常养护，维护公路路产、路权，治理超限运输</w:t>
      </w:r>
      <w:r>
        <w:rPr>
          <w:rFonts w:hint="eastAsia" w:asciiTheme="minorEastAsia" w:hAnsiTheme="minorEastAsia" w:eastAsiaTheme="minorEastAsia" w:cstheme="minorEastAsia"/>
          <w:sz w:val="32"/>
          <w:szCs w:val="32"/>
          <w:lang w:eastAsia="zh-CN"/>
        </w:rPr>
        <w:t>，二是学生乘船补贴，确保周边适龄儿童上学的问题，为了社会稳定，避免乘非法运营船舶，政府解决学生上学的困难，进行补贴，按要求接送学生</w:t>
      </w:r>
      <w:r>
        <w:rPr>
          <w:rFonts w:hint="eastAsia" w:asciiTheme="minorEastAsia" w:hAnsiTheme="minorEastAsia" w:eastAsiaTheme="minorEastAsia" w:cstheme="minorEastAsia"/>
          <w:sz w:val="32"/>
          <w:szCs w:val="32"/>
          <w:lang w:val="en-US" w:eastAsia="zh-CN"/>
        </w:rPr>
        <w:t>4480人次。</w:t>
      </w:r>
      <w:r>
        <w:rPr>
          <w:rFonts w:hint="eastAsia" w:asciiTheme="minorEastAsia" w:hAnsiTheme="minorEastAsia" w:eastAsiaTheme="minorEastAsia" w:cstheme="minorEastAsia"/>
          <w:sz w:val="32"/>
          <w:szCs w:val="32"/>
        </w:rPr>
        <w:t>从评价情况来看</w:t>
      </w:r>
      <w:r>
        <w:rPr>
          <w:rFonts w:hint="eastAsia" w:asciiTheme="minorEastAsia" w:hAnsiTheme="minorEastAsia" w:eastAsiaTheme="minorEastAsia" w:cstheme="minorEastAsia"/>
          <w:b w:val="0"/>
          <w:bCs/>
          <w:snapToGrid w:val="0"/>
          <w:kern w:val="0"/>
          <w:sz w:val="32"/>
          <w:szCs w:val="32"/>
        </w:rPr>
        <w:t>财政资金均实行专项管理、专款专用。在项目实施过程中，严格按专项资金管理办法和台各项财务管理制度执行。资金拨入和支出会计核算及时、合规合法，审批流程齐全、附件资料完整</w:t>
      </w:r>
      <w:r>
        <w:rPr>
          <w:rFonts w:hint="eastAsia" w:asciiTheme="minorEastAsia" w:hAnsiTheme="minorEastAsia" w:eastAsiaTheme="minorEastAsia" w:cstheme="minorEastAsia"/>
          <w:sz w:val="32"/>
          <w:szCs w:val="32"/>
        </w:rPr>
        <w:t>。</w:t>
      </w:r>
    </w:p>
    <w:p>
      <w:pPr>
        <w:numPr>
          <w:ilvl w:val="0"/>
          <w:numId w:val="5"/>
        </w:numPr>
        <w:spacing w:line="580" w:lineRule="exact"/>
        <w:ind w:firstLine="643" w:firstLineChars="200"/>
        <w:rPr>
          <w:rFonts w:hint="eastAsia" w:asciiTheme="minorEastAsia" w:hAnsiTheme="minorEastAsia" w:eastAsiaTheme="minorEastAsia" w:cstheme="minorEastAsia"/>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Theme="minorEastAsia" w:hAnsiTheme="minorEastAsia" w:eastAsiaTheme="minorEastAsia" w:cstheme="minorEastAsia"/>
          <w:sz w:val="32"/>
          <w:szCs w:val="32"/>
        </w:rPr>
        <w:t xml:space="preserve">  本部门在2018年度部门决算中反映“XXX””XXXX”“XXXXX”等X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农村公路养护经费</w:t>
      </w:r>
      <w:r>
        <w:rPr>
          <w:rFonts w:hint="eastAsia" w:asciiTheme="minorEastAsia" w:hAnsiTheme="minorEastAsia" w:eastAsiaTheme="minorEastAsia" w:cstheme="minorEastAsia"/>
          <w:sz w:val="32"/>
          <w:szCs w:val="32"/>
        </w:rPr>
        <w:t>项目绩效目标完成情况综述。项目全年预算数</w:t>
      </w:r>
      <w:r>
        <w:rPr>
          <w:rFonts w:hint="eastAsia" w:asciiTheme="minorEastAsia" w:hAnsiTheme="minorEastAsia" w:eastAsiaTheme="minorEastAsia" w:cstheme="minorEastAsia"/>
          <w:sz w:val="32"/>
          <w:szCs w:val="32"/>
          <w:lang w:val="en-US" w:eastAsia="zh-CN"/>
        </w:rPr>
        <w:t>119.48</w:t>
      </w:r>
      <w:r>
        <w:rPr>
          <w:rFonts w:hint="eastAsia" w:asciiTheme="minorEastAsia" w:hAnsiTheme="minorEastAsia" w:eastAsiaTheme="minorEastAsia" w:cstheme="minorEastAsia"/>
          <w:sz w:val="32"/>
          <w:szCs w:val="32"/>
        </w:rPr>
        <w:t>万元，执行数为</w:t>
      </w:r>
      <w:r>
        <w:rPr>
          <w:rFonts w:hint="eastAsia" w:asciiTheme="minorEastAsia" w:hAnsiTheme="minorEastAsia" w:eastAsiaTheme="minorEastAsia" w:cstheme="minorEastAsia"/>
          <w:sz w:val="32"/>
          <w:szCs w:val="32"/>
          <w:lang w:val="en-US" w:eastAsia="zh-CN"/>
        </w:rPr>
        <w:t>145.4</w:t>
      </w:r>
      <w:r>
        <w:rPr>
          <w:rFonts w:hint="eastAsia" w:asciiTheme="minorEastAsia" w:hAnsiTheme="minorEastAsia" w:eastAsiaTheme="minorEastAsia" w:cstheme="minorEastAsia"/>
          <w:sz w:val="32"/>
          <w:szCs w:val="32"/>
        </w:rPr>
        <w:t>万元，完成预算的</w:t>
      </w:r>
      <w:r>
        <w:rPr>
          <w:rFonts w:hint="eastAsia" w:asciiTheme="minorEastAsia" w:hAnsiTheme="minorEastAsia" w:eastAsiaTheme="minorEastAsia" w:cstheme="minorEastAsia"/>
          <w:sz w:val="32"/>
          <w:szCs w:val="32"/>
          <w:lang w:val="en-US" w:eastAsia="zh-CN"/>
        </w:rPr>
        <w:t>121</w:t>
      </w:r>
      <w:r>
        <w:rPr>
          <w:rFonts w:hint="eastAsia" w:asciiTheme="minorEastAsia" w:hAnsiTheme="minorEastAsia" w:eastAsiaTheme="minorEastAsia" w:cstheme="minorEastAsia"/>
          <w:sz w:val="32"/>
          <w:szCs w:val="32"/>
        </w:rPr>
        <w:t>%。通过项目实施，保</w:t>
      </w:r>
      <w:r>
        <w:rPr>
          <w:rFonts w:hint="eastAsia" w:asciiTheme="minorEastAsia" w:hAnsiTheme="minorEastAsia" w:eastAsiaTheme="minorEastAsia" w:cstheme="minorEastAsia"/>
          <w:sz w:val="32"/>
          <w:szCs w:val="32"/>
          <w:lang w:eastAsia="zh-CN"/>
        </w:rPr>
        <w:t>障仁和区县道</w:t>
      </w:r>
      <w:r>
        <w:rPr>
          <w:rFonts w:hint="eastAsia" w:asciiTheme="minorEastAsia" w:hAnsiTheme="minorEastAsia" w:eastAsiaTheme="minorEastAsia" w:cstheme="minorEastAsia"/>
          <w:sz w:val="32"/>
          <w:szCs w:val="32"/>
          <w:lang w:val="en-US" w:eastAsia="zh-CN"/>
        </w:rPr>
        <w:t>124.982公里，乡道169.04公里，村道455.689公里的日常养护，维护公路路产、路权，治理超限运输，带动沿线乡镇经济发展，保障管养道路的安全通畅，为老百姓的出行安全保驾护航</w:t>
      </w:r>
      <w:r>
        <w:rPr>
          <w:rFonts w:hint="eastAsia" w:asciiTheme="minorEastAsia" w:hAnsiTheme="minorEastAsia" w:eastAsiaTheme="minorEastAsia" w:cstheme="minorEastAsia"/>
          <w:sz w:val="32"/>
          <w:szCs w:val="32"/>
        </w:rPr>
        <w:t>，发现的主要问题：</w:t>
      </w:r>
      <w:r>
        <w:rPr>
          <w:rFonts w:hint="eastAsia" w:asciiTheme="minorEastAsia" w:hAnsiTheme="minorEastAsia" w:eastAsiaTheme="minorEastAsia" w:cstheme="minorEastAsia"/>
          <w:sz w:val="32"/>
          <w:szCs w:val="32"/>
          <w:lang w:eastAsia="zh-CN"/>
        </w:rPr>
        <w:t>地方经济投入较少</w:t>
      </w:r>
      <w:r>
        <w:rPr>
          <w:rFonts w:hint="eastAsia" w:asciiTheme="minorEastAsia" w:hAnsiTheme="minorEastAsia" w:eastAsiaTheme="minorEastAsia" w:cstheme="minorEastAsia"/>
          <w:sz w:val="32"/>
          <w:szCs w:val="32"/>
        </w:rPr>
        <w:t>。下一步改进措施：</w:t>
      </w:r>
      <w:r>
        <w:rPr>
          <w:rFonts w:hint="eastAsia" w:asciiTheme="minorEastAsia" w:hAnsiTheme="minorEastAsia" w:eastAsiaTheme="minorEastAsia" w:cstheme="minorEastAsia"/>
          <w:sz w:val="32"/>
          <w:szCs w:val="32"/>
          <w:lang w:eastAsia="zh-CN"/>
        </w:rPr>
        <w:t>中央、省、市加大资金投入。</w:t>
      </w:r>
    </w:p>
    <w:p>
      <w:pPr>
        <w:numPr>
          <w:ilvl w:val="0"/>
          <w:numId w:val="6"/>
        </w:num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学生乘船补贴</w:t>
      </w:r>
      <w:r>
        <w:rPr>
          <w:rFonts w:hint="eastAsia" w:asciiTheme="minorEastAsia" w:hAnsiTheme="minorEastAsia" w:eastAsiaTheme="minorEastAsia" w:cstheme="minorEastAsia"/>
          <w:sz w:val="32"/>
          <w:szCs w:val="32"/>
        </w:rPr>
        <w:t>项目绩效目标完成情况综述。项目全年预算数</w:t>
      </w:r>
      <w:r>
        <w:rPr>
          <w:rFonts w:hint="eastAsia" w:asciiTheme="minorEastAsia" w:hAnsiTheme="minorEastAsia" w:eastAsiaTheme="minorEastAsia" w:cstheme="minorEastAsia"/>
          <w:sz w:val="32"/>
          <w:szCs w:val="32"/>
          <w:lang w:val="en-US" w:eastAsia="zh-CN"/>
        </w:rPr>
        <w:t>4.48</w:t>
      </w:r>
      <w:r>
        <w:rPr>
          <w:rFonts w:hint="eastAsia" w:asciiTheme="minorEastAsia" w:hAnsiTheme="minorEastAsia" w:eastAsiaTheme="minorEastAsia" w:cstheme="minorEastAsia"/>
          <w:sz w:val="32"/>
          <w:szCs w:val="32"/>
        </w:rPr>
        <w:t>万元，执行数为</w:t>
      </w:r>
      <w:r>
        <w:rPr>
          <w:rFonts w:hint="eastAsia" w:asciiTheme="minorEastAsia" w:hAnsiTheme="minorEastAsia" w:eastAsiaTheme="minorEastAsia" w:cstheme="minorEastAsia"/>
          <w:sz w:val="32"/>
          <w:szCs w:val="32"/>
          <w:lang w:val="en-US" w:eastAsia="zh-CN"/>
        </w:rPr>
        <w:t>4.48</w:t>
      </w:r>
      <w:r>
        <w:rPr>
          <w:rFonts w:hint="eastAsia" w:asciiTheme="minorEastAsia" w:hAnsiTheme="minorEastAsia" w:eastAsiaTheme="minorEastAsia" w:cstheme="minorEastAsia"/>
          <w:sz w:val="32"/>
          <w:szCs w:val="32"/>
        </w:rPr>
        <w:t>万元，完成预算的</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%。通过项目实施，</w:t>
      </w:r>
      <w:r>
        <w:rPr>
          <w:rFonts w:hint="eastAsia" w:asciiTheme="minorEastAsia" w:hAnsiTheme="minorEastAsia" w:eastAsiaTheme="minorEastAsia" w:cstheme="minorEastAsia"/>
          <w:sz w:val="32"/>
          <w:szCs w:val="32"/>
          <w:lang w:eastAsia="zh-CN"/>
        </w:rPr>
        <w:t>确保周边适龄儿童上学的问题，为了社会稳定，避免乘非法运营船舶，政府解决学生上学的困难，进行补贴，按要求接送学生</w:t>
      </w:r>
      <w:r>
        <w:rPr>
          <w:rFonts w:hint="eastAsia" w:asciiTheme="minorEastAsia" w:hAnsiTheme="minorEastAsia" w:eastAsiaTheme="minorEastAsia" w:cstheme="minorEastAsia"/>
          <w:sz w:val="32"/>
          <w:szCs w:val="32"/>
          <w:lang w:val="en-US" w:eastAsia="zh-CN"/>
        </w:rPr>
        <w:t>4480人次，切实解决民生问题</w:t>
      </w:r>
      <w:r>
        <w:rPr>
          <w:rFonts w:hint="eastAsia" w:asciiTheme="minorEastAsia" w:hAnsiTheme="minorEastAsia" w:eastAsiaTheme="minorEastAsia" w:cstheme="minorEastAsia"/>
          <w:sz w:val="32"/>
          <w:szCs w:val="32"/>
        </w:rPr>
        <w:t>，发现的主要问题：</w:t>
      </w:r>
      <w:r>
        <w:rPr>
          <w:rFonts w:hint="eastAsia" w:asciiTheme="minorEastAsia" w:hAnsiTheme="minorEastAsia" w:eastAsiaTheme="minorEastAsia" w:cstheme="minorEastAsia"/>
          <w:sz w:val="32"/>
          <w:szCs w:val="32"/>
          <w:lang w:eastAsia="zh-CN"/>
        </w:rPr>
        <w:t>政府加大投入资金，修桥解决群众出行困难</w:t>
      </w:r>
      <w:r>
        <w:rPr>
          <w:rFonts w:hint="eastAsia" w:asciiTheme="minorEastAsia" w:hAnsiTheme="minorEastAsia" w:eastAsiaTheme="minorEastAsia" w:cstheme="minorEastAsia"/>
          <w:sz w:val="32"/>
          <w:szCs w:val="32"/>
        </w:rPr>
        <w:t>。下一步改进措施：</w:t>
      </w:r>
      <w:r>
        <w:rPr>
          <w:rFonts w:hint="eastAsia" w:asciiTheme="minorEastAsia" w:hAnsiTheme="minorEastAsia" w:eastAsiaTheme="minorEastAsia" w:cstheme="minorEastAsia"/>
          <w:sz w:val="32"/>
          <w:szCs w:val="32"/>
          <w:lang w:eastAsia="zh-CN"/>
        </w:rPr>
        <w:t>地方政府采取切实有效地办法解决出行问题。</w:t>
      </w:r>
    </w:p>
    <w:p>
      <w:pPr>
        <w:numPr>
          <w:ilvl w:val="0"/>
          <w:numId w:val="6"/>
        </w:num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农村环境保护</w:t>
      </w:r>
      <w:r>
        <w:rPr>
          <w:rFonts w:hint="eastAsia" w:asciiTheme="minorEastAsia" w:hAnsiTheme="minorEastAsia" w:eastAsiaTheme="minorEastAsia" w:cstheme="minorEastAsia"/>
          <w:sz w:val="32"/>
          <w:szCs w:val="32"/>
        </w:rPr>
        <w:t>项目绩效目标完成情况综述。项目全年预算数</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万元，执行数为</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万元，完成预算的XX%。通过项目实施，提高</w:t>
      </w:r>
      <w:r>
        <w:rPr>
          <w:rFonts w:hint="eastAsia" w:asciiTheme="minorEastAsia" w:hAnsiTheme="minorEastAsia" w:eastAsiaTheme="minorEastAsia" w:cstheme="minorEastAsia"/>
          <w:sz w:val="32"/>
          <w:szCs w:val="32"/>
          <w:lang w:eastAsia="zh-CN"/>
        </w:rPr>
        <w:t>农民生活环境，切实解决农村环境质量，响应国家的号召，绿水青山就是金山银山</w:t>
      </w:r>
      <w:r>
        <w:rPr>
          <w:rFonts w:hint="eastAsia" w:asciiTheme="minorEastAsia" w:hAnsiTheme="minorEastAsia" w:eastAsiaTheme="minorEastAsia" w:cstheme="minorEastAsia"/>
          <w:sz w:val="32"/>
          <w:szCs w:val="32"/>
        </w:rPr>
        <w:t>，发现的主要问题：</w:t>
      </w:r>
      <w:r>
        <w:rPr>
          <w:rFonts w:hint="eastAsia" w:asciiTheme="minorEastAsia" w:hAnsiTheme="minorEastAsia" w:eastAsiaTheme="minorEastAsia" w:cstheme="minorEastAsia"/>
          <w:sz w:val="32"/>
          <w:szCs w:val="32"/>
          <w:lang w:eastAsia="zh-CN"/>
        </w:rPr>
        <w:t>如何保持环境整治长效机制</w:t>
      </w:r>
      <w:r>
        <w:rPr>
          <w:rFonts w:hint="eastAsia" w:asciiTheme="minorEastAsia" w:hAnsiTheme="minorEastAsia" w:eastAsiaTheme="minorEastAsia" w:cstheme="minorEastAsia"/>
          <w:sz w:val="32"/>
          <w:szCs w:val="32"/>
        </w:rPr>
        <w:t>。下一步改进措施：</w:t>
      </w:r>
      <w:r>
        <w:rPr>
          <w:rFonts w:hint="eastAsia" w:asciiTheme="minorEastAsia" w:hAnsiTheme="minorEastAsia" w:eastAsiaTheme="minorEastAsia" w:cstheme="minorEastAsia"/>
          <w:sz w:val="32"/>
          <w:szCs w:val="32"/>
          <w:lang w:eastAsia="zh-CN"/>
        </w:rPr>
        <w:t>政府加大投入力度，整治农村环境。</w:t>
      </w:r>
    </w:p>
    <w:p>
      <w:pPr>
        <w:tabs>
          <w:tab w:val="left" w:pos="312"/>
        </w:tabs>
        <w:spacing w:line="580" w:lineRule="exact"/>
        <w:rPr>
          <w:rFonts w:hint="eastAsia" w:asciiTheme="minorEastAsia" w:hAnsiTheme="minorEastAsia" w:eastAsiaTheme="minorEastAsia" w:cstheme="minorEastAsia"/>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农村公路养护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攀枝花市仁和区交通运输局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145.4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145.4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2018年，仁和区县道124.982公里，乡道169.04公里，村道455.689公里，按照省、市农村公路日常管养经费标准，保障农村公路的安全通行，维护公路路产、路权，治理超限运输。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2018年，仁和区县道、乡道、村道，我单位完成了农村公路日常管养，保障农村公路的安全通行，维护公路路产、路权，治理超限运输。</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仁和区县道124.982公里，乡道169.04公里，村道455.689公里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仁和区县道124.982公里，乡道169.04公里，村道455.689公里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根据《公路法》的农村公路管养的要求，确保公路路产不受损坏，维护公路安全防护设施完好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治理县乡道公路超限等违法行为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2018年12月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县乡道路养护经费</w:t>
            </w:r>
            <w:r>
              <w:rPr>
                <w:rFonts w:hint="eastAsia" w:ascii="宋体" w:hAnsi="宋体" w:cs="宋体"/>
                <w:color w:val="000000"/>
                <w:sz w:val="24"/>
                <w:lang w:val="en-US" w:eastAsia="zh-CN"/>
              </w:rPr>
              <w:t>115万元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145.4万元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解决效益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为群众出行提供保障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带动沿线乡镇经济发展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w:t>
            </w:r>
          </w:p>
        </w:tc>
      </w:tr>
    </w:tbl>
    <w:p>
      <w:pPr>
        <w:rPr>
          <w:rFonts w:ascii="Calibri" w:hAnsi="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学生乘船补贴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攀枝花市仁和区交通运输局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2018年，完成学生乘船4480人次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2018年，完成学生乘船4480人次。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FFFFFF" w:themeColor="background1"/>
                <w:sz w:val="24"/>
                <w:lang w:val="en-US"/>
              </w:rPr>
            </w:pPr>
            <w:r>
              <w:rPr>
                <w:rFonts w:hint="eastAsia" w:ascii="宋体" w:hAnsi="宋体" w:cs="宋体"/>
                <w:color w:val="000000"/>
                <w:sz w:val="24"/>
                <w:lang w:val="en-US" w:eastAsia="zh-CN"/>
              </w:rPr>
              <w:t>学生乘船人数4480人次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，每日过渡学生7人，学生乘船人数4480人次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2018年学生乘船人数4480人次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切实解决民生问题，避免乘坐非法运营船舶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便于管理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确保平安过渡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2018年1-12月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乡镇及教育部门核定人数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4480人次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确保学生平安乘船上学，社会稳定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解决周边适龄儿童上学的问题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对学生乘船进行政府补贴，避免乘非法运营船舶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农村环境保护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攀枝花市仁和区交通运输局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2018年，完成农村环境整治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2018年，农村环境整治工作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cs="宋体"/>
                <w:color w:val="FFFFFF" w:themeColor="background1"/>
                <w:sz w:val="24"/>
                <w:lang w:val="en-US"/>
              </w:rPr>
            </w:pPr>
            <w:r>
              <w:rPr>
                <w:rFonts w:hint="eastAsia" w:ascii="宋体" w:hAnsi="宋体" w:cs="宋体"/>
                <w:color w:val="000000"/>
                <w:sz w:val="24"/>
                <w:lang w:val="en-US" w:eastAsia="zh-CN"/>
              </w:rPr>
              <w:t>出动400多车次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2018年出动400多车次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切实解决民生问题，按照环境整治要求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便于管理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确保农村环境优美</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2018年1-12月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聘用车辆清理垃圾等废弃物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完成周边环境整治工作</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确保大家生活环境好，社会稳定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群众生活亮化、美化</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本部门按要求对2018年部门整体支出绩效评价情况开展自评，《XX部门2018年部门整体支出绩效评价报告》见附件。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本部门自行组织对XXX项目、XXX项目开展了绩效评价，《XXX项目2018年绩效评价报告》见附件。（非涉密部门均需公开部门整体支出评价报告，部门自行组织的绩效评价情况根据部门实际公开）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仁和区交通运输局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53.26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4.2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8.6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val="en-US" w:eastAsia="zh-CN"/>
        </w:rPr>
        <w:t>2018年车辆预算是3台车，2017年预算车辆费用是2台车，相应费用增加。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仁和区交通运输局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4.33</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4.33</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w:t>
      </w:r>
      <w:r>
        <w:rPr>
          <w:rFonts w:hint="eastAsia" w:ascii="仿宋_GB2312" w:eastAsia="仿宋_GB2312"/>
          <w:color w:val="000000"/>
          <w:sz w:val="32"/>
          <w:szCs w:val="32"/>
          <w:lang w:eastAsia="zh-CN"/>
        </w:rPr>
        <w:t>于采购办公座椅、电脑、打印机、空调、沙发</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我局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6"/>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4"/>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center"/>
        <w:outlineLvl w:val="0"/>
        <w:rPr>
          <w:rStyle w:val="26"/>
        </w:rPr>
      </w:pPr>
    </w:p>
    <w:p>
      <w:pPr>
        <w:pStyle w:val="3"/>
        <w:rPr>
          <w:rStyle w:val="26"/>
          <w:rFonts w:ascii="仿宋" w:hAnsi="仿宋" w:eastAsia="仿宋"/>
          <w:b w:val="0"/>
          <w:bCs w:val="0"/>
          <w:sz w:val="32"/>
          <w:szCs w:val="32"/>
        </w:rPr>
      </w:pPr>
      <w:bookmarkStart w:id="59" w:name="_Toc15396615"/>
      <w:r>
        <w:rPr>
          <w:rStyle w:val="26"/>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XX部门2018年部门整体支出绩效评价报告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widowControl/>
        <w:spacing w:line="540" w:lineRule="exact"/>
        <w:jc w:val="center"/>
        <w:rPr>
          <w:rFonts w:hint="eastAsia" w:ascii="宋体" w:hAnsi="宋体" w:eastAsia="宋体"/>
          <w:b/>
          <w:sz w:val="44"/>
          <w:szCs w:val="44"/>
          <w:shd w:val="clear" w:color="auto" w:fill="FFFFFF"/>
        </w:rPr>
      </w:pPr>
      <w:r>
        <w:rPr>
          <w:rFonts w:hint="eastAsia" w:ascii="宋体" w:hAnsi="宋体" w:eastAsia="宋体"/>
          <w:b/>
          <w:sz w:val="44"/>
          <w:szCs w:val="44"/>
          <w:shd w:val="clear" w:color="auto" w:fill="FFFFFF"/>
          <w:lang w:val="en-US" w:eastAsia="zh-CN"/>
        </w:rPr>
        <w:t xml:space="preserve"> 2018</w:t>
      </w:r>
      <w:r>
        <w:rPr>
          <w:rFonts w:hint="eastAsia" w:ascii="宋体" w:hAnsi="宋体" w:eastAsia="宋体"/>
          <w:b/>
          <w:sz w:val="44"/>
          <w:szCs w:val="44"/>
          <w:shd w:val="clear" w:color="auto" w:fill="FFFFFF"/>
        </w:rPr>
        <w:t>年</w:t>
      </w:r>
      <w:r>
        <w:rPr>
          <w:rFonts w:hint="eastAsia" w:ascii="宋体" w:hAnsi="宋体" w:eastAsia="宋体"/>
          <w:b/>
          <w:sz w:val="44"/>
          <w:szCs w:val="44"/>
          <w:shd w:val="clear" w:color="auto" w:fill="FFFFFF"/>
          <w:lang w:eastAsia="zh-CN"/>
        </w:rPr>
        <w:t>攀枝花市仁和区交通运输局</w:t>
      </w:r>
      <w:r>
        <w:rPr>
          <w:rFonts w:hint="eastAsia" w:ascii="宋体" w:hAnsi="宋体" w:eastAsia="宋体"/>
          <w:b/>
          <w:sz w:val="44"/>
          <w:szCs w:val="44"/>
          <w:shd w:val="clear" w:color="auto" w:fill="FFFFFF"/>
        </w:rPr>
        <w:t>部门预算支出绩效报告</w:t>
      </w:r>
    </w:p>
    <w:p>
      <w:pPr>
        <w:widowControl/>
        <w:adjustRightInd w:val="0"/>
        <w:snapToGrid w:val="0"/>
        <w:spacing w:line="540" w:lineRule="exact"/>
        <w:jc w:val="left"/>
        <w:rPr>
          <w:rFonts w:hint="eastAsia" w:ascii="黑体" w:hAnsi="宋体" w:eastAsia="黑体" w:cs="宋体"/>
          <w:color w:val="000000" w:themeColor="text1"/>
          <w:kern w:val="0"/>
          <w:sz w:val="32"/>
          <w:szCs w:val="32"/>
          <w:shd w:val="clear" w:color="auto" w:fill="FFFFFF"/>
          <w:lang w:val="zh-CN"/>
        </w:rPr>
      </w:pPr>
      <w:r>
        <w:rPr>
          <w:rFonts w:hint="eastAsia" w:ascii="黑体" w:hAnsi="宋体" w:eastAsia="黑体" w:cs="宋体"/>
          <w:color w:val="000000" w:themeColor="text1"/>
          <w:kern w:val="0"/>
          <w:sz w:val="32"/>
          <w:szCs w:val="32"/>
          <w:shd w:val="clear" w:color="auto" w:fill="FFFFFF"/>
        </w:rPr>
        <w:t>一、</w:t>
      </w:r>
      <w:r>
        <w:rPr>
          <w:rFonts w:hint="eastAsia" w:ascii="黑体" w:hAnsi="宋体" w:eastAsia="黑体" w:cs="宋体"/>
          <w:color w:val="000000" w:themeColor="text1"/>
          <w:kern w:val="0"/>
          <w:sz w:val="32"/>
          <w:szCs w:val="32"/>
          <w:shd w:val="clear" w:color="auto" w:fill="FFFFFF"/>
          <w:lang w:val="zh-CN"/>
        </w:rPr>
        <w:t>部门（单位）概况</w:t>
      </w:r>
    </w:p>
    <w:p>
      <w:pPr>
        <w:spacing w:line="560" w:lineRule="exact"/>
        <w:ind w:firstLine="640" w:firstLineChars="200"/>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（一）机构组成</w:t>
      </w:r>
      <w:r>
        <w:rPr>
          <w:rFonts w:hint="eastAsia" w:asciiTheme="minorEastAsia" w:hAnsiTheme="minorEastAsia" w:eastAsiaTheme="minorEastAsia" w:cstheme="minorEastAsia"/>
          <w:color w:val="000000"/>
          <w:kern w:val="0"/>
          <w:sz w:val="32"/>
          <w:szCs w:val="32"/>
          <w:shd w:val="clear" w:color="auto" w:fill="FFFFFF"/>
          <w:lang w:val="zh-CN" w:eastAsia="zh-CN"/>
        </w:rPr>
        <w:t>及机构职能</w:t>
      </w:r>
      <w:r>
        <w:rPr>
          <w:rFonts w:hint="eastAsia" w:asciiTheme="minorEastAsia" w:hAnsiTheme="minorEastAsia" w:eastAsiaTheme="minorEastAsia" w:cstheme="minorEastAsia"/>
          <w:color w:val="000000"/>
          <w:kern w:val="0"/>
          <w:sz w:val="32"/>
          <w:szCs w:val="32"/>
          <w:shd w:val="clear" w:color="auto" w:fill="FFFFFF"/>
          <w:lang w:val="zh-CN"/>
        </w:rPr>
        <w:t>。</w:t>
      </w:r>
    </w:p>
    <w:p>
      <w:pPr>
        <w:spacing w:line="560" w:lineRule="exact"/>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攀枝花市仁和区交通运输局性质为行政机关，主要职能：(一)贯彻执行国家有关交通运输行业的方针、政策和法律、法规，贯彻执行省、市地方性法规、规章、交通运输行业规划、政策和标准。组织拟订并监督实施公路、水路等行业发展战略、政策和规范性文件，会同有关部门组织编制综合运输体系规划，参与拟订物流业发展战略和规划。（二）负责本系统、本部门依法行政工作，落实行政执法责任制。指导公路、水路行业有关体制改革和机制转换工作。（三）承担道路、水路交通运输市场监管责任。组织实施并监督执行道路、水路运输有关政策、技术标准和运营规范；负责辖区内公共客运交通管理工作；指导城乡客运管理工作，指导出租车行业管理工作；会同有关部门制定运输价格。（四）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五）负责提出公路、水路固定资产投资规模和方向、区财政资金安排建议，按照程序报批国家、省、市、区规划内和年度计划规模内固定资产投资项目。指导交通运输行业审计工作。（六）承担公路、水路建设市场监管责任。组织实施并监督执行公路、水路工程建设相关政策、制度、技术标准，组织协调公路、水路有关重点工程建设和工程质量、安全生产监督管理工作；负责对交通行业和产业项目的招投标活动进行监督指导；指导交通运输基础设施管理和维护，承担有关重要设施的管理的维护；按照规定负责小码头规划和小码头的使用管理工作，指导交通运输行业特许经营管理，会同有关部门组织实施交通运输行业职业资格管理工作。（七）指导公路、水路行业安全生产和应急管理工作。按规定组织协调国家、省、市重点物资、危险货物运输和紧急客货运输，负责全区干线路网运行监测和协调。组织协调地方交通战备工作，承担国防动员有关工作。（八）承担交通运输科技项目的开发和研究的组织实施工作，负责交通运输科研成果的推广、应用工作。指导全区交通信息化建设，监测分析运行情况，开展相关统计工作，发布有关信息。指导公路、水路行业环境保护和节能减排工作。（九）负责公路、水路有关涉外工作，开展经济技术交流与合作，指导全区交通运输行业招商引资和利用外部资金工作。（十）负责宣传贯彻落实公路管理养护有关法律法规、政策；对仁和区农村公路管理养护工作进行技术指导。（十一）承担区政府公布的有关行政审批事项。（十二）承办区政府交办的其他事项。</w:t>
      </w:r>
    </w:p>
    <w:p>
      <w:pPr>
        <w:widowControl/>
        <w:adjustRightInd w:val="0"/>
        <w:snapToGrid w:val="0"/>
        <w:spacing w:line="540" w:lineRule="exact"/>
        <w:ind w:firstLine="720"/>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（二）人员概况。</w:t>
      </w:r>
    </w:p>
    <w:p>
      <w:pPr>
        <w:spacing w:line="560" w:lineRule="exact"/>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机构编制管理部门核定编制人数2</w:t>
      </w:r>
      <w:r>
        <w:rPr>
          <w:rFonts w:hint="eastAsia" w:asciiTheme="minorEastAsia" w:hAnsiTheme="minorEastAsia" w:eastAsiaTheme="minorEastAsia" w:cstheme="minorEastAsia"/>
          <w:b/>
          <w:sz w:val="32"/>
          <w:szCs w:val="32"/>
          <w:lang w:val="en-US" w:eastAsia="zh-CN"/>
        </w:rPr>
        <w:t>3</w:t>
      </w:r>
      <w:r>
        <w:rPr>
          <w:rFonts w:hint="eastAsia" w:asciiTheme="minorEastAsia" w:hAnsiTheme="minorEastAsia" w:eastAsiaTheme="minorEastAsia" w:cstheme="minorEastAsia"/>
          <w:b/>
          <w:sz w:val="32"/>
          <w:szCs w:val="32"/>
        </w:rPr>
        <w:t>人，其中：行政编制人数10人，</w:t>
      </w:r>
      <w:r>
        <w:rPr>
          <w:rFonts w:hint="eastAsia" w:asciiTheme="minorEastAsia" w:hAnsiTheme="minorEastAsia" w:eastAsiaTheme="minorEastAsia" w:cstheme="minorEastAsia"/>
          <w:b/>
          <w:sz w:val="32"/>
          <w:szCs w:val="32"/>
          <w:lang w:eastAsia="zh-CN"/>
        </w:rPr>
        <w:t>工勤人员</w:t>
      </w:r>
      <w:r>
        <w:rPr>
          <w:rFonts w:hint="eastAsia" w:asciiTheme="minorEastAsia" w:hAnsiTheme="minorEastAsia" w:eastAsiaTheme="minorEastAsia" w:cstheme="minorEastAsia"/>
          <w:b/>
          <w:sz w:val="32"/>
          <w:szCs w:val="32"/>
          <w:lang w:val="en-US" w:eastAsia="zh-CN"/>
        </w:rPr>
        <w:t>2人，</w:t>
      </w:r>
      <w:r>
        <w:rPr>
          <w:rFonts w:hint="eastAsia" w:asciiTheme="minorEastAsia" w:hAnsiTheme="minorEastAsia" w:eastAsiaTheme="minorEastAsia" w:cstheme="minorEastAsia"/>
          <w:b/>
          <w:sz w:val="32"/>
          <w:szCs w:val="32"/>
        </w:rPr>
        <w:t>事业编制人数1</w:t>
      </w:r>
      <w:r>
        <w:rPr>
          <w:rFonts w:hint="eastAsia" w:asciiTheme="minorEastAsia" w:hAnsiTheme="minorEastAsia" w:eastAsiaTheme="minorEastAsia" w:cstheme="minorEastAsia"/>
          <w:b/>
          <w:sz w:val="32"/>
          <w:szCs w:val="32"/>
          <w:lang w:val="en-US" w:eastAsia="zh-CN"/>
        </w:rPr>
        <w:t>2</w:t>
      </w:r>
      <w:r>
        <w:rPr>
          <w:rFonts w:hint="eastAsia" w:asciiTheme="minorEastAsia" w:hAnsiTheme="minorEastAsia" w:eastAsiaTheme="minorEastAsia" w:cstheme="minorEastAsia"/>
          <w:b/>
          <w:sz w:val="32"/>
          <w:szCs w:val="32"/>
        </w:rPr>
        <w:t>人。截止20</w:t>
      </w:r>
      <w:r>
        <w:rPr>
          <w:rFonts w:hint="eastAsia" w:asciiTheme="minorEastAsia" w:hAnsiTheme="minorEastAsia" w:eastAsiaTheme="minorEastAsia" w:cstheme="minorEastAsia"/>
          <w:b/>
          <w:sz w:val="32"/>
          <w:szCs w:val="32"/>
          <w:lang w:val="en-US" w:eastAsia="zh-CN"/>
        </w:rPr>
        <w:t>18</w:t>
      </w:r>
      <w:r>
        <w:rPr>
          <w:rFonts w:hint="eastAsia" w:asciiTheme="minorEastAsia" w:hAnsiTheme="minorEastAsia" w:eastAsiaTheme="minorEastAsia" w:cstheme="minorEastAsia"/>
          <w:b/>
          <w:sz w:val="32"/>
          <w:szCs w:val="32"/>
        </w:rPr>
        <w:t>年12月31日止职工人数 2</w:t>
      </w:r>
      <w:r>
        <w:rPr>
          <w:rFonts w:hint="eastAsia" w:asciiTheme="minorEastAsia" w:hAnsiTheme="minorEastAsia" w:eastAsiaTheme="minorEastAsia" w:cstheme="minorEastAsia"/>
          <w:b/>
          <w:sz w:val="32"/>
          <w:szCs w:val="32"/>
          <w:lang w:val="en-US" w:eastAsia="zh-CN"/>
        </w:rPr>
        <w:t>2</w:t>
      </w:r>
      <w:r>
        <w:rPr>
          <w:rFonts w:hint="eastAsia" w:asciiTheme="minorEastAsia" w:hAnsiTheme="minorEastAsia" w:eastAsiaTheme="minorEastAsia" w:cstheme="minorEastAsia"/>
          <w:b/>
          <w:sz w:val="32"/>
          <w:szCs w:val="32"/>
        </w:rPr>
        <w:t>人，其中属于行政编制人员10人，</w:t>
      </w:r>
      <w:r>
        <w:rPr>
          <w:rFonts w:hint="eastAsia" w:asciiTheme="minorEastAsia" w:hAnsiTheme="minorEastAsia" w:eastAsiaTheme="minorEastAsia" w:cstheme="minorEastAsia"/>
          <w:b/>
          <w:sz w:val="32"/>
          <w:szCs w:val="32"/>
          <w:lang w:eastAsia="zh-CN"/>
        </w:rPr>
        <w:t>工勤人员</w:t>
      </w:r>
      <w:r>
        <w:rPr>
          <w:rFonts w:hint="eastAsia" w:asciiTheme="minorEastAsia" w:hAnsiTheme="minorEastAsia" w:eastAsiaTheme="minorEastAsia" w:cstheme="minorEastAsia"/>
          <w:b/>
          <w:sz w:val="32"/>
          <w:szCs w:val="32"/>
          <w:lang w:val="en-US" w:eastAsia="zh-CN"/>
        </w:rPr>
        <w:t>1人，</w:t>
      </w:r>
      <w:r>
        <w:rPr>
          <w:rFonts w:hint="eastAsia" w:asciiTheme="minorEastAsia" w:hAnsiTheme="minorEastAsia" w:eastAsiaTheme="minorEastAsia" w:cstheme="minorEastAsia"/>
          <w:b/>
          <w:sz w:val="32"/>
          <w:szCs w:val="32"/>
        </w:rPr>
        <w:t>事业编制人员1</w:t>
      </w:r>
      <w:r>
        <w:rPr>
          <w:rFonts w:hint="eastAsia" w:asciiTheme="minorEastAsia" w:hAnsiTheme="minorEastAsia" w:eastAsiaTheme="minorEastAsia" w:cstheme="minorEastAsia"/>
          <w:b/>
          <w:sz w:val="32"/>
          <w:szCs w:val="32"/>
          <w:lang w:val="en-US" w:eastAsia="zh-CN"/>
        </w:rPr>
        <w:t>1</w:t>
      </w:r>
      <w:r>
        <w:rPr>
          <w:rFonts w:hint="eastAsia" w:asciiTheme="minorEastAsia" w:hAnsiTheme="minorEastAsia" w:eastAsiaTheme="minorEastAsia" w:cstheme="minorEastAsia"/>
          <w:b/>
          <w:sz w:val="32"/>
          <w:szCs w:val="32"/>
        </w:rPr>
        <w:t>人。</w:t>
      </w:r>
      <w:r>
        <w:rPr>
          <w:rFonts w:hint="eastAsia" w:asciiTheme="minorEastAsia" w:hAnsiTheme="minorEastAsia" w:eastAsiaTheme="minorEastAsia" w:cstheme="minorEastAsia"/>
          <w:bCs/>
          <w:sz w:val="32"/>
          <w:szCs w:val="32"/>
        </w:rPr>
        <w:t>机关离退休</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人，事业离退休3人。</w:t>
      </w:r>
    </w:p>
    <w:p>
      <w:pPr>
        <w:spacing w:line="560" w:lineRule="exact"/>
        <w:ind w:firstLine="643" w:firstLineChars="200"/>
        <w:rPr>
          <w:rFonts w:hint="eastAsia" w:ascii="仿宋_GB2312" w:hAnsi="宋体" w:cs="宋体"/>
          <w:color w:val="000000"/>
          <w:kern w:val="0"/>
          <w:szCs w:val="32"/>
          <w:shd w:val="clear" w:color="auto" w:fill="FFFFFF"/>
          <w:lang w:val="zh-CN"/>
        </w:rPr>
      </w:pPr>
      <w:r>
        <w:rPr>
          <w:rFonts w:hint="eastAsia" w:asciiTheme="minorEastAsia" w:hAnsiTheme="minorEastAsia" w:eastAsiaTheme="minorEastAsia" w:cstheme="minorEastAsia"/>
          <w:b/>
          <w:sz w:val="32"/>
          <w:szCs w:val="32"/>
        </w:rPr>
        <w:t xml:space="preserve"> 攀枝花市仁和区交通运输局执行《行政单位会计制度》</w:t>
      </w:r>
      <w:r>
        <w:rPr>
          <w:rFonts w:hint="eastAsia" w:ascii="仿宋_GB2312" w:hAnsi="宋体" w:eastAsia="仿宋_GB2312" w:cs="仿宋"/>
          <w:b/>
          <w:sz w:val="28"/>
          <w:szCs w:val="28"/>
        </w:rPr>
        <w:t xml:space="preserve">。 </w:t>
      </w:r>
      <w:r>
        <w:rPr>
          <w:rFonts w:hint="eastAsia" w:ascii="仿宋_GB2312" w:hAnsi="宋体" w:eastAsia="仿宋_GB2312" w:cs="仿宋"/>
          <w:b/>
          <w:sz w:val="28"/>
          <w:szCs w:val="28"/>
          <w:lang w:val="en-US" w:eastAsia="zh-CN"/>
        </w:rPr>
        <w:t xml:space="preserve"> </w:t>
      </w:r>
    </w:p>
    <w:p>
      <w:pPr>
        <w:widowControl/>
        <w:adjustRightInd w:val="0"/>
        <w:snapToGrid w:val="0"/>
        <w:spacing w:line="540" w:lineRule="exact"/>
        <w:ind w:firstLine="720"/>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二、部门财政资金收支情况</w:t>
      </w:r>
    </w:p>
    <w:p>
      <w:pPr>
        <w:widowControl/>
        <w:adjustRightInd w:val="0"/>
        <w:snapToGrid w:val="0"/>
        <w:spacing w:line="540" w:lineRule="exact"/>
        <w:ind w:firstLine="720"/>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（一）部门财政资金收入情况。</w:t>
      </w:r>
    </w:p>
    <w:p>
      <w:pPr>
        <w:spacing w:line="600" w:lineRule="exact"/>
        <w:ind w:firstLine="640"/>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sz w:val="32"/>
          <w:szCs w:val="32"/>
        </w:rPr>
        <w:t>201</w:t>
      </w:r>
      <w:r>
        <w:rPr>
          <w:rFonts w:hint="eastAsia" w:asciiTheme="minorEastAsia" w:hAnsiTheme="minorEastAsia" w:eastAsiaTheme="minorEastAsia" w:cstheme="minorEastAsia"/>
          <w:color w:val="000000"/>
          <w:sz w:val="32"/>
          <w:szCs w:val="32"/>
          <w:lang w:val="en-US" w:eastAsia="zh-CN"/>
        </w:rPr>
        <w:t>8</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sz w:val="32"/>
          <w:szCs w:val="32"/>
          <w:lang w:eastAsia="zh-CN"/>
        </w:rPr>
        <w:t>仁和区交通运输局</w:t>
      </w:r>
      <w:r>
        <w:rPr>
          <w:rFonts w:hint="eastAsia" w:asciiTheme="minorEastAsia" w:hAnsiTheme="minorEastAsia" w:eastAsiaTheme="minorEastAsia" w:cstheme="minorEastAsia"/>
          <w:color w:val="000000"/>
          <w:sz w:val="32"/>
          <w:szCs w:val="32"/>
        </w:rPr>
        <w:t>本年收入合计</w:t>
      </w:r>
      <w:r>
        <w:rPr>
          <w:rFonts w:hint="eastAsia" w:asciiTheme="minorEastAsia" w:hAnsiTheme="minorEastAsia" w:eastAsiaTheme="minorEastAsia" w:cstheme="minorEastAsia"/>
          <w:color w:val="000000"/>
          <w:sz w:val="32"/>
          <w:szCs w:val="32"/>
          <w:lang w:val="en-US" w:eastAsia="zh-CN"/>
        </w:rPr>
        <w:t>4377.49</w:t>
      </w:r>
      <w:r>
        <w:rPr>
          <w:rFonts w:hint="eastAsia" w:asciiTheme="minorEastAsia" w:hAnsiTheme="minorEastAsia" w:eastAsiaTheme="minorEastAsia" w:cstheme="minorEastAsia"/>
          <w:color w:val="000000"/>
          <w:sz w:val="32"/>
          <w:szCs w:val="32"/>
        </w:rPr>
        <w:t>万元，其中：</w:t>
      </w:r>
      <w:r>
        <w:rPr>
          <w:rFonts w:hint="eastAsia" w:asciiTheme="minorEastAsia" w:hAnsiTheme="minorEastAsia" w:eastAsiaTheme="minorEastAsia" w:cstheme="minorEastAsia"/>
          <w:color w:val="000000"/>
          <w:sz w:val="32"/>
          <w:szCs w:val="32"/>
          <w:lang w:eastAsia="zh-CN"/>
        </w:rPr>
        <w:t>一般公共预算财政拨款收入</w:t>
      </w:r>
      <w:r>
        <w:rPr>
          <w:rFonts w:hint="eastAsia" w:asciiTheme="minorEastAsia" w:hAnsiTheme="minorEastAsia" w:eastAsiaTheme="minorEastAsia" w:cstheme="minorEastAsia"/>
          <w:color w:val="000000"/>
          <w:sz w:val="32"/>
          <w:szCs w:val="32"/>
          <w:lang w:val="en-US" w:eastAsia="zh-CN"/>
        </w:rPr>
        <w:t>3282.61万元，占75%；政府性基金预算财政拨款收入0万元，占0%；国有资本经营预算财政拨款收入0万元，</w:t>
      </w:r>
      <w:r>
        <w:rPr>
          <w:rFonts w:hint="eastAsia" w:asciiTheme="minorEastAsia" w:hAnsiTheme="minorEastAsia" w:eastAsiaTheme="minorEastAsia" w:cstheme="minorEastAsia"/>
          <w:color w:val="000000"/>
          <w:sz w:val="32"/>
          <w:szCs w:val="32"/>
        </w:rPr>
        <w:t>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%；事业收入</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%；经营收入</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%；附属单位上缴收入</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%；其他收入</w:t>
      </w:r>
      <w:r>
        <w:rPr>
          <w:rFonts w:hint="eastAsia" w:asciiTheme="minorEastAsia" w:hAnsiTheme="minorEastAsia" w:eastAsiaTheme="minorEastAsia" w:cstheme="minorEastAsia"/>
          <w:color w:val="000000"/>
          <w:sz w:val="32"/>
          <w:szCs w:val="32"/>
          <w:lang w:val="en-US" w:eastAsia="zh-CN"/>
        </w:rPr>
        <w:t>1094.88</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25</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年初结转和结余资金</w:t>
      </w:r>
      <w:r>
        <w:rPr>
          <w:rFonts w:hint="eastAsia" w:asciiTheme="minorEastAsia" w:hAnsiTheme="minorEastAsia" w:eastAsiaTheme="minorEastAsia" w:cstheme="minorEastAsia"/>
          <w:color w:val="000000"/>
          <w:sz w:val="32"/>
          <w:szCs w:val="32"/>
          <w:lang w:val="en-US" w:eastAsia="zh-CN"/>
        </w:rPr>
        <w:t>2786.98万元，总计7164.47万元。</w:t>
      </w:r>
    </w:p>
    <w:p>
      <w:pPr>
        <w:widowControl/>
        <w:numPr>
          <w:ilvl w:val="0"/>
          <w:numId w:val="8"/>
        </w:numPr>
        <w:adjustRightInd w:val="0"/>
        <w:snapToGrid w:val="0"/>
        <w:spacing w:line="540" w:lineRule="exact"/>
        <w:ind w:firstLine="720"/>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部门财政资金支出情况。</w:t>
      </w:r>
    </w:p>
    <w:p>
      <w:pPr>
        <w:snapToGrid w:val="0"/>
        <w:spacing w:line="520" w:lineRule="exact"/>
        <w:ind w:firstLine="640" w:firstLineChars="200"/>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sz w:val="32"/>
          <w:szCs w:val="32"/>
        </w:rPr>
        <w:t>201</w:t>
      </w:r>
      <w:r>
        <w:rPr>
          <w:rFonts w:hint="eastAsia" w:asciiTheme="minorEastAsia" w:hAnsiTheme="minorEastAsia" w:eastAsiaTheme="minorEastAsia" w:cstheme="minorEastAsia"/>
          <w:color w:val="000000"/>
          <w:sz w:val="32"/>
          <w:szCs w:val="32"/>
          <w:lang w:val="en-US" w:eastAsia="zh-CN"/>
        </w:rPr>
        <w:t>8</w:t>
      </w:r>
      <w:r>
        <w:rPr>
          <w:rFonts w:hint="eastAsia" w:asciiTheme="minorEastAsia" w:hAnsiTheme="minorEastAsia" w:eastAsiaTheme="minorEastAsia" w:cstheme="minorEastAsia"/>
          <w:color w:val="000000"/>
          <w:sz w:val="32"/>
          <w:szCs w:val="32"/>
        </w:rPr>
        <w:t>年一般公共预算财政拨款支出</w:t>
      </w:r>
      <w:r>
        <w:rPr>
          <w:rFonts w:hint="eastAsia" w:asciiTheme="minorEastAsia" w:hAnsiTheme="minorEastAsia" w:eastAsiaTheme="minorEastAsia" w:cstheme="minorEastAsia"/>
          <w:color w:val="000000"/>
          <w:sz w:val="32"/>
          <w:szCs w:val="32"/>
          <w:lang w:val="en-US" w:eastAsia="zh-CN"/>
        </w:rPr>
        <w:t>3709.7</w:t>
      </w:r>
      <w:r>
        <w:rPr>
          <w:rFonts w:hint="eastAsia" w:asciiTheme="minorEastAsia" w:hAnsiTheme="minorEastAsia" w:eastAsiaTheme="minorEastAsia" w:cstheme="minorEastAsia"/>
          <w:color w:val="000000"/>
          <w:sz w:val="32"/>
          <w:szCs w:val="32"/>
        </w:rPr>
        <w:t>万元，主要用于以下方面:一般公共服务支出</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%；教育支出</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%；社会保障和就业支出</w:t>
      </w:r>
      <w:r>
        <w:rPr>
          <w:rFonts w:hint="eastAsia" w:asciiTheme="minorEastAsia" w:hAnsiTheme="minorEastAsia" w:eastAsiaTheme="minorEastAsia" w:cstheme="minorEastAsia"/>
          <w:color w:val="000000"/>
          <w:sz w:val="32"/>
          <w:szCs w:val="32"/>
          <w:lang w:val="en-US" w:eastAsia="zh-CN"/>
        </w:rPr>
        <w:t>97.33</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2.7</w:t>
      </w:r>
      <w:r>
        <w:rPr>
          <w:rFonts w:hint="eastAsia" w:asciiTheme="minorEastAsia" w:hAnsiTheme="minorEastAsia" w:eastAsiaTheme="minorEastAsia" w:cstheme="minorEastAsia"/>
          <w:color w:val="000000"/>
          <w:sz w:val="32"/>
          <w:szCs w:val="32"/>
        </w:rPr>
        <w:t>%；医疗卫生支出</w:t>
      </w:r>
      <w:r>
        <w:rPr>
          <w:rFonts w:hint="eastAsia" w:asciiTheme="minorEastAsia" w:hAnsiTheme="minorEastAsia" w:eastAsiaTheme="minorEastAsia" w:cstheme="minorEastAsia"/>
          <w:color w:val="000000"/>
          <w:sz w:val="32"/>
          <w:szCs w:val="32"/>
          <w:lang w:val="en-US" w:eastAsia="zh-CN"/>
        </w:rPr>
        <w:t>14.61</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0.4</w:t>
      </w:r>
      <w:r>
        <w:rPr>
          <w:rFonts w:hint="eastAsia" w:asciiTheme="minorEastAsia" w:hAnsiTheme="minorEastAsia" w:eastAsiaTheme="minorEastAsia" w:cstheme="minorEastAsia"/>
          <w:color w:val="000000"/>
          <w:sz w:val="32"/>
          <w:szCs w:val="32"/>
        </w:rPr>
        <w:t>%；住房保障支出</w:t>
      </w:r>
      <w:r>
        <w:rPr>
          <w:rFonts w:hint="eastAsia" w:asciiTheme="minorEastAsia" w:hAnsiTheme="minorEastAsia" w:eastAsiaTheme="minorEastAsia" w:cstheme="minorEastAsia"/>
          <w:color w:val="000000"/>
          <w:sz w:val="32"/>
          <w:szCs w:val="32"/>
          <w:lang w:val="en-US" w:eastAsia="zh-CN"/>
        </w:rPr>
        <w:t>34.69</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0.9</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节能环保支出</w:t>
      </w:r>
      <w:r>
        <w:rPr>
          <w:rFonts w:hint="eastAsia" w:asciiTheme="minorEastAsia" w:hAnsiTheme="minorEastAsia" w:eastAsiaTheme="minorEastAsia" w:cstheme="minorEastAsia"/>
          <w:color w:val="000000"/>
          <w:sz w:val="32"/>
          <w:szCs w:val="32"/>
          <w:lang w:val="en-US" w:eastAsia="zh-CN"/>
        </w:rPr>
        <w:t>24万元，占0.6%；</w:t>
      </w:r>
      <w:r>
        <w:rPr>
          <w:rFonts w:hint="eastAsia" w:asciiTheme="minorEastAsia" w:hAnsiTheme="minorEastAsia" w:eastAsiaTheme="minorEastAsia" w:cstheme="minorEastAsia"/>
          <w:color w:val="000000"/>
          <w:sz w:val="32"/>
          <w:szCs w:val="32"/>
          <w:lang w:eastAsia="zh-CN"/>
        </w:rPr>
        <w:t>交通运输支出</w:t>
      </w:r>
      <w:r>
        <w:rPr>
          <w:rFonts w:hint="eastAsia" w:asciiTheme="minorEastAsia" w:hAnsiTheme="minorEastAsia" w:eastAsiaTheme="minorEastAsia" w:cstheme="minorEastAsia"/>
          <w:color w:val="000000"/>
          <w:sz w:val="32"/>
          <w:szCs w:val="32"/>
          <w:lang w:val="en-US" w:eastAsia="zh-CN"/>
        </w:rPr>
        <w:t>3404万元，占91.8%，农林水支出135万元，占3.6%</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eastAsia="zh-CN"/>
        </w:rPr>
        <w:t>年末结转和结余资金</w:t>
      </w:r>
      <w:r>
        <w:rPr>
          <w:rFonts w:hint="eastAsia" w:asciiTheme="minorEastAsia" w:hAnsiTheme="minorEastAsia" w:eastAsiaTheme="minorEastAsia" w:cstheme="minorEastAsia"/>
          <w:color w:val="000000"/>
          <w:sz w:val="32"/>
          <w:szCs w:val="32"/>
          <w:lang w:val="en-US" w:eastAsia="zh-CN"/>
        </w:rPr>
        <w:t>3454.77万元，总计7164.47万元。</w:t>
      </w:r>
    </w:p>
    <w:p>
      <w:pPr>
        <w:widowControl/>
        <w:adjustRightInd w:val="0"/>
        <w:snapToGrid w:val="0"/>
        <w:spacing w:line="540" w:lineRule="exact"/>
        <w:ind w:firstLine="720"/>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三、部门财政支出管理情况</w:t>
      </w:r>
    </w:p>
    <w:p>
      <w:pPr>
        <w:widowControl/>
        <w:adjustRightInd w:val="0"/>
        <w:snapToGrid w:val="0"/>
        <w:spacing w:line="540" w:lineRule="exact"/>
        <w:ind w:firstLine="72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color w:val="000000"/>
          <w:kern w:val="0"/>
          <w:sz w:val="32"/>
          <w:szCs w:val="32"/>
          <w:shd w:val="clear" w:color="auto" w:fill="FFFFFF"/>
          <w:lang w:val="zh-CN"/>
        </w:rPr>
        <w:t>（一）预决算编制情况。</w:t>
      </w:r>
    </w:p>
    <w:p>
      <w:pPr>
        <w:numPr>
          <w:ilvl w:val="0"/>
          <w:numId w:val="0"/>
        </w:numPr>
        <w:ind w:firstLine="640" w:firstLineChars="200"/>
        <w:jc w:val="left"/>
        <w:rPr>
          <w:rFonts w:hint="eastAsia" w:ascii="仿宋_GB2312" w:eastAsia="仿宋_GB2312" w:cs="仿宋_GB2312"/>
          <w:b w:val="0"/>
          <w:bCs/>
          <w:color w:val="000000"/>
          <w:spacing w:val="-34"/>
          <w:kern w:val="0"/>
          <w:sz w:val="28"/>
          <w:szCs w:val="28"/>
        </w:rPr>
      </w:pPr>
      <w:r>
        <w:rPr>
          <w:rFonts w:hint="eastAsia" w:asciiTheme="minorEastAsia" w:hAnsiTheme="minorEastAsia" w:eastAsiaTheme="minorEastAsia" w:cstheme="minorEastAsia"/>
          <w:b w:val="0"/>
          <w:bCs/>
          <w:color w:val="000000"/>
          <w:kern w:val="0"/>
          <w:sz w:val="32"/>
          <w:szCs w:val="32"/>
          <w:lang w:val="en-US" w:eastAsia="zh-CN"/>
        </w:rPr>
        <w:t xml:space="preserve"> </w:t>
      </w:r>
      <w:r>
        <w:rPr>
          <w:rFonts w:hint="eastAsia" w:asciiTheme="minorEastAsia" w:hAnsiTheme="minorEastAsia" w:eastAsiaTheme="minorEastAsia" w:cstheme="minorEastAsia"/>
          <w:b w:val="0"/>
          <w:bCs/>
          <w:color w:val="000000"/>
          <w:kern w:val="0"/>
          <w:sz w:val="32"/>
          <w:szCs w:val="32"/>
        </w:rPr>
        <w:t>仁和区交通运输局财政拨款人员情况：在职人员总数2</w:t>
      </w:r>
      <w:r>
        <w:rPr>
          <w:rFonts w:hint="eastAsia" w:asciiTheme="minorEastAsia" w:hAnsiTheme="minorEastAsia" w:eastAsiaTheme="minorEastAsia" w:cstheme="minorEastAsia"/>
          <w:b w:val="0"/>
          <w:bCs/>
          <w:color w:val="000000"/>
          <w:kern w:val="0"/>
          <w:sz w:val="32"/>
          <w:szCs w:val="32"/>
          <w:lang w:val="en-US" w:eastAsia="zh-CN"/>
        </w:rPr>
        <w:t>2</w:t>
      </w:r>
      <w:r>
        <w:rPr>
          <w:rFonts w:hint="eastAsia" w:asciiTheme="minorEastAsia" w:hAnsiTheme="minorEastAsia" w:eastAsiaTheme="minorEastAsia" w:cstheme="minorEastAsia"/>
          <w:b w:val="0"/>
          <w:bCs/>
          <w:color w:val="000000"/>
          <w:kern w:val="0"/>
          <w:sz w:val="32"/>
          <w:szCs w:val="32"/>
        </w:rPr>
        <w:t>人</w:t>
      </w:r>
      <w:r>
        <w:rPr>
          <w:rFonts w:hint="eastAsia" w:asciiTheme="minorEastAsia" w:hAnsiTheme="minorEastAsia" w:eastAsiaTheme="minorEastAsia" w:cstheme="minorEastAsia"/>
          <w:b w:val="0"/>
          <w:bCs/>
          <w:color w:val="000000"/>
          <w:spacing w:val="-51"/>
          <w:kern w:val="0"/>
          <w:sz w:val="32"/>
          <w:szCs w:val="32"/>
        </w:rPr>
        <w:t>。</w:t>
      </w:r>
      <w:r>
        <w:rPr>
          <w:rFonts w:hint="eastAsia" w:asciiTheme="minorEastAsia" w:hAnsiTheme="minorEastAsia" w:eastAsiaTheme="minorEastAsia" w:cstheme="minorEastAsia"/>
          <w:b w:val="0"/>
          <w:bCs/>
          <w:color w:val="000000"/>
          <w:kern w:val="0"/>
          <w:sz w:val="32"/>
          <w:szCs w:val="32"/>
        </w:rPr>
        <w:t>其中</w:t>
      </w:r>
      <w:r>
        <w:rPr>
          <w:rFonts w:hint="eastAsia" w:asciiTheme="minorEastAsia" w:hAnsiTheme="minorEastAsia" w:eastAsiaTheme="minorEastAsia" w:cstheme="minorEastAsia"/>
          <w:b w:val="0"/>
          <w:bCs/>
          <w:color w:val="000000"/>
          <w:spacing w:val="-51"/>
          <w:kern w:val="0"/>
          <w:sz w:val="32"/>
          <w:szCs w:val="32"/>
        </w:rPr>
        <w:t>：</w:t>
      </w:r>
      <w:r>
        <w:rPr>
          <w:rFonts w:hint="eastAsia" w:asciiTheme="minorEastAsia" w:hAnsiTheme="minorEastAsia" w:eastAsiaTheme="minorEastAsia" w:cstheme="minorEastAsia"/>
          <w:b w:val="0"/>
          <w:bCs/>
          <w:color w:val="000000"/>
          <w:kern w:val="0"/>
          <w:sz w:val="32"/>
          <w:szCs w:val="32"/>
        </w:rPr>
        <w:t>行政人员</w:t>
      </w:r>
      <w:r>
        <w:rPr>
          <w:rFonts w:hint="eastAsia" w:asciiTheme="minorEastAsia" w:hAnsiTheme="minorEastAsia" w:eastAsiaTheme="minorEastAsia" w:cstheme="minorEastAsia"/>
          <w:b w:val="0"/>
          <w:bCs/>
          <w:color w:val="000000"/>
          <w:kern w:val="0"/>
          <w:sz w:val="32"/>
          <w:szCs w:val="32"/>
          <w:lang w:val="en-US" w:eastAsia="zh-CN"/>
        </w:rPr>
        <w:t>9</w:t>
      </w:r>
      <w:r>
        <w:rPr>
          <w:rFonts w:hint="eastAsia" w:asciiTheme="minorEastAsia" w:hAnsiTheme="minorEastAsia" w:eastAsiaTheme="minorEastAsia" w:cstheme="minorEastAsia"/>
          <w:b w:val="0"/>
          <w:bCs/>
          <w:color w:val="000000"/>
          <w:kern w:val="0"/>
          <w:sz w:val="32"/>
          <w:szCs w:val="32"/>
        </w:rPr>
        <w:t>人</w:t>
      </w:r>
      <w:r>
        <w:rPr>
          <w:rFonts w:hint="eastAsia" w:asciiTheme="minorEastAsia" w:hAnsiTheme="minorEastAsia" w:eastAsiaTheme="minorEastAsia" w:cstheme="minorEastAsia"/>
          <w:b w:val="0"/>
          <w:bCs/>
          <w:color w:val="000000"/>
          <w:spacing w:val="-51"/>
          <w:kern w:val="0"/>
          <w:sz w:val="32"/>
          <w:szCs w:val="32"/>
        </w:rPr>
        <w:t>、</w:t>
      </w:r>
      <w:r>
        <w:rPr>
          <w:rFonts w:hint="eastAsia" w:asciiTheme="minorEastAsia" w:hAnsiTheme="minorEastAsia" w:eastAsiaTheme="minorEastAsia" w:cstheme="minorEastAsia"/>
          <w:b w:val="0"/>
          <w:bCs/>
          <w:color w:val="000000"/>
          <w:spacing w:val="-34"/>
          <w:kern w:val="0"/>
          <w:sz w:val="32"/>
          <w:szCs w:val="32"/>
        </w:rPr>
        <w:t>编内聘用人员</w:t>
      </w:r>
      <w:r>
        <w:rPr>
          <w:rFonts w:hint="eastAsia" w:asciiTheme="minorEastAsia" w:hAnsiTheme="minorEastAsia" w:eastAsiaTheme="minorEastAsia" w:cstheme="minorEastAsia"/>
          <w:b w:val="0"/>
          <w:bCs/>
          <w:color w:val="000000"/>
          <w:kern w:val="0"/>
          <w:sz w:val="32"/>
          <w:szCs w:val="32"/>
        </w:rPr>
        <w:t>1人、事业参</w:t>
      </w:r>
      <w:r>
        <w:rPr>
          <w:rFonts w:hint="eastAsia" w:asciiTheme="minorEastAsia" w:hAnsiTheme="minorEastAsia" w:eastAsiaTheme="minorEastAsia" w:cstheme="minorEastAsia"/>
          <w:b w:val="0"/>
          <w:bCs/>
          <w:color w:val="000000"/>
          <w:kern w:val="0"/>
          <w:sz w:val="32"/>
          <w:szCs w:val="32"/>
          <w:lang w:eastAsia="zh-CN"/>
        </w:rPr>
        <w:t>公</w:t>
      </w:r>
      <w:r>
        <w:rPr>
          <w:rFonts w:hint="eastAsia" w:asciiTheme="minorEastAsia" w:hAnsiTheme="minorEastAsia" w:eastAsiaTheme="minorEastAsia" w:cstheme="minorEastAsia"/>
          <w:b w:val="0"/>
          <w:bCs/>
          <w:color w:val="000000"/>
          <w:kern w:val="0"/>
          <w:sz w:val="32"/>
          <w:szCs w:val="32"/>
        </w:rPr>
        <w:t>人员9人</w:t>
      </w:r>
      <w:r>
        <w:rPr>
          <w:rFonts w:hint="eastAsia" w:asciiTheme="minorEastAsia" w:hAnsiTheme="minorEastAsia" w:eastAsiaTheme="minorEastAsia" w:cstheme="minorEastAsia"/>
          <w:b w:val="0"/>
          <w:bCs/>
          <w:color w:val="000000"/>
          <w:spacing w:val="-34"/>
          <w:kern w:val="0"/>
          <w:sz w:val="32"/>
          <w:szCs w:val="32"/>
        </w:rPr>
        <w:t>、</w:t>
      </w:r>
      <w:r>
        <w:rPr>
          <w:rFonts w:hint="eastAsia" w:asciiTheme="minorEastAsia" w:hAnsiTheme="minorEastAsia" w:eastAsiaTheme="minorEastAsia" w:cstheme="minorEastAsia"/>
          <w:b w:val="0"/>
          <w:bCs/>
          <w:color w:val="000000"/>
          <w:spacing w:val="-34"/>
          <w:kern w:val="0"/>
          <w:sz w:val="32"/>
          <w:szCs w:val="32"/>
          <w:lang w:eastAsia="zh-CN"/>
        </w:rPr>
        <w:t>工勤人员</w:t>
      </w:r>
      <w:r>
        <w:rPr>
          <w:rFonts w:hint="eastAsia" w:asciiTheme="minorEastAsia" w:hAnsiTheme="minorEastAsia" w:eastAsiaTheme="minorEastAsia" w:cstheme="minorEastAsia"/>
          <w:b w:val="0"/>
          <w:bCs/>
          <w:color w:val="000000"/>
          <w:spacing w:val="-34"/>
          <w:kern w:val="0"/>
          <w:sz w:val="32"/>
          <w:szCs w:val="32"/>
        </w:rPr>
        <w:t>1人、事业编</w:t>
      </w:r>
      <w:r>
        <w:rPr>
          <w:rFonts w:hint="eastAsia" w:asciiTheme="minorEastAsia" w:hAnsiTheme="minorEastAsia" w:eastAsiaTheme="minorEastAsia" w:cstheme="minorEastAsia"/>
          <w:b w:val="0"/>
          <w:bCs/>
          <w:color w:val="000000"/>
          <w:spacing w:val="-34"/>
          <w:kern w:val="0"/>
          <w:sz w:val="32"/>
          <w:szCs w:val="32"/>
          <w:lang w:val="en-US" w:eastAsia="zh-CN"/>
        </w:rPr>
        <w:t>2</w:t>
      </w:r>
      <w:r>
        <w:rPr>
          <w:rFonts w:hint="eastAsia" w:asciiTheme="minorEastAsia" w:hAnsiTheme="minorEastAsia" w:eastAsiaTheme="minorEastAsia" w:cstheme="minorEastAsia"/>
          <w:b w:val="0"/>
          <w:bCs/>
          <w:color w:val="000000"/>
          <w:spacing w:val="-34"/>
          <w:kern w:val="0"/>
          <w:sz w:val="32"/>
          <w:szCs w:val="32"/>
        </w:rPr>
        <w:t>人。行政</w:t>
      </w:r>
      <w:r>
        <w:rPr>
          <w:rFonts w:hint="eastAsia" w:asciiTheme="minorEastAsia" w:hAnsiTheme="minorEastAsia" w:eastAsiaTheme="minorEastAsia" w:cstheme="minorEastAsia"/>
          <w:b w:val="0"/>
          <w:bCs/>
          <w:color w:val="000000"/>
          <w:kern w:val="0"/>
          <w:sz w:val="32"/>
          <w:szCs w:val="32"/>
        </w:rPr>
        <w:t>退休人员1</w:t>
      </w:r>
      <w:r>
        <w:rPr>
          <w:rFonts w:hint="eastAsia" w:asciiTheme="minorEastAsia" w:hAnsiTheme="minorEastAsia" w:eastAsiaTheme="minorEastAsia" w:cstheme="minorEastAsia"/>
          <w:b w:val="0"/>
          <w:bCs/>
          <w:color w:val="000000"/>
          <w:kern w:val="0"/>
          <w:sz w:val="32"/>
          <w:szCs w:val="32"/>
          <w:lang w:val="en-US" w:eastAsia="zh-CN"/>
        </w:rPr>
        <w:t>2</w:t>
      </w:r>
      <w:r>
        <w:rPr>
          <w:rFonts w:hint="eastAsia" w:asciiTheme="minorEastAsia" w:hAnsiTheme="minorEastAsia" w:eastAsiaTheme="minorEastAsia" w:cstheme="minorEastAsia"/>
          <w:b w:val="0"/>
          <w:bCs/>
          <w:color w:val="000000"/>
          <w:kern w:val="0"/>
          <w:sz w:val="32"/>
          <w:szCs w:val="32"/>
        </w:rPr>
        <w:t>人</w:t>
      </w:r>
      <w:r>
        <w:rPr>
          <w:rFonts w:hint="eastAsia" w:asciiTheme="minorEastAsia" w:hAnsiTheme="minorEastAsia" w:eastAsiaTheme="minorEastAsia" w:cstheme="minorEastAsia"/>
          <w:b w:val="0"/>
          <w:bCs/>
          <w:color w:val="000000"/>
          <w:spacing w:val="-34"/>
          <w:kern w:val="0"/>
          <w:sz w:val="32"/>
          <w:szCs w:val="32"/>
        </w:rPr>
        <w:t>。</w:t>
      </w:r>
      <w:r>
        <w:rPr>
          <w:rFonts w:hint="eastAsia" w:asciiTheme="minorEastAsia" w:hAnsiTheme="minorEastAsia" w:eastAsiaTheme="minorEastAsia" w:cstheme="minorEastAsia"/>
          <w:b w:val="0"/>
          <w:bCs/>
          <w:color w:val="000000"/>
          <w:kern w:val="0"/>
          <w:sz w:val="32"/>
          <w:szCs w:val="32"/>
        </w:rPr>
        <w:t>汽</w:t>
      </w:r>
      <w:r>
        <w:rPr>
          <w:rFonts w:hint="eastAsia" w:asciiTheme="minorEastAsia" w:hAnsiTheme="minorEastAsia" w:eastAsiaTheme="minorEastAsia" w:cstheme="minorEastAsia"/>
          <w:b w:val="0"/>
          <w:bCs/>
          <w:color w:val="000000"/>
          <w:kern w:val="0"/>
          <w:sz w:val="32"/>
          <w:szCs w:val="32"/>
          <w:lang w:eastAsia="zh-CN"/>
        </w:rPr>
        <w:t>车</w:t>
      </w:r>
      <w:r>
        <w:rPr>
          <w:rFonts w:hint="eastAsia" w:asciiTheme="minorEastAsia" w:hAnsiTheme="minorEastAsia" w:eastAsiaTheme="minorEastAsia" w:cstheme="minorEastAsia"/>
          <w:b w:val="0"/>
          <w:bCs/>
          <w:color w:val="000000"/>
          <w:kern w:val="0"/>
          <w:sz w:val="32"/>
          <w:szCs w:val="32"/>
          <w:lang w:val="en-US" w:eastAsia="zh-CN"/>
        </w:rPr>
        <w:t>3</w:t>
      </w:r>
      <w:r>
        <w:rPr>
          <w:rFonts w:hint="eastAsia" w:asciiTheme="minorEastAsia" w:hAnsiTheme="minorEastAsia" w:eastAsiaTheme="minorEastAsia" w:cstheme="minorEastAsia"/>
          <w:b w:val="0"/>
          <w:bCs/>
          <w:color w:val="000000"/>
          <w:kern w:val="0"/>
          <w:sz w:val="32"/>
          <w:szCs w:val="32"/>
        </w:rPr>
        <w:t>辆</w:t>
      </w:r>
      <w:r>
        <w:rPr>
          <w:rFonts w:hint="eastAsia" w:asciiTheme="minorEastAsia" w:hAnsiTheme="minorEastAsia" w:eastAsiaTheme="minorEastAsia" w:cstheme="minorEastAsia"/>
          <w:b w:val="0"/>
          <w:bCs/>
          <w:color w:val="000000"/>
          <w:spacing w:val="-34"/>
          <w:kern w:val="0"/>
          <w:sz w:val="32"/>
          <w:szCs w:val="32"/>
        </w:rPr>
        <w:t>。</w:t>
      </w:r>
      <w:r>
        <w:rPr>
          <w:rFonts w:hint="eastAsia" w:asciiTheme="minorEastAsia" w:hAnsiTheme="minorEastAsia" w:eastAsiaTheme="minorEastAsia" w:cstheme="minorEastAsia"/>
          <w:b w:val="0"/>
          <w:bCs/>
          <w:color w:val="000000"/>
          <w:kern w:val="0"/>
          <w:sz w:val="32"/>
          <w:szCs w:val="32"/>
        </w:rPr>
        <w:t>办公固定电话10部</w:t>
      </w:r>
      <w:r>
        <w:rPr>
          <w:rFonts w:hint="eastAsia" w:asciiTheme="minorEastAsia" w:hAnsiTheme="minorEastAsia" w:eastAsiaTheme="minorEastAsia" w:cstheme="minorEastAsia"/>
          <w:b w:val="0"/>
          <w:bCs/>
          <w:color w:val="000000"/>
          <w:spacing w:val="-34"/>
          <w:kern w:val="0"/>
          <w:sz w:val="32"/>
          <w:szCs w:val="32"/>
        </w:rPr>
        <w:t>。</w:t>
      </w:r>
    </w:p>
    <w:p>
      <w:pPr>
        <w:autoSpaceDE w:val="0"/>
        <w:autoSpaceDN w:val="0"/>
        <w:spacing w:line="561" w:lineRule="exact"/>
        <w:ind w:right="48" w:firstLine="555"/>
        <w:jc w:val="left"/>
        <w:rPr>
          <w:rFonts w:hint="eastAsia" w:asciiTheme="minorEastAsia" w:hAnsiTheme="minorEastAsia" w:eastAsiaTheme="minorEastAsia" w:cstheme="minorEastAsia"/>
          <w:b w:val="0"/>
          <w:bCs/>
          <w:color w:val="000000"/>
          <w:spacing w:val="-2"/>
          <w:kern w:val="0"/>
          <w:sz w:val="32"/>
          <w:szCs w:val="32"/>
        </w:rPr>
      </w:pPr>
      <w:r>
        <w:rPr>
          <w:rFonts w:hint="eastAsia" w:asciiTheme="minorEastAsia" w:hAnsiTheme="minorEastAsia" w:eastAsiaTheme="minorEastAsia" w:cstheme="minorEastAsia"/>
          <w:b w:val="0"/>
          <w:bCs/>
          <w:color w:val="000000"/>
          <w:kern w:val="0"/>
          <w:sz w:val="32"/>
          <w:szCs w:val="32"/>
        </w:rPr>
        <w:t>根</w:t>
      </w:r>
      <w:r>
        <w:rPr>
          <w:rFonts w:hint="eastAsia" w:asciiTheme="minorEastAsia" w:hAnsiTheme="minorEastAsia" w:eastAsiaTheme="minorEastAsia" w:cstheme="minorEastAsia"/>
          <w:b w:val="0"/>
          <w:bCs/>
          <w:color w:val="000000"/>
          <w:spacing w:val="-2"/>
          <w:kern w:val="0"/>
          <w:sz w:val="32"/>
          <w:szCs w:val="32"/>
        </w:rPr>
        <w:t>据攀仁财[201</w:t>
      </w:r>
      <w:r>
        <w:rPr>
          <w:rFonts w:hint="eastAsia" w:asciiTheme="minorEastAsia" w:hAnsiTheme="minorEastAsia" w:eastAsiaTheme="minorEastAsia" w:cstheme="minorEastAsia"/>
          <w:b w:val="0"/>
          <w:bCs/>
          <w:color w:val="000000"/>
          <w:spacing w:val="-2"/>
          <w:kern w:val="0"/>
          <w:sz w:val="32"/>
          <w:szCs w:val="32"/>
          <w:lang w:val="en-US" w:eastAsia="zh-CN"/>
        </w:rPr>
        <w:t>7</w:t>
      </w:r>
      <w:r>
        <w:rPr>
          <w:rFonts w:hint="eastAsia" w:asciiTheme="minorEastAsia" w:hAnsiTheme="minorEastAsia" w:eastAsiaTheme="minorEastAsia" w:cstheme="minorEastAsia"/>
          <w:b w:val="0"/>
          <w:bCs/>
          <w:color w:val="000000"/>
          <w:spacing w:val="-2"/>
          <w:kern w:val="0"/>
          <w:sz w:val="32"/>
          <w:szCs w:val="32"/>
        </w:rPr>
        <w:t>]</w:t>
      </w:r>
      <w:r>
        <w:rPr>
          <w:rFonts w:hint="eastAsia" w:asciiTheme="minorEastAsia" w:hAnsiTheme="minorEastAsia" w:eastAsiaTheme="minorEastAsia" w:cstheme="minorEastAsia"/>
          <w:b w:val="0"/>
          <w:bCs/>
          <w:color w:val="000000"/>
          <w:spacing w:val="-2"/>
          <w:kern w:val="0"/>
          <w:sz w:val="32"/>
          <w:szCs w:val="32"/>
          <w:lang w:val="en-US" w:eastAsia="zh-CN"/>
        </w:rPr>
        <w:t xml:space="preserve"> 228</w:t>
      </w:r>
      <w:r>
        <w:rPr>
          <w:rFonts w:hint="eastAsia" w:asciiTheme="minorEastAsia" w:hAnsiTheme="minorEastAsia" w:eastAsiaTheme="minorEastAsia" w:cstheme="minorEastAsia"/>
          <w:b w:val="0"/>
          <w:bCs/>
          <w:color w:val="000000"/>
          <w:spacing w:val="-2"/>
          <w:kern w:val="0"/>
          <w:sz w:val="32"/>
          <w:szCs w:val="32"/>
        </w:rPr>
        <w:t>号文件</w:t>
      </w:r>
      <w:r>
        <w:rPr>
          <w:rFonts w:hint="eastAsia" w:asciiTheme="minorEastAsia" w:hAnsiTheme="minorEastAsia" w:eastAsiaTheme="minorEastAsia" w:cstheme="minorEastAsia"/>
          <w:b w:val="0"/>
          <w:bCs/>
          <w:color w:val="000000"/>
          <w:kern w:val="0"/>
          <w:sz w:val="32"/>
          <w:szCs w:val="32"/>
        </w:rPr>
        <w:t>《关于编制201</w:t>
      </w:r>
      <w:r>
        <w:rPr>
          <w:rFonts w:hint="eastAsia" w:asciiTheme="minorEastAsia" w:hAnsiTheme="minorEastAsia" w:eastAsiaTheme="minorEastAsia" w:cstheme="minorEastAsia"/>
          <w:b w:val="0"/>
          <w:bCs/>
          <w:color w:val="000000"/>
          <w:kern w:val="0"/>
          <w:sz w:val="32"/>
          <w:szCs w:val="32"/>
          <w:lang w:val="en-US" w:eastAsia="zh-CN"/>
        </w:rPr>
        <w:t>8</w:t>
      </w:r>
      <w:r>
        <w:rPr>
          <w:rFonts w:hint="eastAsia" w:asciiTheme="minorEastAsia" w:hAnsiTheme="minorEastAsia" w:eastAsiaTheme="minorEastAsia" w:cstheme="minorEastAsia"/>
          <w:b w:val="0"/>
          <w:bCs/>
          <w:color w:val="000000"/>
          <w:kern w:val="0"/>
          <w:sz w:val="32"/>
          <w:szCs w:val="32"/>
        </w:rPr>
        <w:t>年区本级部门预算的通知</w:t>
      </w:r>
      <w:r>
        <w:rPr>
          <w:rFonts w:hint="eastAsia" w:asciiTheme="minorEastAsia" w:hAnsiTheme="minorEastAsia" w:eastAsiaTheme="minorEastAsia" w:cstheme="minorEastAsia"/>
          <w:b w:val="0"/>
          <w:bCs/>
          <w:color w:val="000000"/>
          <w:spacing w:val="-2"/>
          <w:kern w:val="0"/>
          <w:sz w:val="32"/>
          <w:szCs w:val="32"/>
        </w:rPr>
        <w:t>》</w:t>
      </w:r>
      <w:r>
        <w:rPr>
          <w:rFonts w:hint="eastAsia" w:asciiTheme="minorEastAsia" w:hAnsiTheme="minorEastAsia" w:eastAsiaTheme="minorEastAsia" w:cstheme="minorEastAsia"/>
          <w:b w:val="0"/>
          <w:bCs/>
          <w:color w:val="000000"/>
          <w:kern w:val="0"/>
          <w:sz w:val="32"/>
          <w:szCs w:val="32"/>
        </w:rPr>
        <w:t>以及交通部</w:t>
      </w:r>
      <w:r>
        <w:rPr>
          <w:rFonts w:hint="eastAsia" w:asciiTheme="minorEastAsia" w:hAnsiTheme="minorEastAsia" w:eastAsiaTheme="minorEastAsia" w:cstheme="minorEastAsia"/>
          <w:b w:val="0"/>
          <w:bCs/>
          <w:color w:val="000000"/>
          <w:spacing w:val="-42"/>
          <w:kern w:val="0"/>
          <w:sz w:val="32"/>
          <w:szCs w:val="32"/>
        </w:rPr>
        <w:t>、</w:t>
      </w:r>
      <w:r>
        <w:rPr>
          <w:rFonts w:hint="eastAsia" w:asciiTheme="minorEastAsia" w:hAnsiTheme="minorEastAsia" w:eastAsiaTheme="minorEastAsia" w:cstheme="minorEastAsia"/>
          <w:b w:val="0"/>
          <w:bCs/>
          <w:color w:val="000000"/>
          <w:kern w:val="0"/>
          <w:sz w:val="32"/>
          <w:szCs w:val="32"/>
        </w:rPr>
        <w:t>省交通厅和区委</w:t>
      </w:r>
      <w:r>
        <w:rPr>
          <w:rFonts w:hint="eastAsia" w:asciiTheme="minorEastAsia" w:hAnsiTheme="minorEastAsia" w:eastAsiaTheme="minorEastAsia" w:cstheme="minorEastAsia"/>
          <w:b w:val="0"/>
          <w:bCs/>
          <w:color w:val="000000"/>
          <w:spacing w:val="-42"/>
          <w:kern w:val="0"/>
          <w:sz w:val="32"/>
          <w:szCs w:val="32"/>
        </w:rPr>
        <w:t>、</w:t>
      </w:r>
      <w:r>
        <w:rPr>
          <w:rFonts w:hint="eastAsia" w:asciiTheme="minorEastAsia" w:hAnsiTheme="minorEastAsia" w:eastAsiaTheme="minorEastAsia" w:cstheme="minorEastAsia"/>
          <w:b w:val="0"/>
          <w:bCs/>
          <w:color w:val="000000"/>
          <w:kern w:val="0"/>
          <w:sz w:val="32"/>
          <w:szCs w:val="32"/>
        </w:rPr>
        <w:t>区政府的要求</w:t>
      </w:r>
      <w:r>
        <w:rPr>
          <w:rFonts w:hint="eastAsia" w:asciiTheme="minorEastAsia" w:hAnsiTheme="minorEastAsia" w:eastAsiaTheme="minorEastAsia" w:cstheme="minorEastAsia"/>
          <w:b w:val="0"/>
          <w:bCs/>
          <w:color w:val="000000"/>
          <w:spacing w:val="-42"/>
          <w:kern w:val="0"/>
          <w:sz w:val="32"/>
          <w:szCs w:val="32"/>
        </w:rPr>
        <w:t>，</w:t>
      </w:r>
      <w:r>
        <w:rPr>
          <w:rFonts w:hint="eastAsia" w:asciiTheme="minorEastAsia" w:hAnsiTheme="minorEastAsia" w:eastAsiaTheme="minorEastAsia" w:cstheme="minorEastAsia"/>
          <w:b w:val="0"/>
          <w:bCs/>
          <w:color w:val="000000"/>
          <w:kern w:val="0"/>
          <w:sz w:val="32"/>
          <w:szCs w:val="32"/>
        </w:rPr>
        <w:t>按照科学论证</w:t>
      </w:r>
      <w:r>
        <w:rPr>
          <w:rFonts w:hint="eastAsia" w:asciiTheme="minorEastAsia" w:hAnsiTheme="minorEastAsia" w:eastAsiaTheme="minorEastAsia" w:cstheme="minorEastAsia"/>
          <w:b w:val="0"/>
          <w:bCs/>
          <w:color w:val="000000"/>
          <w:spacing w:val="-42"/>
          <w:kern w:val="0"/>
          <w:sz w:val="32"/>
          <w:szCs w:val="32"/>
        </w:rPr>
        <w:t>、</w:t>
      </w:r>
      <w:r>
        <w:rPr>
          <w:rFonts w:hint="eastAsia" w:asciiTheme="minorEastAsia" w:hAnsiTheme="minorEastAsia" w:eastAsiaTheme="minorEastAsia" w:cstheme="minorEastAsia"/>
          <w:b w:val="0"/>
          <w:bCs/>
          <w:color w:val="000000"/>
          <w:kern w:val="0"/>
          <w:sz w:val="32"/>
          <w:szCs w:val="32"/>
        </w:rPr>
        <w:t>合理排序的原则</w:t>
      </w:r>
      <w:r>
        <w:rPr>
          <w:rFonts w:hint="eastAsia" w:asciiTheme="minorEastAsia" w:hAnsiTheme="minorEastAsia" w:eastAsiaTheme="minorEastAsia" w:cstheme="minorEastAsia"/>
          <w:b w:val="0"/>
          <w:bCs/>
          <w:color w:val="000000"/>
          <w:spacing w:val="-56"/>
          <w:kern w:val="0"/>
          <w:sz w:val="32"/>
          <w:szCs w:val="32"/>
        </w:rPr>
        <w:t>，</w:t>
      </w:r>
      <w:r>
        <w:rPr>
          <w:rFonts w:hint="eastAsia" w:asciiTheme="minorEastAsia" w:hAnsiTheme="minorEastAsia" w:eastAsiaTheme="minorEastAsia" w:cstheme="minorEastAsia"/>
          <w:b w:val="0"/>
          <w:bCs/>
          <w:color w:val="000000"/>
          <w:kern w:val="0"/>
          <w:sz w:val="32"/>
          <w:szCs w:val="32"/>
        </w:rPr>
        <w:t>结合201</w:t>
      </w:r>
      <w:r>
        <w:rPr>
          <w:rFonts w:hint="eastAsia" w:asciiTheme="minorEastAsia" w:hAnsiTheme="minorEastAsia" w:eastAsiaTheme="minorEastAsia" w:cstheme="minorEastAsia"/>
          <w:b w:val="0"/>
          <w:bCs/>
          <w:color w:val="000000"/>
          <w:kern w:val="0"/>
          <w:sz w:val="32"/>
          <w:szCs w:val="32"/>
          <w:lang w:val="en-US" w:eastAsia="zh-CN"/>
        </w:rPr>
        <w:t>8</w:t>
      </w:r>
      <w:r>
        <w:rPr>
          <w:rFonts w:hint="eastAsia" w:asciiTheme="minorEastAsia" w:hAnsiTheme="minorEastAsia" w:eastAsiaTheme="minorEastAsia" w:cstheme="minorEastAsia"/>
          <w:b w:val="0"/>
          <w:bCs/>
          <w:color w:val="000000"/>
          <w:kern w:val="0"/>
          <w:sz w:val="32"/>
          <w:szCs w:val="32"/>
        </w:rPr>
        <w:t>年交通工作计划</w:t>
      </w:r>
      <w:r>
        <w:rPr>
          <w:rFonts w:hint="eastAsia" w:asciiTheme="minorEastAsia" w:hAnsiTheme="minorEastAsia" w:eastAsiaTheme="minorEastAsia" w:cstheme="minorEastAsia"/>
          <w:b w:val="0"/>
          <w:bCs/>
          <w:color w:val="000000"/>
          <w:spacing w:val="-56"/>
          <w:kern w:val="0"/>
          <w:sz w:val="32"/>
          <w:szCs w:val="32"/>
        </w:rPr>
        <w:t>，</w:t>
      </w:r>
      <w:r>
        <w:rPr>
          <w:rFonts w:hint="eastAsia" w:asciiTheme="minorEastAsia" w:hAnsiTheme="minorEastAsia" w:eastAsiaTheme="minorEastAsia" w:cstheme="minorEastAsia"/>
          <w:b w:val="0"/>
          <w:bCs/>
          <w:color w:val="000000"/>
          <w:kern w:val="0"/>
          <w:sz w:val="32"/>
          <w:szCs w:val="32"/>
        </w:rPr>
        <w:t>在充分考虑区级财力的基础上</w:t>
      </w:r>
      <w:r>
        <w:rPr>
          <w:rFonts w:hint="eastAsia" w:asciiTheme="minorEastAsia" w:hAnsiTheme="minorEastAsia" w:eastAsiaTheme="minorEastAsia" w:cstheme="minorEastAsia"/>
          <w:b w:val="0"/>
          <w:bCs/>
          <w:color w:val="000000"/>
          <w:spacing w:val="-56"/>
          <w:kern w:val="0"/>
          <w:sz w:val="32"/>
          <w:szCs w:val="32"/>
        </w:rPr>
        <w:t>，</w:t>
      </w:r>
      <w:r>
        <w:rPr>
          <w:rFonts w:hint="eastAsia" w:asciiTheme="minorEastAsia" w:hAnsiTheme="minorEastAsia" w:eastAsiaTheme="minorEastAsia" w:cstheme="minorEastAsia"/>
          <w:b w:val="0"/>
          <w:bCs/>
          <w:color w:val="000000"/>
          <w:kern w:val="0"/>
          <w:sz w:val="32"/>
          <w:szCs w:val="32"/>
        </w:rPr>
        <w:t>采取人员经费按标准</w:t>
      </w:r>
      <w:r>
        <w:rPr>
          <w:rFonts w:hint="eastAsia" w:asciiTheme="minorEastAsia" w:hAnsiTheme="minorEastAsia" w:eastAsiaTheme="minorEastAsia" w:cstheme="minorEastAsia"/>
          <w:b w:val="0"/>
          <w:bCs/>
          <w:color w:val="000000"/>
          <w:spacing w:val="-2"/>
          <w:kern w:val="0"/>
          <w:sz w:val="32"/>
          <w:szCs w:val="32"/>
        </w:rPr>
        <w:t>、</w:t>
      </w:r>
      <w:r>
        <w:rPr>
          <w:rFonts w:hint="eastAsia" w:asciiTheme="minorEastAsia" w:hAnsiTheme="minorEastAsia" w:eastAsiaTheme="minorEastAsia" w:cstheme="minorEastAsia"/>
          <w:b w:val="0"/>
          <w:bCs/>
          <w:color w:val="000000"/>
          <w:kern w:val="0"/>
          <w:sz w:val="32"/>
          <w:szCs w:val="32"/>
        </w:rPr>
        <w:t>日常公用经费按定额预算的方法</w:t>
      </w:r>
      <w:r>
        <w:rPr>
          <w:rFonts w:hint="eastAsia" w:asciiTheme="minorEastAsia" w:hAnsiTheme="minorEastAsia" w:eastAsiaTheme="minorEastAsia" w:cstheme="minorEastAsia"/>
          <w:b w:val="0"/>
          <w:bCs/>
          <w:color w:val="000000"/>
          <w:spacing w:val="-2"/>
          <w:kern w:val="0"/>
          <w:sz w:val="32"/>
          <w:szCs w:val="32"/>
        </w:rPr>
        <w:t>，</w:t>
      </w:r>
      <w:r>
        <w:rPr>
          <w:rFonts w:hint="eastAsia" w:asciiTheme="minorEastAsia" w:hAnsiTheme="minorEastAsia" w:eastAsiaTheme="minorEastAsia" w:cstheme="minorEastAsia"/>
          <w:b w:val="0"/>
          <w:bCs/>
          <w:color w:val="000000"/>
          <w:kern w:val="0"/>
          <w:sz w:val="32"/>
          <w:szCs w:val="32"/>
        </w:rPr>
        <w:t>编制本单位201</w:t>
      </w:r>
      <w:r>
        <w:rPr>
          <w:rFonts w:hint="eastAsia" w:asciiTheme="minorEastAsia" w:hAnsiTheme="minorEastAsia" w:eastAsiaTheme="minorEastAsia" w:cstheme="minorEastAsia"/>
          <w:b w:val="0"/>
          <w:bCs/>
          <w:color w:val="000000"/>
          <w:kern w:val="0"/>
          <w:sz w:val="32"/>
          <w:szCs w:val="32"/>
          <w:lang w:val="en-US" w:eastAsia="zh-CN"/>
        </w:rPr>
        <w:t>8</w:t>
      </w:r>
      <w:r>
        <w:rPr>
          <w:rFonts w:hint="eastAsia" w:asciiTheme="minorEastAsia" w:hAnsiTheme="minorEastAsia" w:eastAsiaTheme="minorEastAsia" w:cstheme="minorEastAsia"/>
          <w:b w:val="0"/>
          <w:bCs/>
          <w:color w:val="000000"/>
          <w:kern w:val="0"/>
          <w:sz w:val="32"/>
          <w:szCs w:val="32"/>
        </w:rPr>
        <w:t>年度部门预算</w:t>
      </w:r>
      <w:r>
        <w:rPr>
          <w:rFonts w:hint="eastAsia" w:asciiTheme="minorEastAsia" w:hAnsiTheme="minorEastAsia" w:eastAsiaTheme="minorEastAsia" w:cstheme="minorEastAsia"/>
          <w:b w:val="0"/>
          <w:bCs/>
          <w:color w:val="000000"/>
          <w:spacing w:val="-2"/>
          <w:kern w:val="0"/>
          <w:sz w:val="32"/>
          <w:szCs w:val="32"/>
        </w:rPr>
        <w:t>。</w:t>
      </w:r>
    </w:p>
    <w:p>
      <w:pPr>
        <w:numPr>
          <w:ilvl w:val="0"/>
          <w:numId w:val="0"/>
        </w:numPr>
        <w:snapToGrid w:val="0"/>
        <w:spacing w:line="520" w:lineRule="exact"/>
        <w:ind w:firstLine="640" w:firstLineChars="200"/>
        <w:rPr>
          <w:rFonts w:hint="eastAsia" w:asciiTheme="minorEastAsia" w:hAnsiTheme="minorEastAsia" w:eastAsiaTheme="minorEastAsia" w:cstheme="minorEastAsia"/>
          <w:b w:val="0"/>
          <w:bCs/>
          <w:color w:val="000000"/>
          <w:kern w:val="0"/>
          <w:sz w:val="32"/>
          <w:szCs w:val="32"/>
          <w:lang w:val="en-US" w:eastAsia="zh-CN"/>
        </w:rPr>
      </w:pPr>
      <w:r>
        <w:rPr>
          <w:rFonts w:hint="eastAsia" w:asciiTheme="minorEastAsia" w:hAnsiTheme="minorEastAsia" w:eastAsiaTheme="minorEastAsia" w:cstheme="minorEastAsia"/>
          <w:b w:val="0"/>
          <w:bCs/>
          <w:color w:val="000000"/>
          <w:kern w:val="0"/>
          <w:sz w:val="32"/>
          <w:szCs w:val="32"/>
        </w:rPr>
        <w:t>仁和区交通运输局201</w:t>
      </w:r>
      <w:r>
        <w:rPr>
          <w:rFonts w:hint="eastAsia" w:asciiTheme="minorEastAsia" w:hAnsiTheme="minorEastAsia" w:eastAsiaTheme="minorEastAsia" w:cstheme="minorEastAsia"/>
          <w:b w:val="0"/>
          <w:bCs/>
          <w:color w:val="000000"/>
          <w:kern w:val="0"/>
          <w:sz w:val="32"/>
          <w:szCs w:val="32"/>
          <w:lang w:val="en-US" w:eastAsia="zh-CN"/>
        </w:rPr>
        <w:t>8</w:t>
      </w:r>
      <w:r>
        <w:rPr>
          <w:rFonts w:hint="eastAsia" w:asciiTheme="minorEastAsia" w:hAnsiTheme="minorEastAsia" w:eastAsiaTheme="minorEastAsia" w:cstheme="minorEastAsia"/>
          <w:b w:val="0"/>
          <w:bCs/>
          <w:color w:val="000000"/>
          <w:kern w:val="0"/>
          <w:sz w:val="32"/>
          <w:szCs w:val="32"/>
        </w:rPr>
        <w:t>年部门预算收入总计</w:t>
      </w:r>
      <w:r>
        <w:rPr>
          <w:rFonts w:hint="eastAsia" w:asciiTheme="minorEastAsia" w:hAnsiTheme="minorEastAsia" w:eastAsiaTheme="minorEastAsia" w:cstheme="minorEastAsia"/>
          <w:b w:val="0"/>
          <w:bCs/>
          <w:color w:val="000000"/>
          <w:kern w:val="0"/>
          <w:sz w:val="32"/>
          <w:szCs w:val="32"/>
          <w:lang w:val="en-US" w:eastAsia="zh-CN"/>
        </w:rPr>
        <w:t>499万</w:t>
      </w:r>
      <w:r>
        <w:rPr>
          <w:rFonts w:hint="eastAsia" w:asciiTheme="minorEastAsia" w:hAnsiTheme="minorEastAsia" w:eastAsiaTheme="minorEastAsia" w:cstheme="minorEastAsia"/>
          <w:b w:val="0"/>
          <w:bCs/>
          <w:color w:val="000000"/>
          <w:kern w:val="0"/>
          <w:sz w:val="32"/>
          <w:szCs w:val="32"/>
        </w:rPr>
        <w:t>元</w:t>
      </w:r>
      <w:r>
        <w:rPr>
          <w:rFonts w:hint="eastAsia" w:asciiTheme="minorEastAsia" w:hAnsiTheme="minorEastAsia" w:eastAsiaTheme="minorEastAsia" w:cstheme="minorEastAsia"/>
          <w:b w:val="0"/>
          <w:bCs/>
          <w:color w:val="000000"/>
          <w:spacing w:val="-80"/>
          <w:kern w:val="0"/>
          <w:sz w:val="32"/>
          <w:szCs w:val="32"/>
        </w:rPr>
        <w:t>，</w:t>
      </w:r>
      <w:r>
        <w:rPr>
          <w:rFonts w:hint="eastAsia" w:asciiTheme="minorEastAsia" w:hAnsiTheme="minorEastAsia" w:eastAsiaTheme="minorEastAsia" w:cstheme="minorEastAsia"/>
          <w:b w:val="0"/>
          <w:bCs/>
          <w:color w:val="000000"/>
          <w:kern w:val="0"/>
          <w:sz w:val="32"/>
          <w:szCs w:val="32"/>
        </w:rPr>
        <w:t>均为</w:t>
      </w:r>
      <w:r>
        <w:rPr>
          <w:rFonts w:hint="eastAsia" w:asciiTheme="minorEastAsia" w:hAnsiTheme="minorEastAsia" w:eastAsiaTheme="minorEastAsia" w:cstheme="minorEastAsia"/>
          <w:b w:val="0"/>
          <w:bCs/>
          <w:color w:val="000000"/>
          <w:spacing w:val="-1"/>
          <w:kern w:val="0"/>
          <w:sz w:val="32"/>
          <w:szCs w:val="32"/>
        </w:rPr>
        <w:t>当年财政拨款收入</w:t>
      </w:r>
      <w:r>
        <w:rPr>
          <w:rFonts w:hint="eastAsia" w:asciiTheme="minorEastAsia" w:hAnsiTheme="minorEastAsia" w:eastAsiaTheme="minorEastAsia" w:cstheme="minorEastAsia"/>
          <w:b w:val="0"/>
          <w:bCs/>
          <w:color w:val="000000"/>
          <w:spacing w:val="-81"/>
          <w:kern w:val="0"/>
          <w:sz w:val="32"/>
          <w:szCs w:val="32"/>
        </w:rPr>
        <w:t>；</w:t>
      </w:r>
      <w:r>
        <w:rPr>
          <w:rFonts w:hint="eastAsia" w:asciiTheme="minorEastAsia" w:hAnsiTheme="minorEastAsia" w:eastAsiaTheme="minorEastAsia" w:cstheme="minorEastAsia"/>
          <w:b w:val="0"/>
          <w:bCs/>
          <w:color w:val="000000"/>
          <w:kern w:val="0"/>
          <w:sz w:val="32"/>
          <w:szCs w:val="32"/>
        </w:rPr>
        <w:t>预算支出总计</w:t>
      </w:r>
      <w:r>
        <w:rPr>
          <w:rFonts w:hint="eastAsia" w:asciiTheme="minorEastAsia" w:hAnsiTheme="minorEastAsia" w:eastAsiaTheme="minorEastAsia" w:cstheme="minorEastAsia"/>
          <w:b w:val="0"/>
          <w:bCs/>
          <w:color w:val="000000"/>
          <w:kern w:val="0"/>
          <w:sz w:val="32"/>
          <w:szCs w:val="32"/>
          <w:lang w:val="en-US" w:eastAsia="zh-CN"/>
        </w:rPr>
        <w:t>499万</w:t>
      </w:r>
      <w:r>
        <w:rPr>
          <w:rFonts w:hint="eastAsia" w:asciiTheme="minorEastAsia" w:hAnsiTheme="minorEastAsia" w:eastAsiaTheme="minorEastAsia" w:cstheme="minorEastAsia"/>
          <w:b w:val="0"/>
          <w:bCs/>
          <w:color w:val="000000"/>
          <w:kern w:val="0"/>
          <w:sz w:val="32"/>
          <w:szCs w:val="32"/>
        </w:rPr>
        <w:t>元</w:t>
      </w:r>
      <w:r>
        <w:rPr>
          <w:rFonts w:hint="eastAsia" w:asciiTheme="minorEastAsia" w:hAnsiTheme="minorEastAsia" w:eastAsiaTheme="minorEastAsia" w:cstheme="minorEastAsia"/>
          <w:b w:val="0"/>
          <w:bCs/>
          <w:color w:val="000000"/>
          <w:spacing w:val="-62"/>
          <w:kern w:val="0"/>
          <w:sz w:val="32"/>
          <w:szCs w:val="32"/>
        </w:rPr>
        <w:t>。</w:t>
      </w:r>
      <w:r>
        <w:rPr>
          <w:rFonts w:hint="eastAsia" w:asciiTheme="minorEastAsia" w:hAnsiTheme="minorEastAsia" w:eastAsiaTheme="minorEastAsia" w:cstheme="minorEastAsia"/>
          <w:b w:val="0"/>
          <w:bCs/>
          <w:color w:val="000000"/>
          <w:kern w:val="0"/>
          <w:sz w:val="32"/>
          <w:szCs w:val="32"/>
        </w:rPr>
        <w:t>其中</w:t>
      </w:r>
      <w:r>
        <w:rPr>
          <w:rFonts w:hint="eastAsia" w:asciiTheme="minorEastAsia" w:hAnsiTheme="minorEastAsia" w:eastAsiaTheme="minorEastAsia" w:cstheme="minorEastAsia"/>
          <w:b w:val="0"/>
          <w:bCs/>
          <w:color w:val="000000"/>
          <w:spacing w:val="-62"/>
          <w:kern w:val="0"/>
          <w:sz w:val="32"/>
          <w:szCs w:val="32"/>
        </w:rPr>
        <w:t>：</w:t>
      </w:r>
      <w:r>
        <w:rPr>
          <w:rFonts w:hint="eastAsia" w:asciiTheme="minorEastAsia" w:hAnsiTheme="minorEastAsia" w:eastAsiaTheme="minorEastAsia" w:cstheme="minorEastAsia"/>
          <w:b w:val="0"/>
          <w:bCs/>
          <w:color w:val="000000"/>
          <w:kern w:val="0"/>
          <w:sz w:val="32"/>
          <w:szCs w:val="32"/>
        </w:rPr>
        <w:t xml:space="preserve">工资福利支出 </w:t>
      </w:r>
      <w:r>
        <w:rPr>
          <w:rFonts w:hint="eastAsia" w:asciiTheme="minorEastAsia" w:hAnsiTheme="minorEastAsia" w:eastAsiaTheme="minorEastAsia" w:cstheme="minorEastAsia"/>
          <w:b w:val="0"/>
          <w:bCs/>
          <w:color w:val="000000"/>
          <w:kern w:val="0"/>
          <w:sz w:val="32"/>
          <w:szCs w:val="32"/>
          <w:lang w:val="en-US" w:eastAsia="zh-CN"/>
        </w:rPr>
        <w:t>316.6万元</w:t>
      </w:r>
      <w:r>
        <w:rPr>
          <w:rFonts w:hint="eastAsia" w:asciiTheme="minorEastAsia" w:hAnsiTheme="minorEastAsia" w:eastAsiaTheme="minorEastAsia" w:cstheme="minorEastAsia"/>
          <w:b w:val="0"/>
          <w:bCs/>
          <w:color w:val="000000"/>
          <w:spacing w:val="-62"/>
          <w:kern w:val="0"/>
          <w:sz w:val="32"/>
          <w:szCs w:val="32"/>
        </w:rPr>
        <w:t>;</w:t>
      </w:r>
      <w:r>
        <w:rPr>
          <w:rFonts w:hint="eastAsia" w:asciiTheme="minorEastAsia" w:hAnsiTheme="minorEastAsia" w:eastAsiaTheme="minorEastAsia" w:cstheme="minorEastAsia"/>
          <w:b w:val="0"/>
          <w:bCs/>
          <w:color w:val="000000"/>
          <w:kern w:val="0"/>
          <w:sz w:val="32"/>
          <w:szCs w:val="32"/>
        </w:rPr>
        <w:t xml:space="preserve">日常公用支出 </w:t>
      </w:r>
      <w:r>
        <w:rPr>
          <w:rFonts w:hint="eastAsia" w:asciiTheme="minorEastAsia" w:hAnsiTheme="minorEastAsia" w:eastAsiaTheme="minorEastAsia" w:cstheme="minorEastAsia"/>
          <w:b w:val="0"/>
          <w:bCs/>
          <w:color w:val="000000"/>
          <w:kern w:val="0"/>
          <w:sz w:val="32"/>
          <w:szCs w:val="32"/>
          <w:lang w:val="en-US" w:eastAsia="zh-CN"/>
        </w:rPr>
        <w:t>52.74万</w:t>
      </w:r>
      <w:r>
        <w:rPr>
          <w:rFonts w:hint="eastAsia" w:asciiTheme="minorEastAsia" w:hAnsiTheme="minorEastAsia" w:eastAsiaTheme="minorEastAsia" w:cstheme="minorEastAsia"/>
          <w:b w:val="0"/>
          <w:bCs/>
          <w:color w:val="000000"/>
          <w:kern w:val="0"/>
          <w:sz w:val="32"/>
          <w:szCs w:val="32"/>
        </w:rPr>
        <w:t xml:space="preserve"> 元</w:t>
      </w:r>
      <w:r>
        <w:rPr>
          <w:rFonts w:hint="eastAsia" w:asciiTheme="minorEastAsia" w:hAnsiTheme="minorEastAsia" w:eastAsiaTheme="minorEastAsia" w:cstheme="minorEastAsia"/>
          <w:b w:val="0"/>
          <w:bCs/>
          <w:color w:val="000000"/>
          <w:spacing w:val="-62"/>
          <w:kern w:val="0"/>
          <w:sz w:val="32"/>
          <w:szCs w:val="32"/>
        </w:rPr>
        <w:t>;</w:t>
      </w:r>
      <w:r>
        <w:rPr>
          <w:rFonts w:hint="eastAsia" w:asciiTheme="minorEastAsia" w:hAnsiTheme="minorEastAsia" w:eastAsiaTheme="minorEastAsia" w:cstheme="minorEastAsia"/>
          <w:b w:val="0"/>
          <w:bCs/>
          <w:color w:val="000000"/>
          <w:kern w:val="0"/>
          <w:sz w:val="32"/>
          <w:szCs w:val="32"/>
        </w:rPr>
        <w:t xml:space="preserve">对个人和家庭补助支出 </w:t>
      </w:r>
      <w:r>
        <w:rPr>
          <w:rFonts w:hint="eastAsia" w:asciiTheme="minorEastAsia" w:hAnsiTheme="minorEastAsia" w:eastAsiaTheme="minorEastAsia" w:cstheme="minorEastAsia"/>
          <w:b w:val="0"/>
          <w:bCs/>
          <w:color w:val="000000"/>
          <w:kern w:val="0"/>
          <w:sz w:val="32"/>
          <w:szCs w:val="32"/>
          <w:lang w:val="en-US" w:eastAsia="zh-CN"/>
        </w:rPr>
        <w:t>11万</w:t>
      </w:r>
      <w:r>
        <w:rPr>
          <w:rFonts w:hint="eastAsia" w:asciiTheme="minorEastAsia" w:hAnsiTheme="minorEastAsia" w:eastAsiaTheme="minorEastAsia" w:cstheme="minorEastAsia"/>
          <w:b w:val="0"/>
          <w:bCs/>
          <w:color w:val="000000"/>
          <w:kern w:val="0"/>
          <w:sz w:val="32"/>
          <w:szCs w:val="32"/>
        </w:rPr>
        <w:t>元</w:t>
      </w:r>
      <w:r>
        <w:rPr>
          <w:rFonts w:hint="eastAsia" w:asciiTheme="minorEastAsia" w:hAnsiTheme="minorEastAsia" w:eastAsiaTheme="minorEastAsia" w:cstheme="minorEastAsia"/>
          <w:b w:val="0"/>
          <w:bCs/>
          <w:color w:val="000000"/>
          <w:kern w:val="0"/>
          <w:sz w:val="32"/>
          <w:szCs w:val="32"/>
          <w:lang w:eastAsia="zh-CN"/>
        </w:rPr>
        <w:t>；项目支出，</w:t>
      </w:r>
      <w:r>
        <w:rPr>
          <w:rFonts w:hint="eastAsia" w:asciiTheme="minorEastAsia" w:hAnsiTheme="minorEastAsia" w:eastAsiaTheme="minorEastAsia" w:cstheme="minorEastAsia"/>
          <w:b w:val="0"/>
          <w:bCs/>
          <w:color w:val="000000"/>
          <w:kern w:val="0"/>
          <w:sz w:val="32"/>
          <w:szCs w:val="32"/>
          <w:lang w:val="en-US" w:eastAsia="zh-CN"/>
        </w:rPr>
        <w:t>2018年</w:t>
      </w:r>
      <w:r>
        <w:rPr>
          <w:rFonts w:hint="eastAsia" w:asciiTheme="minorEastAsia" w:hAnsiTheme="minorEastAsia" w:eastAsiaTheme="minorEastAsia" w:cstheme="minorEastAsia"/>
          <w:b w:val="0"/>
          <w:bCs/>
          <w:color w:val="000000"/>
          <w:kern w:val="0"/>
          <w:sz w:val="32"/>
          <w:szCs w:val="32"/>
        </w:rPr>
        <w:t>县乡公路养护资金</w:t>
      </w:r>
      <w:r>
        <w:rPr>
          <w:rFonts w:hint="eastAsia" w:asciiTheme="minorEastAsia" w:hAnsiTheme="minorEastAsia" w:eastAsiaTheme="minorEastAsia" w:cstheme="minorEastAsia"/>
          <w:b w:val="0"/>
          <w:bCs/>
          <w:color w:val="000000"/>
          <w:kern w:val="0"/>
          <w:sz w:val="32"/>
          <w:szCs w:val="32"/>
          <w:lang w:val="en-US" w:eastAsia="zh-CN"/>
        </w:rPr>
        <w:t>115万</w:t>
      </w:r>
      <w:r>
        <w:rPr>
          <w:rFonts w:hint="eastAsia" w:asciiTheme="minorEastAsia" w:hAnsiTheme="minorEastAsia" w:eastAsiaTheme="minorEastAsia" w:cstheme="minorEastAsia"/>
          <w:b w:val="0"/>
          <w:bCs/>
          <w:color w:val="000000"/>
          <w:kern w:val="0"/>
          <w:sz w:val="32"/>
          <w:szCs w:val="32"/>
        </w:rPr>
        <w:t>元;水路管理经费</w:t>
      </w:r>
      <w:r>
        <w:rPr>
          <w:rFonts w:hint="eastAsia" w:asciiTheme="minorEastAsia" w:hAnsiTheme="minorEastAsia" w:eastAsiaTheme="minorEastAsia" w:cstheme="minorEastAsia"/>
          <w:b w:val="0"/>
          <w:bCs/>
          <w:color w:val="000000"/>
          <w:kern w:val="0"/>
          <w:sz w:val="32"/>
          <w:szCs w:val="32"/>
          <w:lang w:val="en-US" w:eastAsia="zh-CN"/>
        </w:rPr>
        <w:t>4.48万</w:t>
      </w:r>
      <w:r>
        <w:rPr>
          <w:rFonts w:hint="eastAsia" w:asciiTheme="minorEastAsia" w:hAnsiTheme="minorEastAsia" w:eastAsiaTheme="minorEastAsia" w:cstheme="minorEastAsia"/>
          <w:b w:val="0"/>
          <w:bCs/>
          <w:color w:val="000000"/>
          <w:kern w:val="0"/>
          <w:sz w:val="32"/>
          <w:szCs w:val="32"/>
        </w:rPr>
        <w:t>元</w:t>
      </w:r>
      <w:r>
        <w:rPr>
          <w:rFonts w:hint="eastAsia" w:asciiTheme="minorEastAsia" w:hAnsiTheme="minorEastAsia" w:eastAsiaTheme="minorEastAsia" w:cstheme="minorEastAsia"/>
          <w:b w:val="0"/>
          <w:bCs/>
          <w:color w:val="000000"/>
          <w:kern w:val="0"/>
          <w:sz w:val="32"/>
          <w:szCs w:val="32"/>
          <w:lang w:val="en-US" w:eastAsia="zh-CN"/>
        </w:rPr>
        <w:t>.</w:t>
      </w:r>
    </w:p>
    <w:p>
      <w:pPr>
        <w:numPr>
          <w:ilvl w:val="0"/>
          <w:numId w:val="0"/>
        </w:numPr>
        <w:snapToGrid w:val="0"/>
        <w:spacing w:line="520" w:lineRule="exact"/>
        <w:ind w:firstLine="640" w:firstLineChars="200"/>
        <w:rPr>
          <w:rFonts w:hint="eastAsia" w:asciiTheme="minorEastAsia" w:hAnsiTheme="minorEastAsia" w:eastAsiaTheme="minorEastAsia" w:cstheme="minorEastAsia"/>
          <w:b w:val="0"/>
          <w:bCs/>
          <w:color w:val="000000"/>
          <w:kern w:val="0"/>
          <w:sz w:val="32"/>
          <w:szCs w:val="32"/>
          <w:lang w:val="en-US" w:eastAsia="zh-CN"/>
        </w:rPr>
      </w:pPr>
      <w:r>
        <w:rPr>
          <w:rFonts w:hint="eastAsia" w:asciiTheme="minorEastAsia" w:hAnsiTheme="minorEastAsia" w:eastAsiaTheme="minorEastAsia" w:cstheme="minorEastAsia"/>
          <w:b w:val="0"/>
          <w:bCs/>
          <w:color w:val="000000"/>
          <w:kern w:val="0"/>
          <w:sz w:val="32"/>
          <w:szCs w:val="32"/>
          <w:lang w:val="en-US" w:eastAsia="zh-CN"/>
        </w:rPr>
        <w:t>结余结转管理情况：</w:t>
      </w:r>
    </w:p>
    <w:p>
      <w:pPr>
        <w:numPr>
          <w:ilvl w:val="0"/>
          <w:numId w:val="0"/>
        </w:numPr>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bCs/>
          <w:sz w:val="32"/>
          <w:szCs w:val="32"/>
          <w:lang w:val="en-US" w:eastAsia="zh-CN"/>
        </w:rPr>
        <w:t>1、</w:t>
      </w:r>
      <w:r>
        <w:rPr>
          <w:rFonts w:hint="eastAsia" w:asciiTheme="minorEastAsia" w:hAnsiTheme="minorEastAsia" w:eastAsiaTheme="minorEastAsia" w:cstheme="minorEastAsia"/>
          <w:b w:val="0"/>
          <w:bCs/>
          <w:sz w:val="32"/>
          <w:szCs w:val="32"/>
          <w:lang w:eastAsia="zh-CN"/>
        </w:rPr>
        <w:t>年末资金结转和结余的情况是</w:t>
      </w:r>
      <w:r>
        <w:rPr>
          <w:rFonts w:hint="eastAsia" w:asciiTheme="minorEastAsia" w:hAnsiTheme="minorEastAsia" w:eastAsiaTheme="minorEastAsia" w:cstheme="minorEastAsia"/>
          <w:b w:val="0"/>
          <w:bCs/>
          <w:sz w:val="32"/>
          <w:szCs w:val="32"/>
          <w:lang w:val="en-US" w:eastAsia="zh-CN"/>
        </w:rPr>
        <w:t>3454.77万元，主要情况是项目结转和结余资金较多，项目分别是2018年安保工程，岔河桥及下糯禾桥维修，啊龙路改造工程，农村道路2016-2017年财政涉农项目设计费，2018年养护资金，省补资金啊龙路（大田段），太平至福田段建设工程。</w:t>
      </w:r>
    </w:p>
    <w:p>
      <w:pPr>
        <w:spacing w:line="60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2．结转和结余规模较大的原因分析</w:t>
      </w:r>
      <w:r>
        <w:rPr>
          <w:rFonts w:hint="eastAsia" w:asciiTheme="minorEastAsia" w:hAnsiTheme="minorEastAsia" w:eastAsiaTheme="minorEastAsia" w:cstheme="minorEastAsia"/>
          <w:sz w:val="32"/>
          <w:szCs w:val="32"/>
          <w:lang w:eastAsia="zh-CN"/>
        </w:rPr>
        <w:t>是项目资金下达较晚，项目启动跟不上，地方配套资金不够，等等原因，造成结转和结余资金较大</w:t>
      </w:r>
      <w:r>
        <w:rPr>
          <w:rFonts w:hint="eastAsia" w:asciiTheme="minorEastAsia" w:hAnsiTheme="minorEastAsia" w:eastAsiaTheme="minorEastAsia" w:cstheme="minorEastAsia"/>
          <w:color w:val="000000"/>
          <w:sz w:val="32"/>
          <w:szCs w:val="32"/>
          <w:lang w:eastAsia="zh-CN"/>
        </w:rPr>
        <w:t>工程资金大，前期工作多，任务重，协调工作繁琐</w:t>
      </w:r>
      <w:r>
        <w:rPr>
          <w:rFonts w:hint="eastAsia" w:asciiTheme="minorEastAsia" w:hAnsiTheme="minorEastAsia" w:eastAsiaTheme="minorEastAsia" w:cstheme="minorEastAsia"/>
          <w:color w:val="000000"/>
          <w:sz w:val="32"/>
          <w:szCs w:val="32"/>
        </w:rPr>
        <w:t>。</w:t>
      </w:r>
    </w:p>
    <w:p>
      <w:pPr>
        <w:widowControl/>
        <w:adjustRightInd w:val="0"/>
        <w:snapToGrid w:val="0"/>
        <w:spacing w:line="540" w:lineRule="exact"/>
        <w:ind w:firstLine="640" w:firstLineChars="20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color w:val="000000"/>
          <w:kern w:val="0"/>
          <w:sz w:val="32"/>
          <w:szCs w:val="32"/>
          <w:shd w:val="clear" w:color="auto" w:fill="FFFFFF"/>
          <w:lang w:val="zh-CN"/>
        </w:rPr>
        <w:t>（二）执行管理情况</w:t>
      </w:r>
    </w:p>
    <w:p>
      <w:pPr>
        <w:ind w:firstLine="627" w:firstLineChars="196"/>
        <w:rPr>
          <w:rFonts w:hint="eastAsia" w:asciiTheme="minorEastAsia" w:hAnsiTheme="minorEastAsia" w:eastAsiaTheme="minorEastAsia" w:cstheme="minorEastAsia"/>
          <w:b w:val="0"/>
          <w:bCs/>
          <w:color w:val="000000"/>
          <w:kern w:val="0"/>
          <w:sz w:val="32"/>
          <w:szCs w:val="32"/>
          <w:shd w:val="clear" w:color="auto" w:fill="FFFFFF"/>
          <w:lang w:val="en-US" w:eastAsia="zh-CN"/>
        </w:rPr>
      </w:pPr>
      <w:r>
        <w:rPr>
          <w:rFonts w:hint="eastAsia" w:asciiTheme="minorEastAsia" w:hAnsiTheme="minorEastAsia" w:eastAsiaTheme="minorEastAsia" w:cstheme="minorEastAsia"/>
          <w:b w:val="0"/>
          <w:bCs/>
          <w:sz w:val="32"/>
          <w:szCs w:val="32"/>
        </w:rPr>
        <w:t>攀枝花市仁和区交通运输局严格按《预算法》的要求执行，并在相应的平台上进行公示，区交通运输局预算安排支出主要用于保障该部门机构正常运转、完成日常工作任务以及本单位承担的公路“建、管、养”情况进行检查和指导工作。</w:t>
      </w:r>
      <w:r>
        <w:rPr>
          <w:rFonts w:hint="eastAsia" w:asciiTheme="minorEastAsia" w:hAnsiTheme="minorEastAsia" w:eastAsiaTheme="minorEastAsia" w:cstheme="minorEastAsia"/>
          <w:b w:val="0"/>
          <w:bCs/>
          <w:sz w:val="32"/>
          <w:szCs w:val="32"/>
          <w:lang w:val="en-US" w:eastAsia="zh-CN"/>
        </w:rPr>
        <w:t>2018年，按照区财政要求在门户网站进行公示预决算。</w:t>
      </w:r>
    </w:p>
    <w:p>
      <w:pPr>
        <w:widowControl/>
        <w:adjustRightInd w:val="0"/>
        <w:snapToGrid w:val="0"/>
        <w:spacing w:line="540" w:lineRule="exact"/>
        <w:ind w:firstLine="720"/>
        <w:jc w:val="left"/>
        <w:rPr>
          <w:rFonts w:hint="eastAsia" w:asciiTheme="minorEastAsia" w:hAnsiTheme="minorEastAsia" w:eastAsiaTheme="minorEastAsia" w:cstheme="minorEastAsia"/>
          <w:b/>
          <w:color w:val="000000"/>
          <w:kern w:val="0"/>
          <w:sz w:val="32"/>
          <w:szCs w:val="32"/>
          <w:shd w:val="clear" w:color="auto" w:fill="FFFFFF"/>
          <w:lang w:val="zh-CN"/>
        </w:rPr>
      </w:pPr>
      <w:r>
        <w:rPr>
          <w:rFonts w:hint="eastAsia" w:asciiTheme="minorEastAsia" w:hAnsiTheme="minorEastAsia" w:eastAsiaTheme="minorEastAsia" w:cstheme="minorEastAsia"/>
          <w:b/>
          <w:color w:val="000000"/>
          <w:kern w:val="0"/>
          <w:sz w:val="32"/>
          <w:szCs w:val="32"/>
          <w:shd w:val="clear" w:color="auto" w:fill="FFFFFF"/>
          <w:lang w:val="zh-CN"/>
        </w:rPr>
        <w:t>（三）支出绩效情况。</w:t>
      </w:r>
    </w:p>
    <w:p>
      <w:pPr>
        <w:widowControl/>
        <w:adjustRightInd w:val="0"/>
        <w:snapToGrid w:val="0"/>
        <w:spacing w:line="540" w:lineRule="exact"/>
        <w:ind w:firstLine="720"/>
        <w:jc w:val="left"/>
        <w:rPr>
          <w:rFonts w:hint="eastAsia" w:asciiTheme="minorEastAsia" w:hAnsiTheme="minorEastAsia" w:eastAsiaTheme="minorEastAsia" w:cstheme="minorEastAsia"/>
          <w:b/>
          <w:color w:val="000000"/>
          <w:kern w:val="0"/>
          <w:sz w:val="32"/>
          <w:szCs w:val="32"/>
          <w:shd w:val="clear" w:color="auto" w:fill="FFFFFF"/>
          <w:lang w:val="zh-CN"/>
        </w:rPr>
      </w:pPr>
      <w:r>
        <w:rPr>
          <w:rFonts w:hint="eastAsia" w:asciiTheme="minorEastAsia" w:hAnsiTheme="minorEastAsia" w:eastAsiaTheme="minorEastAsia" w:cstheme="minorEastAsia"/>
          <w:b/>
          <w:color w:val="000000"/>
          <w:kern w:val="0"/>
          <w:sz w:val="32"/>
          <w:szCs w:val="32"/>
          <w:shd w:val="clear" w:color="auto" w:fill="FFFFFF"/>
          <w:lang w:val="zh-CN"/>
        </w:rPr>
        <w:t>1、部门支出绩效</w:t>
      </w:r>
    </w:p>
    <w:p>
      <w:pPr>
        <w:widowControl/>
        <w:adjustRightInd w:val="0"/>
        <w:snapToGrid w:val="0"/>
        <w:spacing w:line="540" w:lineRule="exact"/>
        <w:ind w:firstLine="720"/>
        <w:jc w:val="left"/>
        <w:rPr>
          <w:rFonts w:hint="eastAsia" w:asciiTheme="minorEastAsia" w:hAnsiTheme="minorEastAsia" w:eastAsiaTheme="minorEastAsia" w:cstheme="minorEastAsia"/>
          <w:b/>
          <w:color w:val="000000"/>
          <w:kern w:val="0"/>
          <w:sz w:val="32"/>
          <w:szCs w:val="32"/>
          <w:shd w:val="clear" w:color="auto" w:fill="FFFFFF"/>
          <w:lang w:val="zh-CN"/>
        </w:rPr>
      </w:pPr>
      <w:r>
        <w:rPr>
          <w:rFonts w:hint="eastAsia" w:asciiTheme="minorEastAsia" w:hAnsiTheme="minorEastAsia" w:eastAsiaTheme="minorEastAsia" w:cstheme="minorEastAsia"/>
          <w:b/>
          <w:color w:val="000000"/>
          <w:kern w:val="0"/>
          <w:sz w:val="32"/>
          <w:szCs w:val="32"/>
          <w:shd w:val="clear" w:color="auto" w:fill="FFFFFF"/>
          <w:lang w:val="zh-CN"/>
        </w:rPr>
        <w:t>（1）行政运转保障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72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i w:val="0"/>
          <w:caps w:val="0"/>
          <w:color w:val="000000"/>
          <w:spacing w:val="0"/>
          <w:sz w:val="32"/>
          <w:szCs w:val="32"/>
          <w:shd w:val="clear" w:color="auto" w:fill="FFFFFF"/>
        </w:rPr>
        <w:t>财政拨款支出主要用于保障我部门机构正常运转、完成日常工作任务以及承担</w:t>
      </w:r>
      <w:r>
        <w:rPr>
          <w:rFonts w:hint="eastAsia" w:asciiTheme="minorEastAsia" w:hAnsiTheme="minorEastAsia" w:eastAsiaTheme="minorEastAsia" w:cstheme="minorEastAsia"/>
          <w:i w:val="0"/>
          <w:caps w:val="0"/>
          <w:color w:val="000000"/>
          <w:spacing w:val="0"/>
          <w:sz w:val="32"/>
          <w:szCs w:val="32"/>
          <w:shd w:val="clear" w:color="auto" w:fill="FFFFFF"/>
          <w:lang w:eastAsia="zh-CN"/>
        </w:rPr>
        <w:t>交通</w:t>
      </w:r>
      <w:r>
        <w:rPr>
          <w:rFonts w:hint="eastAsia" w:asciiTheme="minorEastAsia" w:hAnsiTheme="minorEastAsia" w:eastAsiaTheme="minorEastAsia" w:cstheme="minorEastAsia"/>
          <w:i w:val="0"/>
          <w:caps w:val="0"/>
          <w:color w:val="000000"/>
          <w:spacing w:val="0"/>
          <w:sz w:val="32"/>
          <w:szCs w:val="32"/>
          <w:shd w:val="clear" w:color="auto" w:fill="FFFFFF"/>
        </w:rPr>
        <w:t>事业发展相关工作。</w:t>
      </w:r>
      <w:r>
        <w:rPr>
          <w:rFonts w:hint="eastAsia" w:asciiTheme="minorEastAsia" w:hAnsiTheme="minorEastAsia" w:eastAsiaTheme="minorEastAsia" w:cstheme="minorEastAsia"/>
          <w:b w:val="0"/>
          <w:bCs/>
          <w:snapToGrid w:val="0"/>
          <w:kern w:val="0"/>
          <w:sz w:val="32"/>
          <w:szCs w:val="32"/>
        </w:rPr>
        <w:t>201</w:t>
      </w:r>
      <w:r>
        <w:rPr>
          <w:rFonts w:hint="eastAsia" w:asciiTheme="minorEastAsia" w:hAnsiTheme="minorEastAsia" w:eastAsiaTheme="minorEastAsia" w:cstheme="minorEastAsia"/>
          <w:b w:val="0"/>
          <w:bCs/>
          <w:snapToGrid w:val="0"/>
          <w:kern w:val="0"/>
          <w:sz w:val="32"/>
          <w:szCs w:val="32"/>
          <w:lang w:val="en-US" w:eastAsia="zh-CN"/>
        </w:rPr>
        <w:t>8</w:t>
      </w:r>
      <w:r>
        <w:rPr>
          <w:rFonts w:hint="eastAsia" w:asciiTheme="minorEastAsia" w:hAnsiTheme="minorEastAsia" w:eastAsiaTheme="minorEastAsia" w:cstheme="minorEastAsia"/>
          <w:b w:val="0"/>
          <w:bCs/>
          <w:snapToGrid w:val="0"/>
          <w:kern w:val="0"/>
          <w:sz w:val="32"/>
          <w:szCs w:val="32"/>
        </w:rPr>
        <w:t>年部门预算支出在保障机关运转、履行职能职责上整体情况良好。</w:t>
      </w:r>
    </w:p>
    <w:p>
      <w:pPr>
        <w:widowControl/>
        <w:adjustRightInd w:val="0"/>
        <w:snapToGrid w:val="0"/>
        <w:spacing w:line="540" w:lineRule="exact"/>
        <w:ind w:firstLine="72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color w:val="000000"/>
          <w:kern w:val="0"/>
          <w:sz w:val="32"/>
          <w:szCs w:val="32"/>
          <w:shd w:val="clear" w:color="auto" w:fill="FFFFFF"/>
          <w:lang w:val="zh-CN"/>
        </w:rPr>
        <w:t>（2）机关厉行节约</w:t>
      </w:r>
    </w:p>
    <w:p>
      <w:pPr>
        <w:ind w:firstLine="640" w:firstLineChars="200"/>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snapToGrid w:val="0"/>
          <w:kern w:val="0"/>
          <w:sz w:val="32"/>
          <w:szCs w:val="32"/>
        </w:rPr>
        <w:t>严格执行“厉行节约、反对浪费”的规定，严格控制“三公”经费支出，加强公务用车管理，努力降低燃修费用，“三公”经费及会议费较上年均有较大幅度下降。</w:t>
      </w:r>
    </w:p>
    <w:p>
      <w:pPr>
        <w:widowControl/>
        <w:adjustRightInd w:val="0"/>
        <w:snapToGrid w:val="0"/>
        <w:spacing w:line="540" w:lineRule="exact"/>
        <w:ind w:firstLine="72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color w:val="000000"/>
          <w:kern w:val="0"/>
          <w:sz w:val="32"/>
          <w:szCs w:val="32"/>
          <w:shd w:val="clear" w:color="auto" w:fill="FFFFFF"/>
          <w:lang w:val="zh-CN"/>
        </w:rPr>
        <w:t>（3）机关节能降耗</w:t>
      </w:r>
    </w:p>
    <w:p>
      <w:pPr>
        <w:ind w:firstLine="640" w:firstLineChars="200"/>
        <w:rPr>
          <w:rFonts w:hint="eastAsia" w:asciiTheme="minorEastAsia" w:hAnsiTheme="minorEastAsia" w:eastAsiaTheme="minorEastAsia" w:cstheme="minorEastAsia"/>
          <w:b w:val="0"/>
          <w:bCs/>
          <w:color w:val="000000"/>
          <w:kern w:val="0"/>
          <w:sz w:val="32"/>
          <w:szCs w:val="32"/>
          <w:shd w:val="clear" w:color="auto" w:fill="FFFFFF"/>
          <w:lang w:val="zh-CN" w:eastAsia="zh-CN"/>
        </w:rPr>
      </w:pPr>
      <w:r>
        <w:rPr>
          <w:rFonts w:hint="eastAsia" w:asciiTheme="minorEastAsia" w:hAnsiTheme="minorEastAsia" w:eastAsiaTheme="minorEastAsia" w:cstheme="minorEastAsia"/>
          <w:b w:val="0"/>
          <w:bCs/>
          <w:snapToGrid w:val="0"/>
          <w:kern w:val="0"/>
          <w:sz w:val="32"/>
          <w:szCs w:val="32"/>
        </w:rPr>
        <w:t>强化机关公用经费及日常运行经费管理，对于各处室日常公用经费按照《局机关包干经费管理办法》进行管理，对于办公楼日常运行维护费用加强审核力度，公用经费及水、电等日常运行经费均有一定下降</w:t>
      </w:r>
      <w:r>
        <w:rPr>
          <w:rFonts w:hint="eastAsia" w:asciiTheme="minorEastAsia" w:hAnsiTheme="minorEastAsia" w:eastAsiaTheme="minorEastAsia" w:cstheme="minorEastAsia"/>
          <w:b w:val="0"/>
          <w:bCs/>
          <w:snapToGrid w:val="0"/>
          <w:kern w:val="0"/>
          <w:sz w:val="32"/>
          <w:szCs w:val="32"/>
          <w:lang w:eastAsia="zh-CN"/>
        </w:rPr>
        <w:t>。</w:t>
      </w:r>
    </w:p>
    <w:p>
      <w:pPr>
        <w:widowControl/>
        <w:adjustRightInd w:val="0"/>
        <w:snapToGrid w:val="0"/>
        <w:spacing w:line="540" w:lineRule="exact"/>
        <w:ind w:firstLine="720"/>
        <w:jc w:val="left"/>
        <w:rPr>
          <w:rFonts w:hint="eastAsia" w:asciiTheme="minorEastAsia" w:hAnsiTheme="minorEastAsia" w:eastAsiaTheme="minorEastAsia" w:cstheme="minorEastAsia"/>
          <w:b/>
          <w:color w:val="000000"/>
          <w:kern w:val="0"/>
          <w:sz w:val="32"/>
          <w:szCs w:val="32"/>
          <w:shd w:val="clear" w:color="auto" w:fill="FFFFFF"/>
          <w:lang w:val="zh-CN"/>
        </w:rPr>
      </w:pPr>
      <w:r>
        <w:rPr>
          <w:rFonts w:hint="eastAsia" w:asciiTheme="minorEastAsia" w:hAnsiTheme="minorEastAsia" w:eastAsiaTheme="minorEastAsia" w:cstheme="minorEastAsia"/>
          <w:b/>
          <w:color w:val="000000"/>
          <w:kern w:val="0"/>
          <w:sz w:val="32"/>
          <w:szCs w:val="32"/>
          <w:shd w:val="clear" w:color="auto" w:fill="FFFFFF"/>
          <w:lang w:val="zh-CN"/>
        </w:rPr>
        <w:t>2、专项预算项目（待批复项目）支出绩效</w:t>
      </w:r>
    </w:p>
    <w:p>
      <w:pPr>
        <w:widowControl/>
        <w:adjustRightInd w:val="0"/>
        <w:snapToGrid w:val="0"/>
        <w:spacing w:line="540" w:lineRule="exact"/>
        <w:ind w:firstLine="720"/>
        <w:jc w:val="left"/>
        <w:rPr>
          <w:rFonts w:hint="eastAsia" w:asciiTheme="minorEastAsia" w:hAnsiTheme="minorEastAsia" w:eastAsiaTheme="minorEastAsia" w:cstheme="minorEastAsia"/>
          <w:b/>
          <w:color w:val="000000"/>
          <w:kern w:val="0"/>
          <w:sz w:val="32"/>
          <w:szCs w:val="32"/>
          <w:shd w:val="clear" w:color="auto" w:fill="FFFFFF"/>
          <w:lang w:val="zh-CN"/>
        </w:rPr>
      </w:pPr>
      <w:r>
        <w:rPr>
          <w:rFonts w:hint="eastAsia" w:asciiTheme="minorEastAsia" w:hAnsiTheme="minorEastAsia" w:eastAsiaTheme="minorEastAsia" w:cstheme="minorEastAsia"/>
          <w:b/>
          <w:color w:val="000000"/>
          <w:kern w:val="0"/>
          <w:sz w:val="32"/>
          <w:szCs w:val="32"/>
          <w:shd w:val="clear" w:color="auto" w:fill="FFFFFF"/>
          <w:lang w:val="zh-CN"/>
        </w:rPr>
        <w:t>（1）项目资金管理情况。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720"/>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i w:val="0"/>
          <w:caps w:val="0"/>
          <w:color w:val="000000"/>
          <w:spacing w:val="0"/>
          <w:sz w:val="32"/>
          <w:szCs w:val="32"/>
          <w:shd w:val="clear" w:color="auto" w:fill="FFFFFF"/>
        </w:rPr>
        <w:t>项目资金日常支出严格按照用款计划，分季度执行，并制</w:t>
      </w:r>
      <w:r>
        <w:rPr>
          <w:rFonts w:hint="eastAsia" w:asciiTheme="minorEastAsia" w:hAnsiTheme="minorEastAsia" w:eastAsiaTheme="minorEastAsia" w:cstheme="minorEastAsia"/>
          <w:i w:val="0"/>
          <w:caps w:val="0"/>
          <w:color w:val="000000"/>
          <w:spacing w:val="0"/>
          <w:sz w:val="32"/>
          <w:szCs w:val="32"/>
          <w:shd w:val="clear" w:color="auto" w:fill="FFFFFF"/>
          <w:lang w:eastAsia="zh-CN"/>
        </w:rPr>
        <w:t>定</w:t>
      </w:r>
      <w:r>
        <w:rPr>
          <w:rFonts w:hint="eastAsia" w:asciiTheme="minorEastAsia" w:hAnsiTheme="minorEastAsia" w:eastAsiaTheme="minorEastAsia" w:cstheme="minorEastAsia"/>
          <w:i w:val="0"/>
          <w:caps w:val="0"/>
          <w:color w:val="000000"/>
          <w:spacing w:val="0"/>
          <w:sz w:val="32"/>
          <w:szCs w:val="32"/>
          <w:shd w:val="clear" w:color="auto" w:fill="FFFFFF"/>
        </w:rPr>
        <w:t>项目资金管理办法、中长期规划等制度建设等。</w:t>
      </w:r>
    </w:p>
    <w:p>
      <w:pPr>
        <w:widowControl/>
        <w:adjustRightInd w:val="0"/>
        <w:snapToGrid w:val="0"/>
        <w:spacing w:line="540" w:lineRule="exact"/>
        <w:ind w:firstLine="720"/>
        <w:jc w:val="left"/>
        <w:rPr>
          <w:rFonts w:hint="eastAsia" w:asciiTheme="minorEastAsia" w:hAnsiTheme="minorEastAsia" w:eastAsiaTheme="minorEastAsia" w:cstheme="minorEastAsia"/>
          <w:b/>
          <w:color w:val="000000"/>
          <w:kern w:val="0"/>
          <w:sz w:val="32"/>
          <w:szCs w:val="32"/>
          <w:shd w:val="clear" w:color="auto" w:fill="FFFFFF"/>
          <w:lang w:val="zh-CN"/>
        </w:rPr>
      </w:pPr>
      <w:r>
        <w:rPr>
          <w:rFonts w:hint="eastAsia" w:asciiTheme="minorEastAsia" w:hAnsiTheme="minorEastAsia" w:eastAsiaTheme="minorEastAsia" w:cstheme="minorEastAsia"/>
          <w:b/>
          <w:color w:val="000000"/>
          <w:kern w:val="0"/>
          <w:sz w:val="32"/>
          <w:szCs w:val="32"/>
          <w:shd w:val="clear" w:color="auto" w:fill="FFFFFF"/>
          <w:lang w:val="zh-CN"/>
        </w:rPr>
        <w:t>（2）绩效目标完成情况。</w:t>
      </w:r>
    </w:p>
    <w:p>
      <w:pPr>
        <w:widowControl/>
        <w:adjustRightInd w:val="0"/>
        <w:snapToGrid w:val="0"/>
        <w:spacing w:line="540" w:lineRule="exact"/>
        <w:ind w:firstLine="72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snapToGrid w:val="0"/>
          <w:kern w:val="0"/>
          <w:sz w:val="32"/>
          <w:szCs w:val="32"/>
        </w:rPr>
        <w:t>从自评情况来看，我部门支出绩效水平较高，整体上完成了年初设定的绩效目标，保障了部门各单位的正常运转，促进了交通事业发展，充分发挥了财政资金的经济效益和社会效益。</w:t>
      </w:r>
      <w:r>
        <w:rPr>
          <w:rFonts w:hint="eastAsia" w:asciiTheme="minorEastAsia" w:hAnsiTheme="minorEastAsia" w:eastAsiaTheme="minorEastAsia" w:cstheme="minorEastAsia"/>
          <w:b w:val="0"/>
          <w:bCs/>
          <w:color w:val="333333"/>
          <w:kern w:val="0"/>
          <w:sz w:val="32"/>
          <w:szCs w:val="32"/>
        </w:rPr>
        <w:t>结合我局财政资金的使用情况，进行认真的自评，自评</w:t>
      </w:r>
      <w:r>
        <w:rPr>
          <w:rFonts w:hint="eastAsia" w:asciiTheme="minorEastAsia" w:hAnsiTheme="minorEastAsia" w:eastAsiaTheme="minorEastAsia" w:cstheme="minorEastAsia"/>
          <w:b w:val="0"/>
          <w:bCs/>
          <w:color w:val="333333"/>
          <w:kern w:val="0"/>
          <w:sz w:val="32"/>
          <w:szCs w:val="32"/>
          <w:lang w:val="en-US" w:eastAsia="zh-CN"/>
        </w:rPr>
        <w:t>86</w:t>
      </w:r>
      <w:r>
        <w:rPr>
          <w:rFonts w:hint="eastAsia" w:asciiTheme="minorEastAsia" w:hAnsiTheme="minorEastAsia" w:eastAsiaTheme="minorEastAsia" w:cstheme="minorEastAsia"/>
          <w:b w:val="0"/>
          <w:bCs/>
          <w:color w:val="333333"/>
          <w:kern w:val="0"/>
          <w:sz w:val="32"/>
          <w:szCs w:val="32"/>
        </w:rPr>
        <w:t>分。</w:t>
      </w:r>
    </w:p>
    <w:p>
      <w:pPr>
        <w:widowControl/>
        <w:adjustRightInd w:val="0"/>
        <w:snapToGrid w:val="0"/>
        <w:spacing w:line="540" w:lineRule="exact"/>
        <w:ind w:firstLine="72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color w:val="000000"/>
          <w:kern w:val="0"/>
          <w:sz w:val="32"/>
          <w:szCs w:val="32"/>
          <w:shd w:val="clear" w:color="auto" w:fill="FFFFFF"/>
          <w:lang w:val="zh-CN"/>
        </w:rPr>
        <w:t>（四）财务管理情况。</w:t>
      </w:r>
    </w:p>
    <w:p>
      <w:pPr>
        <w:widowControl/>
        <w:adjustRightInd w:val="0"/>
        <w:snapToGrid w:val="0"/>
        <w:spacing w:line="540" w:lineRule="exact"/>
        <w:ind w:firstLine="720"/>
        <w:jc w:val="left"/>
        <w:rPr>
          <w:rFonts w:hint="eastAsia" w:asciiTheme="minorEastAsia" w:hAnsiTheme="minorEastAsia" w:eastAsiaTheme="minorEastAsia" w:cstheme="minorEastAsia"/>
          <w:b w:val="0"/>
          <w:bCs/>
          <w:color w:val="000000"/>
          <w:kern w:val="0"/>
          <w:sz w:val="32"/>
          <w:szCs w:val="32"/>
          <w:shd w:val="clear" w:color="auto" w:fill="FFFFFF"/>
          <w:lang w:val="zh-CN"/>
        </w:rPr>
      </w:pPr>
      <w:r>
        <w:rPr>
          <w:rFonts w:hint="eastAsia" w:asciiTheme="minorEastAsia" w:hAnsiTheme="minorEastAsia" w:eastAsiaTheme="minorEastAsia" w:cstheme="minorEastAsia"/>
          <w:b w:val="0"/>
          <w:bCs/>
          <w:snapToGrid w:val="0"/>
          <w:kern w:val="0"/>
          <w:sz w:val="32"/>
          <w:szCs w:val="32"/>
        </w:rPr>
        <w:t>财政资金均实行专项管理、专款专用。在项目实施过程中，严格按专项资金管理办法和台各项财务管理制度执行。资金拨入和支出会计核算及时、合规合法，审批流程齐全、附件资料完整。</w:t>
      </w:r>
    </w:p>
    <w:p>
      <w:pPr>
        <w:widowControl/>
        <w:adjustRightInd w:val="0"/>
        <w:snapToGrid w:val="0"/>
        <w:spacing w:line="540" w:lineRule="exact"/>
        <w:ind w:firstLine="720"/>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四、评价结论及建议</w:t>
      </w:r>
    </w:p>
    <w:p>
      <w:pPr>
        <w:widowControl/>
        <w:adjustRightInd w:val="0"/>
        <w:snapToGrid w:val="0"/>
        <w:spacing w:line="540" w:lineRule="exact"/>
        <w:ind w:firstLine="720"/>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（一）评价结论。我单位</w:t>
      </w:r>
      <w:r>
        <w:rPr>
          <w:rFonts w:hint="eastAsia" w:asciiTheme="minorEastAsia" w:hAnsiTheme="minorEastAsia" w:eastAsiaTheme="minorEastAsia" w:cstheme="minorEastAsia"/>
          <w:i w:val="0"/>
          <w:caps w:val="0"/>
          <w:color w:val="000000"/>
          <w:spacing w:val="0"/>
          <w:sz w:val="32"/>
          <w:szCs w:val="32"/>
          <w:shd w:val="clear" w:color="auto" w:fill="FFFFFF"/>
        </w:rPr>
        <w:t>部门预算执行情况良好，无不良记录及违规违纪行为，预算支出和决算支出情况相符。</w:t>
      </w:r>
    </w:p>
    <w:p>
      <w:pPr>
        <w:ind w:firstLine="640" w:firstLineChars="200"/>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（二）存在问题。</w:t>
      </w:r>
      <w:r>
        <w:rPr>
          <w:rFonts w:hint="eastAsia" w:asciiTheme="minorEastAsia" w:hAnsiTheme="minorEastAsia" w:eastAsiaTheme="minorEastAsia" w:cstheme="minorEastAsia"/>
          <w:b w:val="0"/>
          <w:bCs/>
          <w:snapToGrid w:val="0"/>
          <w:kern w:val="0"/>
          <w:sz w:val="32"/>
          <w:szCs w:val="32"/>
        </w:rPr>
        <w:t>从绩效评价看，部门支出预算和绩效评价工作还存在部分项目无法用量化指标来进行考评的问题。建议财政加强对绩效评价工作的培训和指导，进一步优化项目绩效考核指标体系，做到合理性与可操作性的有机统</w:t>
      </w:r>
      <w:r>
        <w:rPr>
          <w:rFonts w:hint="eastAsia" w:asciiTheme="minorEastAsia" w:hAnsiTheme="minorEastAsia" w:eastAsiaTheme="minorEastAsia" w:cstheme="minorEastAsia"/>
          <w:b w:val="0"/>
          <w:bCs/>
          <w:snapToGrid w:val="0"/>
          <w:kern w:val="0"/>
          <w:sz w:val="32"/>
          <w:szCs w:val="32"/>
          <w:lang w:eastAsia="zh-CN"/>
        </w:rPr>
        <w:t>一。</w:t>
      </w:r>
    </w:p>
    <w:p>
      <w:pPr>
        <w:widowControl/>
        <w:adjustRightInd w:val="0"/>
        <w:snapToGrid w:val="0"/>
        <w:spacing w:line="540" w:lineRule="exact"/>
        <w:ind w:firstLine="720"/>
        <w:jc w:val="left"/>
        <w:rPr>
          <w:rFonts w:hint="eastAsia" w:asciiTheme="minorEastAsia" w:hAnsiTheme="minorEastAsia" w:eastAsiaTheme="minorEastAsia" w:cstheme="minorEastAsia"/>
          <w:i w:val="0"/>
          <w:caps w:val="0"/>
          <w:color w:val="000000"/>
          <w:spacing w:val="0"/>
          <w:kern w:val="0"/>
          <w:sz w:val="32"/>
          <w:szCs w:val="32"/>
          <w:lang w:val="en-US" w:eastAsia="zh-CN" w:bidi="ar"/>
        </w:rPr>
      </w:pPr>
      <w:r>
        <w:rPr>
          <w:rFonts w:hint="eastAsia" w:asciiTheme="minorEastAsia" w:hAnsiTheme="minorEastAsia" w:eastAsiaTheme="minorEastAsia" w:cstheme="minorEastAsia"/>
          <w:color w:val="000000"/>
          <w:kern w:val="0"/>
          <w:sz w:val="32"/>
          <w:szCs w:val="32"/>
          <w:shd w:val="clear" w:color="auto" w:fill="FFFFFF"/>
          <w:lang w:val="zh-CN"/>
        </w:rPr>
        <w:t>（三）改进建议。</w:t>
      </w:r>
      <w:r>
        <w:rPr>
          <w:rFonts w:hint="eastAsia" w:asciiTheme="minorEastAsia" w:hAnsiTheme="minorEastAsia" w:eastAsiaTheme="minorEastAsia" w:cstheme="minorEastAsia"/>
          <w:i w:val="0"/>
          <w:caps w:val="0"/>
          <w:color w:val="000000"/>
          <w:spacing w:val="0"/>
          <w:kern w:val="0"/>
          <w:sz w:val="32"/>
          <w:szCs w:val="32"/>
          <w:lang w:val="en-US" w:eastAsia="zh-CN" w:bidi="ar"/>
        </w:rPr>
        <w:t>建议继续加大对交通道路建设工作的经费投入，特别是在地方财政投入难度较大的前提下，建议中央和省级财政加大投入，重点倾向在基础建设方面工作服务体系、设备配备、人员培训等方面倾斜。</w:t>
      </w:r>
    </w:p>
    <w:p>
      <w:pPr>
        <w:widowControl/>
        <w:adjustRightInd w:val="0"/>
        <w:snapToGrid w:val="0"/>
        <w:spacing w:line="540" w:lineRule="exact"/>
        <w:ind w:firstLine="720"/>
        <w:jc w:val="left"/>
        <w:rPr>
          <w:rFonts w:hint="eastAsia" w:asciiTheme="minorEastAsia" w:hAnsiTheme="minorEastAsia" w:eastAsiaTheme="minorEastAsia" w:cstheme="minorEastAsia"/>
          <w:i w:val="0"/>
          <w:caps w:val="0"/>
          <w:color w:val="000000"/>
          <w:spacing w:val="0"/>
          <w:kern w:val="0"/>
          <w:sz w:val="32"/>
          <w:szCs w:val="32"/>
          <w:lang w:val="en-US" w:eastAsia="zh-CN" w:bidi="ar"/>
        </w:rPr>
      </w:pPr>
    </w:p>
    <w:p>
      <w:pPr>
        <w:widowControl/>
        <w:adjustRightInd w:val="0"/>
        <w:snapToGrid w:val="0"/>
        <w:spacing w:line="540" w:lineRule="exact"/>
        <w:ind w:firstLine="720"/>
        <w:jc w:val="left"/>
        <w:rPr>
          <w:rFonts w:hint="eastAsia" w:asciiTheme="minorEastAsia" w:hAnsiTheme="minorEastAsia" w:eastAsiaTheme="minorEastAsia" w:cstheme="minorEastAsia"/>
          <w:i w:val="0"/>
          <w:caps w:val="0"/>
          <w:color w:val="000000"/>
          <w:spacing w:val="0"/>
          <w:kern w:val="0"/>
          <w:sz w:val="32"/>
          <w:szCs w:val="32"/>
          <w:lang w:val="en-US" w:eastAsia="zh-CN" w:bidi="ar"/>
        </w:rPr>
      </w:pPr>
    </w:p>
    <w:p>
      <w:pPr>
        <w:widowControl/>
        <w:adjustRightInd w:val="0"/>
        <w:snapToGrid w:val="0"/>
        <w:spacing w:line="540" w:lineRule="exact"/>
        <w:ind w:firstLine="720"/>
        <w:jc w:val="left"/>
        <w:rPr>
          <w:rFonts w:hint="eastAsia" w:asciiTheme="minorEastAsia" w:hAnsiTheme="minorEastAsia" w:eastAsiaTheme="minorEastAsia" w:cstheme="minorEastAsia"/>
          <w:i w:val="0"/>
          <w:caps w:val="0"/>
          <w:color w:val="000000"/>
          <w:spacing w:val="0"/>
          <w:kern w:val="0"/>
          <w:sz w:val="32"/>
          <w:szCs w:val="32"/>
          <w:lang w:val="en-US" w:eastAsia="zh-CN" w:bidi="ar"/>
        </w:rPr>
      </w:pPr>
    </w:p>
    <w:p>
      <w:pPr>
        <w:widowControl/>
        <w:adjustRightInd w:val="0"/>
        <w:snapToGrid w:val="0"/>
        <w:spacing w:line="540" w:lineRule="exact"/>
        <w:ind w:firstLine="720"/>
        <w:jc w:val="left"/>
        <w:rPr>
          <w:rFonts w:hint="eastAsia" w:asciiTheme="minorEastAsia" w:hAnsiTheme="minorEastAsia" w:eastAsiaTheme="minorEastAsia" w:cstheme="minorEastAsia"/>
          <w:i w:val="0"/>
          <w:caps w:val="0"/>
          <w:color w:val="000000"/>
          <w:spacing w:val="0"/>
          <w:kern w:val="0"/>
          <w:sz w:val="32"/>
          <w:szCs w:val="32"/>
          <w:lang w:val="en-US" w:eastAsia="zh-CN" w:bidi="ar"/>
        </w:rPr>
      </w:pPr>
    </w:p>
    <w:p>
      <w:pPr>
        <w:widowControl/>
        <w:adjustRightInd w:val="0"/>
        <w:snapToGrid w:val="0"/>
        <w:spacing w:line="540" w:lineRule="exact"/>
        <w:ind w:firstLine="720"/>
        <w:jc w:val="left"/>
        <w:rPr>
          <w:rFonts w:hint="eastAsia" w:asciiTheme="minorEastAsia" w:hAnsiTheme="minorEastAsia" w:eastAsiaTheme="minorEastAsia" w:cstheme="minorEastAsia"/>
          <w:i w:val="0"/>
          <w:caps w:val="0"/>
          <w:color w:val="000000"/>
          <w:spacing w:val="0"/>
          <w:kern w:val="0"/>
          <w:sz w:val="32"/>
          <w:szCs w:val="32"/>
          <w:lang w:val="en-US" w:eastAsia="zh-CN" w:bidi="ar"/>
        </w:rPr>
      </w:pPr>
    </w:p>
    <w:p>
      <w:pPr>
        <w:widowControl/>
        <w:adjustRightInd w:val="0"/>
        <w:snapToGrid w:val="0"/>
        <w:spacing w:line="540" w:lineRule="exact"/>
        <w:ind w:firstLine="3840" w:firstLineChars="1200"/>
        <w:jc w:val="left"/>
        <w:rPr>
          <w:rFonts w:hint="eastAsia" w:asciiTheme="minorEastAsia" w:hAnsiTheme="minorEastAsia" w:eastAsiaTheme="minorEastAsia" w:cstheme="minorEastAsia"/>
          <w:i w:val="0"/>
          <w:caps w:val="0"/>
          <w:color w:val="000000"/>
          <w:spacing w:val="0"/>
          <w:kern w:val="0"/>
          <w:sz w:val="32"/>
          <w:szCs w:val="32"/>
          <w:lang w:val="en-US" w:eastAsia="zh-CN" w:bidi="ar"/>
        </w:rPr>
      </w:pPr>
      <w:r>
        <w:rPr>
          <w:rFonts w:hint="eastAsia" w:asciiTheme="minorEastAsia" w:hAnsiTheme="minorEastAsia" w:eastAsiaTheme="minorEastAsia" w:cstheme="minorEastAsia"/>
          <w:i w:val="0"/>
          <w:caps w:val="0"/>
          <w:color w:val="000000"/>
          <w:spacing w:val="0"/>
          <w:kern w:val="0"/>
          <w:sz w:val="32"/>
          <w:szCs w:val="32"/>
          <w:lang w:val="en-US" w:eastAsia="zh-CN" w:bidi="ar"/>
        </w:rPr>
        <w:t>攀枝花市仁和区交通运输局</w:t>
      </w:r>
    </w:p>
    <w:p>
      <w:pPr>
        <w:widowControl/>
        <w:adjustRightInd w:val="0"/>
        <w:snapToGrid w:val="0"/>
        <w:spacing w:line="540" w:lineRule="exact"/>
        <w:ind w:firstLine="5200" w:firstLineChars="1625"/>
        <w:jc w:val="left"/>
        <w:rPr>
          <w:rFonts w:hint="eastAsia" w:asciiTheme="minorEastAsia" w:hAnsiTheme="minorEastAsia" w:eastAsiaTheme="minorEastAsia" w:cstheme="minorEastAsia"/>
          <w:i w:val="0"/>
          <w:caps w:val="0"/>
          <w:color w:val="000000"/>
          <w:spacing w:val="0"/>
          <w:kern w:val="0"/>
          <w:sz w:val="32"/>
          <w:szCs w:val="32"/>
          <w:lang w:val="en-US" w:eastAsia="zh-CN" w:bidi="ar"/>
        </w:rPr>
      </w:pPr>
      <w:r>
        <w:rPr>
          <w:rFonts w:hint="eastAsia" w:asciiTheme="minorEastAsia" w:hAnsiTheme="minorEastAsia" w:eastAsiaTheme="minorEastAsia" w:cstheme="minorEastAsia"/>
          <w:i w:val="0"/>
          <w:caps w:val="0"/>
          <w:color w:val="000000"/>
          <w:spacing w:val="0"/>
          <w:kern w:val="0"/>
          <w:sz w:val="32"/>
          <w:szCs w:val="32"/>
          <w:lang w:val="en-US" w:eastAsia="zh-CN" w:bidi="ar"/>
        </w:rPr>
        <w:t>2019年9月22日</w:t>
      </w:r>
    </w:p>
    <w:p>
      <w:pPr>
        <w:spacing w:line="580" w:lineRule="exact"/>
        <w:rPr>
          <w:rFonts w:hint="eastAsia" w:ascii="仿宋_GB2312" w:hAnsi="仿宋_GB2312" w:eastAsia="仿宋_GB2312" w:cs="仿宋_GB2312"/>
          <w:sz w:val="32"/>
          <w:szCs w:val="32"/>
          <w:lang w:eastAsia="zh-CN"/>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6"/>
          <w:rFonts w:ascii="仿宋" w:hAnsi="仿宋" w:eastAsia="仿宋"/>
          <w:b w:val="0"/>
          <w:bCs w:val="0"/>
          <w:sz w:val="32"/>
          <w:szCs w:val="32"/>
        </w:rPr>
      </w:pPr>
      <w:bookmarkStart w:id="61" w:name="_Toc15396617"/>
      <w:r>
        <w:rPr>
          <w:rStyle w:val="26"/>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6"/>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6"/>
          <w:rFonts w:ascii="黑体" w:hAnsi="黑体" w:eastAsia="黑体"/>
          <w:b w:val="0"/>
        </w:rPr>
      </w:pPr>
      <w:bookmarkStart w:id="62"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57F7540"/>
    <w:multiLevelType w:val="singleLevel"/>
    <w:tmpl w:val="D57F7540"/>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9C33789"/>
    <w:multiLevelType w:val="singleLevel"/>
    <w:tmpl w:val="E9C33789"/>
    <w:lvl w:ilvl="0" w:tentative="0">
      <w:start w:val="2"/>
      <w:numFmt w:val="chineseCounting"/>
      <w:suff w:val="nothing"/>
      <w:lvlText w:val="%1、"/>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7"/>
  </w:num>
  <w:num w:numId="3">
    <w:abstractNumId w:val="6"/>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DE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443DD"/>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D3CC1"/>
    <w:rsid w:val="00FF1E02"/>
    <w:rsid w:val="00FF30B4"/>
    <w:rsid w:val="010B2F3B"/>
    <w:rsid w:val="01D94B40"/>
    <w:rsid w:val="02CB2E52"/>
    <w:rsid w:val="033143B1"/>
    <w:rsid w:val="04042697"/>
    <w:rsid w:val="054243D3"/>
    <w:rsid w:val="05D0669C"/>
    <w:rsid w:val="07355059"/>
    <w:rsid w:val="075244D6"/>
    <w:rsid w:val="0A333FE9"/>
    <w:rsid w:val="0A944F05"/>
    <w:rsid w:val="0BFA5A0F"/>
    <w:rsid w:val="0CA164F3"/>
    <w:rsid w:val="0CD733B4"/>
    <w:rsid w:val="0D197195"/>
    <w:rsid w:val="0DB75707"/>
    <w:rsid w:val="0E2B608E"/>
    <w:rsid w:val="0E7E5001"/>
    <w:rsid w:val="0ED87683"/>
    <w:rsid w:val="0FBC40E1"/>
    <w:rsid w:val="101C3E26"/>
    <w:rsid w:val="101F733E"/>
    <w:rsid w:val="10564D1C"/>
    <w:rsid w:val="10C055FF"/>
    <w:rsid w:val="10F57633"/>
    <w:rsid w:val="124703EF"/>
    <w:rsid w:val="128075EA"/>
    <w:rsid w:val="12A45F80"/>
    <w:rsid w:val="13F75151"/>
    <w:rsid w:val="142E63D7"/>
    <w:rsid w:val="146874A3"/>
    <w:rsid w:val="147C53BC"/>
    <w:rsid w:val="14BE063D"/>
    <w:rsid w:val="14D351D0"/>
    <w:rsid w:val="161428F1"/>
    <w:rsid w:val="168015B3"/>
    <w:rsid w:val="16BB723D"/>
    <w:rsid w:val="16DB4249"/>
    <w:rsid w:val="17EC21EB"/>
    <w:rsid w:val="17F76D59"/>
    <w:rsid w:val="189D2504"/>
    <w:rsid w:val="18BE2390"/>
    <w:rsid w:val="18C16664"/>
    <w:rsid w:val="18D73333"/>
    <w:rsid w:val="18E20D58"/>
    <w:rsid w:val="1943777E"/>
    <w:rsid w:val="19B522C2"/>
    <w:rsid w:val="19F51EA4"/>
    <w:rsid w:val="1A3C2EB1"/>
    <w:rsid w:val="1A6F39BA"/>
    <w:rsid w:val="1B2D689D"/>
    <w:rsid w:val="1D0144D2"/>
    <w:rsid w:val="1DBB449E"/>
    <w:rsid w:val="1F744CEC"/>
    <w:rsid w:val="207D2754"/>
    <w:rsid w:val="21180773"/>
    <w:rsid w:val="216E31C4"/>
    <w:rsid w:val="21C05126"/>
    <w:rsid w:val="21CF2A5F"/>
    <w:rsid w:val="21D70C03"/>
    <w:rsid w:val="23F75E9C"/>
    <w:rsid w:val="240371BF"/>
    <w:rsid w:val="24DD5A71"/>
    <w:rsid w:val="26720872"/>
    <w:rsid w:val="270A5E00"/>
    <w:rsid w:val="27260B63"/>
    <w:rsid w:val="27CE4C32"/>
    <w:rsid w:val="27F34B8A"/>
    <w:rsid w:val="28242FEC"/>
    <w:rsid w:val="2891788F"/>
    <w:rsid w:val="28B73E2E"/>
    <w:rsid w:val="28CE4048"/>
    <w:rsid w:val="29FD04D3"/>
    <w:rsid w:val="2A2A6218"/>
    <w:rsid w:val="2A2A77CA"/>
    <w:rsid w:val="2BDA4371"/>
    <w:rsid w:val="2C6B2247"/>
    <w:rsid w:val="2EC17E72"/>
    <w:rsid w:val="2F232933"/>
    <w:rsid w:val="2FAB6984"/>
    <w:rsid w:val="307026AC"/>
    <w:rsid w:val="3172145E"/>
    <w:rsid w:val="317F774E"/>
    <w:rsid w:val="318265BE"/>
    <w:rsid w:val="319F7F4E"/>
    <w:rsid w:val="31DA3FBD"/>
    <w:rsid w:val="33F806A8"/>
    <w:rsid w:val="35CC698D"/>
    <w:rsid w:val="369055B8"/>
    <w:rsid w:val="36BC0DE9"/>
    <w:rsid w:val="37132A8F"/>
    <w:rsid w:val="37154830"/>
    <w:rsid w:val="393D7632"/>
    <w:rsid w:val="39B02AA6"/>
    <w:rsid w:val="3B04011C"/>
    <w:rsid w:val="3BB92958"/>
    <w:rsid w:val="3BC66DE4"/>
    <w:rsid w:val="3C311AC2"/>
    <w:rsid w:val="3EB34D0A"/>
    <w:rsid w:val="3F1C6BBC"/>
    <w:rsid w:val="3FB160AE"/>
    <w:rsid w:val="400C44E7"/>
    <w:rsid w:val="409A6594"/>
    <w:rsid w:val="418A5086"/>
    <w:rsid w:val="418D6448"/>
    <w:rsid w:val="423A58A5"/>
    <w:rsid w:val="43D030CB"/>
    <w:rsid w:val="43F66F51"/>
    <w:rsid w:val="45E52866"/>
    <w:rsid w:val="460C5F86"/>
    <w:rsid w:val="463E5977"/>
    <w:rsid w:val="468D134C"/>
    <w:rsid w:val="473F4868"/>
    <w:rsid w:val="48F23ADD"/>
    <w:rsid w:val="4B4D3E48"/>
    <w:rsid w:val="4B9468CB"/>
    <w:rsid w:val="4C00510C"/>
    <w:rsid w:val="4C59015A"/>
    <w:rsid w:val="4C637042"/>
    <w:rsid w:val="4E035C20"/>
    <w:rsid w:val="4EDA72C3"/>
    <w:rsid w:val="4F570713"/>
    <w:rsid w:val="4F92679B"/>
    <w:rsid w:val="51842308"/>
    <w:rsid w:val="51DD4CE6"/>
    <w:rsid w:val="531559A7"/>
    <w:rsid w:val="54B85D2B"/>
    <w:rsid w:val="569F02CE"/>
    <w:rsid w:val="56B8450E"/>
    <w:rsid w:val="579B05EB"/>
    <w:rsid w:val="57FB5403"/>
    <w:rsid w:val="584144E7"/>
    <w:rsid w:val="58D25AD6"/>
    <w:rsid w:val="590E22C2"/>
    <w:rsid w:val="5A48365A"/>
    <w:rsid w:val="5A6F53AB"/>
    <w:rsid w:val="5B7D4585"/>
    <w:rsid w:val="5BB27385"/>
    <w:rsid w:val="5CB2391D"/>
    <w:rsid w:val="5CCA12A6"/>
    <w:rsid w:val="5D161476"/>
    <w:rsid w:val="5D197474"/>
    <w:rsid w:val="5D3374E8"/>
    <w:rsid w:val="5DD2738E"/>
    <w:rsid w:val="5DDB0E23"/>
    <w:rsid w:val="5F2E231D"/>
    <w:rsid w:val="61300B6B"/>
    <w:rsid w:val="613C5FB5"/>
    <w:rsid w:val="63DE0CF0"/>
    <w:rsid w:val="64407A51"/>
    <w:rsid w:val="65266163"/>
    <w:rsid w:val="65293285"/>
    <w:rsid w:val="67206E67"/>
    <w:rsid w:val="673D2DBE"/>
    <w:rsid w:val="687421CA"/>
    <w:rsid w:val="687D25A1"/>
    <w:rsid w:val="69063B34"/>
    <w:rsid w:val="69262A86"/>
    <w:rsid w:val="69B46B8B"/>
    <w:rsid w:val="6C981F2E"/>
    <w:rsid w:val="6CCC54D4"/>
    <w:rsid w:val="6E48019D"/>
    <w:rsid w:val="6E9E6B7C"/>
    <w:rsid w:val="6F9022A1"/>
    <w:rsid w:val="6F9F6422"/>
    <w:rsid w:val="6FCC791E"/>
    <w:rsid w:val="6FFF355B"/>
    <w:rsid w:val="71137854"/>
    <w:rsid w:val="73E5482A"/>
    <w:rsid w:val="745101FB"/>
    <w:rsid w:val="77232780"/>
    <w:rsid w:val="77E56DBC"/>
    <w:rsid w:val="783B677F"/>
    <w:rsid w:val="78835867"/>
    <w:rsid w:val="7A7A30B6"/>
    <w:rsid w:val="7C451E57"/>
    <w:rsid w:val="7D1E034B"/>
    <w:rsid w:val="7D5A2A19"/>
    <w:rsid w:val="7E505A36"/>
    <w:rsid w:val="7E9E58BC"/>
    <w:rsid w:val="7EA82355"/>
    <w:rsid w:val="7EA9205C"/>
    <w:rsid w:val="7F9168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1439</Words>
  <Characters>8203</Characters>
  <Lines>68</Lines>
  <Paragraphs>19</Paragraphs>
  <TotalTime>1</TotalTime>
  <ScaleCrop>false</ScaleCrop>
  <LinksUpToDate>false</LinksUpToDate>
  <CharactersWithSpaces>9623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代馨莉</cp:lastModifiedBy>
  <cp:lastPrinted>2019-08-01T00:48:00Z</cp:lastPrinted>
  <dcterms:modified xsi:type="dcterms:W3CDTF">2024-12-25T03:24:20Z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B08889AA70234D02BCCB2104A7B30254</vt:lpwstr>
  </property>
</Properties>
</file>