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val="0"/>
        <w:autoSpaceDN w:val="0"/>
        <w:bidi w:val="0"/>
        <w:adjustRightInd w:val="0"/>
        <w:snapToGrid/>
        <w:spacing w:beforeLines="0" w:afterLines="0" w:line="0" w:lineRule="atLeast"/>
        <w:jc w:val="center"/>
        <w:textAlignment w:val="auto"/>
        <w:rPr>
          <w:rFonts w:hint="eastAsia" w:ascii="方正小标宋简体" w:hAnsi="方正小标宋简体" w:eastAsia="方正小标宋简体"/>
          <w:kern w:val="2"/>
          <w:sz w:val="72"/>
          <w:szCs w:val="24"/>
          <w:lang w:val="zh-CN"/>
        </w:rPr>
      </w:pPr>
    </w:p>
    <w:p>
      <w:pPr>
        <w:keepNext w:val="0"/>
        <w:keepLines w:val="0"/>
        <w:pageBreakBefore w:val="0"/>
        <w:widowControl w:val="0"/>
        <w:kinsoku/>
        <w:wordWrap/>
        <w:overflowPunct/>
        <w:topLinePunct w:val="0"/>
        <w:autoSpaceDE w:val="0"/>
        <w:autoSpaceDN w:val="0"/>
        <w:bidi w:val="0"/>
        <w:adjustRightInd w:val="0"/>
        <w:snapToGrid/>
        <w:spacing w:beforeLines="0" w:afterLines="0" w:line="0" w:lineRule="atLeast"/>
        <w:jc w:val="center"/>
        <w:textAlignment w:val="auto"/>
        <w:rPr>
          <w:rFonts w:hint="eastAsia" w:ascii="方正小标宋简体" w:hAnsi="方正小标宋简体" w:eastAsia="方正小标宋简体"/>
          <w:kern w:val="2"/>
          <w:sz w:val="72"/>
          <w:szCs w:val="24"/>
          <w:lang w:val="zh-CN"/>
        </w:rPr>
      </w:pPr>
    </w:p>
    <w:p>
      <w:pPr>
        <w:keepNext w:val="0"/>
        <w:keepLines w:val="0"/>
        <w:pageBreakBefore w:val="0"/>
        <w:widowControl w:val="0"/>
        <w:kinsoku/>
        <w:wordWrap/>
        <w:overflowPunct/>
        <w:topLinePunct w:val="0"/>
        <w:autoSpaceDE w:val="0"/>
        <w:autoSpaceDN w:val="0"/>
        <w:bidi w:val="0"/>
        <w:adjustRightInd w:val="0"/>
        <w:snapToGrid/>
        <w:spacing w:beforeLines="0" w:afterLines="0" w:line="0" w:lineRule="atLeast"/>
        <w:jc w:val="center"/>
        <w:textAlignment w:val="auto"/>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keepNext w:val="0"/>
        <w:keepLines w:val="0"/>
        <w:pageBreakBefore w:val="0"/>
        <w:widowControl w:val="0"/>
        <w:kinsoku/>
        <w:wordWrap/>
        <w:overflowPunct/>
        <w:topLinePunct w:val="0"/>
        <w:autoSpaceDE w:val="0"/>
        <w:autoSpaceDN w:val="0"/>
        <w:bidi w:val="0"/>
        <w:adjustRightInd w:val="0"/>
        <w:snapToGrid/>
        <w:spacing w:beforeLines="0" w:afterLines="0" w:line="0" w:lineRule="atLeast"/>
        <w:jc w:val="center"/>
        <w:textAlignment w:val="auto"/>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攀枝花市仁和区市场监督管理局部门决算</w:t>
      </w:r>
    </w:p>
    <w:p>
      <w:pPr>
        <w:keepNext/>
        <w:keepLines/>
        <w:tabs>
          <w:tab w:val="right" w:leader="dot" w:pos="8296"/>
        </w:tabs>
        <w:spacing w:beforeLines="0" w:afterLines="0" w:line="576" w:lineRule="exact"/>
        <w:rPr>
          <w:rFonts w:hint="eastAsia" w:ascii="黑体" w:hAnsi="黑体" w:eastAsia="黑体"/>
          <w:b/>
          <w:color w:val="FF0000"/>
          <w:kern w:val="2"/>
          <w:sz w:val="48"/>
          <w:szCs w:val="24"/>
          <w:lang w:val="zh-CN"/>
        </w:rPr>
      </w:pPr>
    </w:p>
    <w:p>
      <w:pPr>
        <w:spacing w:beforeLines="0" w:afterLines="0"/>
        <w:jc w:val="center"/>
        <w:rPr>
          <w:rFonts w:hint="eastAsia" w:ascii="黑体" w:hAnsi="黑体" w:eastAsia="黑体"/>
          <w:color w:val="auto"/>
          <w:kern w:val="2"/>
          <w:sz w:val="48"/>
          <w:szCs w:val="24"/>
          <w:lang w:val="zh-CN"/>
        </w:rPr>
      </w:pPr>
      <w:r>
        <w:rPr>
          <w:rFonts w:hint="eastAsia" w:ascii="黑体" w:hAnsi="黑体" w:eastAsia="黑体"/>
          <w:color w:val="auto"/>
          <w:kern w:val="2"/>
          <w:sz w:val="48"/>
          <w:szCs w:val="24"/>
          <w:lang w:val="zh-CN"/>
        </w:rPr>
        <w:br w:type="page"/>
      </w:r>
      <w:r>
        <w:rPr>
          <w:rFonts w:hint="eastAsia" w:ascii="黑体" w:hAnsi="黑体" w:eastAsia="黑体"/>
          <w:color w:val="auto"/>
          <w:kern w:val="2"/>
          <w:sz w:val="48"/>
          <w:szCs w:val="24"/>
          <w:lang w:val="zh-CN"/>
        </w:rPr>
        <w:t>目录</w:t>
      </w:r>
    </w:p>
    <w:p>
      <w:pPr>
        <w:spacing w:beforeLines="0" w:afterLines="0"/>
        <w:jc w:val="center"/>
        <w:rPr>
          <w:rFonts w:hint="eastAsia" w:ascii="黑体" w:hAnsi="黑体" w:eastAsia="黑体"/>
          <w:color w:val="auto"/>
          <w:kern w:val="2"/>
          <w:sz w:val="28"/>
          <w:szCs w:val="24"/>
          <w:lang w:val="zh-CN"/>
        </w:rPr>
      </w:pPr>
    </w:p>
    <w:p>
      <w:pPr>
        <w:tabs>
          <w:tab w:val="right" w:leader="dot" w:pos="8296"/>
        </w:tabs>
        <w:spacing w:before="93" w:beforeLines="0" w:afterLines="0"/>
        <w:jc w:val="center"/>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 xml:space="preserve">公开时间：2023年 </w:t>
      </w:r>
      <w:r>
        <w:rPr>
          <w:rFonts w:hint="eastAsia" w:ascii="仿宋" w:hAnsi="仿宋" w:eastAsia="仿宋"/>
          <w:color w:val="auto"/>
          <w:kern w:val="2"/>
          <w:sz w:val="28"/>
          <w:szCs w:val="24"/>
          <w:lang w:val="en-US" w:eastAsia="zh-CN"/>
        </w:rPr>
        <w:t>09</w:t>
      </w:r>
      <w:r>
        <w:rPr>
          <w:rFonts w:hint="eastAsia" w:ascii="仿宋" w:hAnsi="仿宋" w:eastAsia="仿宋"/>
          <w:color w:val="auto"/>
          <w:kern w:val="2"/>
          <w:sz w:val="28"/>
          <w:szCs w:val="24"/>
          <w:lang w:val="zh-CN"/>
        </w:rPr>
        <w:t xml:space="preserve"> 月 </w:t>
      </w:r>
      <w:r>
        <w:rPr>
          <w:rFonts w:hint="eastAsia" w:ascii="仿宋" w:hAnsi="仿宋" w:eastAsia="仿宋"/>
          <w:color w:val="auto"/>
          <w:kern w:val="2"/>
          <w:sz w:val="28"/>
          <w:szCs w:val="24"/>
          <w:lang w:val="en-US" w:eastAsia="zh-CN"/>
        </w:rPr>
        <w:t>26</w:t>
      </w:r>
      <w:r>
        <w:rPr>
          <w:rFonts w:hint="eastAsia" w:ascii="仿宋" w:hAnsi="仿宋" w:eastAsia="仿宋"/>
          <w:color w:val="auto"/>
          <w:kern w:val="2"/>
          <w:sz w:val="28"/>
          <w:szCs w:val="24"/>
          <w:lang w:val="zh-CN"/>
        </w:rPr>
        <w:t xml:space="preserve"> 日</w:t>
      </w:r>
    </w:p>
    <w:p>
      <w:pPr>
        <w:spacing w:beforeLines="0" w:afterLines="0"/>
        <w:jc w:val="both"/>
        <w:rPr>
          <w:rFonts w:hint="eastAsia" w:ascii="Times New Roman" w:hAnsi="Times New Roman" w:eastAsia="Times New Roman"/>
          <w:color w:val="auto"/>
          <w:kern w:val="2"/>
          <w:sz w:val="21"/>
          <w:szCs w:val="24"/>
          <w:lang w:val="zh-CN"/>
        </w:rPr>
      </w:pPr>
    </w:p>
    <w:p>
      <w:pPr>
        <w:tabs>
          <w:tab w:val="right" w:leader="dot" w:pos="8296"/>
        </w:tabs>
        <w:spacing w:beforeLines="0" w:afterLines="0" w:line="440" w:lineRule="exact"/>
        <w:ind w:firstLine="241" w:firstLineChars="100"/>
        <w:rPr>
          <w:rFonts w:hint="default" w:ascii="仿宋" w:hAnsi="仿宋" w:eastAsia="仿宋"/>
          <w:color w:val="auto"/>
          <w:kern w:val="2"/>
          <w:sz w:val="24"/>
          <w:szCs w:val="24"/>
          <w:lang w:val="en-US" w:eastAsia="zh-CN"/>
        </w:rPr>
      </w:pPr>
      <w:r>
        <w:rPr>
          <w:rFonts w:hint="eastAsia" w:ascii="宋体" w:hAnsi="宋体" w:eastAsia="宋体" w:cs="宋体"/>
          <w:b/>
          <w:color w:val="auto"/>
          <w:kern w:val="2"/>
          <w:sz w:val="24"/>
          <w:szCs w:val="24"/>
          <w:lang w:val="zh-CN"/>
        </w:rPr>
        <w:t>第一部分 部门概况</w:t>
      </w:r>
      <w:r>
        <w:rPr>
          <w:rFonts w:hint="eastAsia" w:ascii="仿宋" w:hAnsi="仿宋" w:eastAsia="仿宋"/>
          <w:color w:val="auto"/>
          <w:kern w:val="2"/>
          <w:sz w:val="24"/>
          <w:szCs w:val="24"/>
          <w:lang w:val="en-US" w:eastAsia="zh-CN"/>
        </w:rPr>
        <w:t>............................................4-5</w:t>
      </w:r>
    </w:p>
    <w:p>
      <w:pPr>
        <w:tabs>
          <w:tab w:val="right" w:leader="dot" w:pos="8296"/>
        </w:tabs>
        <w:spacing w:beforeLines="0" w:afterLines="0" w:line="440" w:lineRule="exact"/>
        <w:ind w:left="420"/>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一、部门职责</w:t>
      </w:r>
      <w:r>
        <w:rPr>
          <w:rFonts w:hint="eastAsia" w:ascii="宋体" w:hAnsi="宋体" w:eastAsia="宋体"/>
          <w:color w:val="auto"/>
          <w:kern w:val="2"/>
          <w:sz w:val="24"/>
          <w:szCs w:val="24"/>
          <w:lang w:val="en-US" w:eastAsia="zh-CN"/>
        </w:rPr>
        <w:t>...............................................4</w:t>
      </w:r>
    </w:p>
    <w:p>
      <w:pPr>
        <w:tabs>
          <w:tab w:val="right" w:leader="dot" w:pos="8296"/>
        </w:tabs>
        <w:spacing w:beforeLines="0" w:afterLines="0" w:line="440" w:lineRule="exact"/>
        <w:ind w:left="420"/>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二、机构设置</w:t>
      </w:r>
      <w:r>
        <w:rPr>
          <w:rFonts w:hint="eastAsia" w:ascii="宋体" w:hAnsi="宋体" w:eastAsia="宋体"/>
          <w:color w:val="auto"/>
          <w:kern w:val="2"/>
          <w:sz w:val="24"/>
          <w:szCs w:val="24"/>
          <w:lang w:val="en-US" w:eastAsia="zh-CN"/>
        </w:rPr>
        <w:t>...............................................</w:t>
      </w:r>
      <w:r>
        <w:rPr>
          <w:rFonts w:hint="eastAsia" w:ascii="仿宋" w:hAnsi="仿宋" w:eastAsia="仿宋"/>
          <w:color w:val="auto"/>
          <w:kern w:val="2"/>
          <w:sz w:val="24"/>
          <w:szCs w:val="24"/>
          <w:lang w:val="en-US" w:eastAsia="zh-CN"/>
        </w:rPr>
        <w:t>4-5</w:t>
      </w:r>
    </w:p>
    <w:p>
      <w:pPr>
        <w:tabs>
          <w:tab w:val="right" w:leader="dot" w:pos="8296"/>
        </w:tabs>
        <w:spacing w:beforeLines="0" w:afterLines="0" w:line="440" w:lineRule="exact"/>
        <w:ind w:firstLine="241" w:firstLineChars="100"/>
        <w:rPr>
          <w:rFonts w:hint="eastAsia" w:ascii="仿宋" w:hAnsi="仿宋" w:eastAsia="仿宋"/>
          <w:color w:val="auto"/>
          <w:kern w:val="2"/>
          <w:sz w:val="24"/>
          <w:szCs w:val="24"/>
          <w:lang w:val="en-US" w:eastAsia="zh-CN"/>
        </w:rPr>
      </w:pPr>
      <w:r>
        <w:rPr>
          <w:rFonts w:hint="eastAsia" w:ascii="宋体" w:hAnsi="宋体" w:eastAsia="宋体" w:cs="宋体"/>
          <w:b/>
          <w:color w:val="auto"/>
          <w:kern w:val="2"/>
          <w:sz w:val="24"/>
          <w:szCs w:val="24"/>
          <w:lang w:val="zh-CN"/>
        </w:rPr>
        <w:t>第二部分 2022年度部门决算情况说明</w:t>
      </w:r>
      <w:r>
        <w:rPr>
          <w:rFonts w:hint="eastAsia" w:ascii="仿宋" w:hAnsi="仿宋" w:eastAsia="仿宋"/>
          <w:color w:val="auto"/>
          <w:kern w:val="2"/>
          <w:sz w:val="24"/>
          <w:szCs w:val="24"/>
          <w:lang w:val="en-US" w:eastAsia="zh-CN"/>
        </w:rPr>
        <w:t>............................5</w:t>
      </w:r>
    </w:p>
    <w:p>
      <w:pPr>
        <w:tabs>
          <w:tab w:val="right" w:leader="dot" w:pos="8296"/>
        </w:tabs>
        <w:spacing w:beforeLines="0" w:afterLines="0" w:line="440" w:lineRule="exact"/>
        <w:ind w:left="420"/>
        <w:rPr>
          <w:rFonts w:hint="default"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一、收入支出决算总体情况说明</w:t>
      </w:r>
      <w:r>
        <w:rPr>
          <w:rFonts w:hint="eastAsia" w:ascii="宋体" w:hAnsi="宋体" w:eastAsia="宋体"/>
          <w:color w:val="auto"/>
          <w:kern w:val="2"/>
          <w:sz w:val="24"/>
          <w:szCs w:val="24"/>
          <w:lang w:val="en-US" w:eastAsia="zh-CN"/>
        </w:rPr>
        <w:t>................................5</w:t>
      </w:r>
    </w:p>
    <w:p>
      <w:pPr>
        <w:tabs>
          <w:tab w:val="right" w:leader="dot" w:pos="8296"/>
        </w:tabs>
        <w:spacing w:beforeLines="0" w:afterLines="0" w:line="440" w:lineRule="exact"/>
        <w:ind w:left="420"/>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二、收入决算情况说明</w:t>
      </w:r>
      <w:r>
        <w:rPr>
          <w:rFonts w:hint="eastAsia" w:ascii="宋体" w:hAnsi="宋体" w:eastAsia="宋体"/>
          <w:color w:val="auto"/>
          <w:kern w:val="2"/>
          <w:sz w:val="24"/>
          <w:szCs w:val="24"/>
          <w:lang w:val="en-US" w:eastAsia="zh-CN"/>
        </w:rPr>
        <w:t>........................................6</w:t>
      </w:r>
    </w:p>
    <w:p>
      <w:pPr>
        <w:tabs>
          <w:tab w:val="right" w:leader="dot" w:pos="8296"/>
        </w:tabs>
        <w:spacing w:beforeLines="0" w:afterLines="0" w:line="440" w:lineRule="exact"/>
        <w:ind w:left="420"/>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三、支出决算情况说明</w:t>
      </w:r>
      <w:r>
        <w:rPr>
          <w:rFonts w:hint="eastAsia" w:ascii="宋体" w:hAnsi="宋体" w:eastAsia="宋体"/>
          <w:color w:val="auto"/>
          <w:kern w:val="2"/>
          <w:sz w:val="24"/>
          <w:szCs w:val="24"/>
          <w:lang w:val="en-US" w:eastAsia="zh-CN"/>
        </w:rPr>
        <w:t>........................................6</w:t>
      </w:r>
    </w:p>
    <w:p>
      <w:pPr>
        <w:tabs>
          <w:tab w:val="right" w:leader="dot" w:pos="8296"/>
        </w:tabs>
        <w:spacing w:beforeLines="0" w:afterLines="0" w:line="440" w:lineRule="exact"/>
        <w:ind w:left="420"/>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四、财政拨款收入支出决算总体情况说明</w:t>
      </w:r>
      <w:r>
        <w:rPr>
          <w:rFonts w:hint="eastAsia" w:ascii="宋体" w:hAnsi="宋体" w:eastAsia="宋体"/>
          <w:color w:val="auto"/>
          <w:kern w:val="2"/>
          <w:sz w:val="24"/>
          <w:szCs w:val="24"/>
          <w:lang w:val="en-US" w:eastAsia="zh-CN"/>
        </w:rPr>
        <w:t>........................7</w:t>
      </w:r>
    </w:p>
    <w:p>
      <w:pPr>
        <w:tabs>
          <w:tab w:val="right" w:leader="dot" w:pos="8296"/>
        </w:tabs>
        <w:spacing w:beforeLines="0" w:afterLines="0" w:line="440" w:lineRule="exact"/>
        <w:ind w:left="420"/>
        <w:rPr>
          <w:rFonts w:hint="default"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五、一般公共预算财政拨款支出决算情况说明</w:t>
      </w:r>
      <w:r>
        <w:rPr>
          <w:rFonts w:hint="eastAsia" w:ascii="宋体" w:hAnsi="宋体" w:eastAsia="宋体"/>
          <w:color w:val="auto"/>
          <w:kern w:val="2"/>
          <w:sz w:val="24"/>
          <w:szCs w:val="24"/>
          <w:lang w:val="en-US" w:eastAsia="zh-CN"/>
        </w:rPr>
        <w:t>....................7-10</w:t>
      </w:r>
    </w:p>
    <w:p>
      <w:pPr>
        <w:tabs>
          <w:tab w:val="right" w:leader="dot" w:pos="8296"/>
        </w:tabs>
        <w:spacing w:beforeLines="0" w:afterLines="0" w:line="440" w:lineRule="exact"/>
        <w:ind w:left="420"/>
        <w:rPr>
          <w:rFonts w:hint="default"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六、一般公共预算财政拨款基本支出决算情况说明</w:t>
      </w:r>
      <w:r>
        <w:rPr>
          <w:rFonts w:hint="eastAsia" w:ascii="宋体" w:hAnsi="宋体" w:eastAsia="宋体"/>
          <w:color w:val="auto"/>
          <w:kern w:val="2"/>
          <w:sz w:val="24"/>
          <w:szCs w:val="24"/>
          <w:lang w:val="en-US" w:eastAsia="zh-CN"/>
        </w:rPr>
        <w:t>................10-11</w:t>
      </w:r>
    </w:p>
    <w:p>
      <w:pPr>
        <w:tabs>
          <w:tab w:val="right" w:leader="dot" w:pos="8296"/>
        </w:tabs>
        <w:spacing w:beforeLines="0" w:afterLines="0" w:line="440" w:lineRule="exact"/>
        <w:ind w:left="420"/>
        <w:rPr>
          <w:rFonts w:hint="default"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七、财政拨款“三公”经费支出决算情况说明</w:t>
      </w:r>
      <w:r>
        <w:rPr>
          <w:rFonts w:hint="eastAsia" w:ascii="宋体" w:hAnsi="宋体" w:eastAsia="宋体"/>
          <w:color w:val="auto"/>
          <w:kern w:val="2"/>
          <w:sz w:val="24"/>
          <w:szCs w:val="24"/>
          <w:lang w:val="en-US" w:eastAsia="zh-CN"/>
        </w:rPr>
        <w:t>....................11-13</w:t>
      </w:r>
    </w:p>
    <w:p>
      <w:pPr>
        <w:tabs>
          <w:tab w:val="right" w:leader="dot" w:pos="8296"/>
        </w:tabs>
        <w:spacing w:beforeLines="0" w:afterLines="0" w:line="440" w:lineRule="exact"/>
        <w:ind w:left="420"/>
        <w:rPr>
          <w:rFonts w:hint="eastAsia" w:ascii="仿宋" w:hAnsi="仿宋" w:eastAsia="仿宋"/>
          <w:color w:val="auto"/>
          <w:kern w:val="2"/>
          <w:sz w:val="24"/>
          <w:szCs w:val="24"/>
          <w:lang w:val="en-US" w:eastAsia="zh-CN"/>
        </w:rPr>
      </w:pPr>
      <w:r>
        <w:rPr>
          <w:rFonts w:hint="eastAsia" w:ascii="宋体" w:hAnsi="宋体" w:eastAsia="宋体"/>
          <w:color w:val="auto"/>
          <w:kern w:val="2"/>
          <w:sz w:val="24"/>
          <w:szCs w:val="24"/>
          <w:lang w:val="zh-CN"/>
        </w:rPr>
        <w:t>八、政府性基金预算支出决算情况说明</w:t>
      </w:r>
      <w:r>
        <w:rPr>
          <w:rFonts w:hint="eastAsia" w:ascii="宋体" w:hAnsi="宋体" w:eastAsia="宋体"/>
          <w:color w:val="auto"/>
          <w:kern w:val="2"/>
          <w:sz w:val="24"/>
          <w:szCs w:val="24"/>
          <w:lang w:val="en-US" w:eastAsia="zh-CN"/>
        </w:rPr>
        <w:t>..........................13</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九、国有资本经营预算支出决算情况说明</w:t>
      </w:r>
      <w:r>
        <w:rPr>
          <w:rFonts w:hint="eastAsia" w:ascii="宋体" w:hAnsi="宋体" w:eastAsia="宋体"/>
          <w:color w:val="auto"/>
          <w:kern w:val="2"/>
          <w:sz w:val="24"/>
          <w:szCs w:val="24"/>
          <w:lang w:val="en-US" w:eastAsia="zh-CN"/>
        </w:rPr>
        <w:t>........................13</w:t>
      </w:r>
    </w:p>
    <w:p>
      <w:pPr>
        <w:keepNext/>
        <w:keepLines/>
        <w:spacing w:beforeLines="0" w:afterLines="0" w:line="440" w:lineRule="exact"/>
        <w:ind w:firstLine="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十、其他重要事项的情况说明</w:t>
      </w:r>
      <w:r>
        <w:rPr>
          <w:rFonts w:hint="eastAsia" w:ascii="宋体" w:hAnsi="宋体" w:eastAsia="宋体"/>
          <w:color w:val="auto"/>
          <w:kern w:val="2"/>
          <w:sz w:val="24"/>
          <w:szCs w:val="24"/>
          <w:lang w:val="zh-CN"/>
        </w:rPr>
        <w:tab/>
      </w:r>
      <w:r>
        <w:rPr>
          <w:rFonts w:hint="eastAsia" w:ascii="宋体" w:hAnsi="宋体" w:eastAsia="宋体"/>
          <w:color w:val="auto"/>
          <w:kern w:val="2"/>
          <w:sz w:val="24"/>
          <w:szCs w:val="24"/>
          <w:lang w:val="en-US" w:eastAsia="zh-CN"/>
        </w:rPr>
        <w:t>.................................13-14</w:t>
      </w:r>
    </w:p>
    <w:p>
      <w:pPr>
        <w:tabs>
          <w:tab w:val="right" w:leader="dot" w:pos="8296"/>
        </w:tabs>
        <w:spacing w:beforeLines="0" w:afterLines="0" w:line="440" w:lineRule="exact"/>
        <w:ind w:firstLine="241" w:firstLineChars="100"/>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zh-CN"/>
        </w:rPr>
        <w:t>第三部分 名词解释</w:t>
      </w:r>
      <w:r>
        <w:rPr>
          <w:rFonts w:hint="eastAsia" w:ascii="宋体" w:hAnsi="宋体" w:eastAsia="宋体" w:cs="宋体"/>
          <w:b/>
          <w:color w:val="auto"/>
          <w:kern w:val="2"/>
          <w:sz w:val="24"/>
          <w:szCs w:val="24"/>
          <w:lang w:val="en-US" w:eastAsia="zh-CN"/>
        </w:rPr>
        <w:t>............................................</w:t>
      </w:r>
      <w:r>
        <w:rPr>
          <w:rFonts w:hint="eastAsia" w:ascii="宋体" w:hAnsi="宋体" w:eastAsia="宋体" w:cs="宋体"/>
          <w:b w:val="0"/>
          <w:bCs/>
          <w:color w:val="auto"/>
          <w:kern w:val="2"/>
          <w:sz w:val="24"/>
          <w:szCs w:val="24"/>
          <w:lang w:val="en-US" w:eastAsia="zh-CN"/>
        </w:rPr>
        <w:t>14</w:t>
      </w:r>
      <w:r>
        <w:rPr>
          <w:rFonts w:hint="eastAsia" w:ascii="宋体" w:hAnsi="宋体" w:eastAsia="宋体" w:cs="Times New Roman"/>
          <w:color w:val="auto"/>
          <w:kern w:val="2"/>
          <w:sz w:val="24"/>
          <w:szCs w:val="24"/>
          <w:lang w:val="en-US" w:eastAsia="zh-CN"/>
        </w:rPr>
        <w:t>-17</w:t>
      </w:r>
    </w:p>
    <w:p>
      <w:pPr>
        <w:tabs>
          <w:tab w:val="right" w:leader="dot" w:pos="8296"/>
        </w:tabs>
        <w:spacing w:beforeLines="0" w:afterLines="0" w:line="440" w:lineRule="exact"/>
        <w:ind w:firstLine="241" w:firstLineChars="100"/>
        <w:rPr>
          <w:rFonts w:hint="default"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zh-CN"/>
        </w:rPr>
        <w:t>第四部分 附件</w:t>
      </w:r>
      <w:r>
        <w:rPr>
          <w:rFonts w:hint="eastAsia" w:ascii="宋体" w:hAnsi="宋体" w:eastAsia="宋体" w:cs="宋体"/>
          <w:b/>
          <w:color w:val="auto"/>
          <w:kern w:val="2"/>
          <w:sz w:val="24"/>
          <w:szCs w:val="24"/>
          <w:lang w:val="en-US" w:eastAsia="zh-CN"/>
        </w:rPr>
        <w:t>................................................</w:t>
      </w:r>
      <w:r>
        <w:rPr>
          <w:rFonts w:hint="eastAsia" w:ascii="宋体" w:hAnsi="宋体" w:eastAsia="宋体" w:cs="宋体"/>
          <w:b w:val="0"/>
          <w:bCs/>
          <w:color w:val="auto"/>
          <w:kern w:val="2"/>
          <w:sz w:val="24"/>
          <w:szCs w:val="24"/>
          <w:lang w:val="en-US" w:eastAsia="zh-CN"/>
        </w:rPr>
        <w:t>18-60</w:t>
      </w:r>
    </w:p>
    <w:p>
      <w:pPr>
        <w:tabs>
          <w:tab w:val="right" w:leader="dot" w:pos="8296"/>
        </w:tabs>
        <w:spacing w:beforeLines="0" w:afterLines="0" w:line="440" w:lineRule="exact"/>
        <w:ind w:firstLine="241" w:firstLineChars="100"/>
        <w:rPr>
          <w:rFonts w:hint="default"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zh-CN"/>
        </w:rPr>
        <w:t>第五部分 附表</w:t>
      </w:r>
      <w:r>
        <w:rPr>
          <w:rFonts w:hint="eastAsia" w:ascii="宋体" w:hAnsi="宋体" w:eastAsia="宋体" w:cs="宋体"/>
          <w:b/>
          <w:color w:val="auto"/>
          <w:kern w:val="2"/>
          <w:sz w:val="24"/>
          <w:szCs w:val="24"/>
          <w:lang w:val="en-US" w:eastAsia="zh-CN"/>
        </w:rPr>
        <w:t>.................................................</w:t>
      </w:r>
      <w:r>
        <w:rPr>
          <w:rFonts w:hint="eastAsia" w:ascii="宋体" w:hAnsi="宋体" w:eastAsia="宋体" w:cs="宋体"/>
          <w:b w:val="0"/>
          <w:bCs/>
          <w:color w:val="auto"/>
          <w:kern w:val="2"/>
          <w:sz w:val="24"/>
          <w:szCs w:val="24"/>
          <w:lang w:val="en-US" w:eastAsia="zh-CN"/>
        </w:rPr>
        <w:t>61</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一、收入支出决算总表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二、收入决算表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三、支出决算表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四、财政拨款收入支出决算总表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五、财政拨款支出决算明细表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六、一般公共预算财政拨款支出决算表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七、一般公共预算财政拨款支出决算明细表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eastAsia"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八、一般公共预算财政拨款基本支出决算明细表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九、一般公共预算财政拨款项目支出决算表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十、政府性基金预算财政拨款收入支出决算表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十一、国有资本经营预算财政拨款收入支出决算表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十二、国有资本经营预算财政拨款支出决算表</w:t>
      </w:r>
      <w:r>
        <w:rPr>
          <w:rFonts w:hint="eastAsia" w:ascii="宋体" w:hAnsi="宋体" w:eastAsia="宋体"/>
          <w:color w:val="auto"/>
          <w:kern w:val="2"/>
          <w:sz w:val="24"/>
          <w:szCs w:val="24"/>
          <w:lang w:val="en-US" w:eastAsia="zh-CN"/>
        </w:rPr>
        <w:t>.....................61</w:t>
      </w:r>
    </w:p>
    <w:p>
      <w:pPr>
        <w:tabs>
          <w:tab w:val="right" w:leader="dot" w:pos="8296"/>
        </w:tabs>
        <w:spacing w:beforeLines="0" w:afterLines="0" w:line="440" w:lineRule="exact"/>
        <w:ind w:left="420"/>
        <w:rPr>
          <w:rFonts w:hint="default" w:ascii="宋体" w:hAnsi="宋体" w:eastAsia="宋体"/>
          <w:color w:val="auto"/>
          <w:kern w:val="2"/>
          <w:sz w:val="24"/>
          <w:szCs w:val="24"/>
          <w:lang w:val="en-US" w:eastAsia="zh-CN"/>
        </w:rPr>
      </w:pPr>
      <w:r>
        <w:rPr>
          <w:rFonts w:hint="eastAsia" w:ascii="宋体" w:hAnsi="宋体" w:eastAsia="宋体"/>
          <w:color w:val="auto"/>
          <w:kern w:val="2"/>
          <w:sz w:val="24"/>
          <w:szCs w:val="24"/>
          <w:lang w:val="zh-CN"/>
        </w:rPr>
        <w:t>十三、财政拨款“三公”经费支出决算表</w:t>
      </w:r>
      <w:r>
        <w:rPr>
          <w:rFonts w:hint="eastAsia" w:ascii="宋体" w:hAnsi="宋体" w:eastAsia="宋体"/>
          <w:color w:val="auto"/>
          <w:kern w:val="2"/>
          <w:sz w:val="24"/>
          <w:szCs w:val="24"/>
          <w:lang w:val="en-US" w:eastAsia="zh-CN"/>
        </w:rPr>
        <w:t>.........................61</w:t>
      </w:r>
    </w:p>
    <w:p>
      <w:pPr>
        <w:spacing w:beforeLines="0" w:afterLines="0" w:line="440" w:lineRule="exact"/>
        <w:rPr>
          <w:rFonts w:hint="eastAsia" w:ascii="黑体" w:hAnsi="黑体" w:eastAsia="黑体"/>
          <w:b/>
          <w:color w:val="auto"/>
          <w:kern w:val="44"/>
          <w:sz w:val="44"/>
          <w:szCs w:val="24"/>
          <w:lang w:val="zh-CN"/>
        </w:rPr>
      </w:pPr>
      <w:r>
        <w:rPr>
          <w:rFonts w:hint="eastAsia" w:ascii="仿宋" w:hAnsi="仿宋" w:eastAsia="仿宋"/>
          <w:b/>
          <w:color w:val="auto"/>
          <w:kern w:val="2"/>
          <w:sz w:val="24"/>
          <w:szCs w:val="24"/>
          <w:lang w:val="zh-CN"/>
        </w:rPr>
        <w:br w:type="page"/>
      </w:r>
      <w:r>
        <w:rPr>
          <w:rFonts w:hint="eastAsia" w:ascii="仿宋" w:hAnsi="仿宋" w:eastAsia="仿宋"/>
          <w:b/>
          <w:color w:val="auto"/>
          <w:kern w:val="2"/>
          <w:sz w:val="24"/>
          <w:szCs w:val="24"/>
          <w:lang w:val="en-US" w:eastAsia="zh-CN"/>
        </w:rPr>
        <w:t xml:space="preserve">                    </w:t>
      </w:r>
      <w:r>
        <w:rPr>
          <w:rFonts w:hint="eastAsia" w:ascii="黑体" w:hAnsi="黑体" w:eastAsia="黑体"/>
          <w:color w:val="auto"/>
          <w:kern w:val="44"/>
          <w:sz w:val="44"/>
          <w:szCs w:val="24"/>
          <w:lang w:val="zh-CN"/>
        </w:rPr>
        <w:t>第一部分 部门概况</w:t>
      </w:r>
    </w:p>
    <w:p>
      <w:pPr>
        <w:numPr>
          <w:ilvl w:val="0"/>
          <w:numId w:val="0"/>
        </w:numPr>
        <w:spacing w:before="93" w:beforeLines="0" w:afterLines="0" w:line="576" w:lineRule="exact"/>
        <w:ind w:firstLine="640" w:firstLineChars="0"/>
        <w:jc w:val="both"/>
        <w:rPr>
          <w:rFonts w:hint="eastAsia" w:ascii="黑体" w:hAnsi="黑体" w:eastAsia="黑体" w:cs="黑体"/>
          <w:color w:val="000000"/>
          <w:kern w:val="2"/>
          <w:sz w:val="32"/>
          <w:szCs w:val="24"/>
          <w:lang w:val="zh-CN" w:eastAsia="zh-CN"/>
        </w:rPr>
      </w:pPr>
      <w:r>
        <w:rPr>
          <w:rFonts w:hint="eastAsia" w:ascii="黑体" w:hAnsi="黑体" w:eastAsia="黑体" w:cs="黑体"/>
          <w:color w:val="000000"/>
          <w:kern w:val="2"/>
          <w:sz w:val="32"/>
          <w:szCs w:val="24"/>
          <w:lang w:val="zh-CN" w:eastAsia="zh-CN"/>
        </w:rPr>
        <w:t>一、部门职责</w:t>
      </w:r>
    </w:p>
    <w:p>
      <w:pPr>
        <w:numPr>
          <w:ilvl w:val="0"/>
          <w:numId w:val="0"/>
        </w:numPr>
        <w:spacing w:before="93" w:beforeLines="0" w:afterLines="0" w:line="576" w:lineRule="exact"/>
        <w:ind w:firstLine="640" w:firstLineChars="0"/>
        <w:jc w:val="both"/>
        <w:rPr>
          <w:rFonts w:hint="eastAsia" w:ascii="仿宋_GB2312" w:hAnsi="仿宋_GB2312" w:eastAsia="仿宋_GB2312"/>
          <w:color w:val="000000"/>
          <w:kern w:val="2"/>
          <w:sz w:val="32"/>
          <w:szCs w:val="24"/>
          <w:lang w:val="zh-CN" w:eastAsia="zh-CN"/>
        </w:rPr>
      </w:pPr>
      <w:r>
        <w:rPr>
          <w:rFonts w:hint="eastAsia" w:ascii="仿宋_GB2312" w:hAnsi="仿宋_GB2312" w:eastAsia="仿宋_GB2312"/>
          <w:color w:val="000000"/>
          <w:kern w:val="2"/>
          <w:sz w:val="32"/>
          <w:szCs w:val="24"/>
          <w:lang w:val="zh-CN" w:eastAsia="zh-CN"/>
        </w:rPr>
        <w:t>（1）负责全区市场综合监督管理。（2）负责全区市场主体统一登记注册（3）负责市场监管领域综合行政执法工作。（4）负责监督管理全区市场秩序。（5）负责全区宏观质量管理。（6）负责全区产品质量安全监督管理。（7）负责全区特种设备安全监督管理。（8）负责全区食品安全监督管理综合协调；（9）负责全区食品安全监督管理。（10）负责全区药品、化妆品和医疗器械的质量管理、风险管理、安全监督和安全应急管理。（11）负责统一管理全区计量工作。（12）负责统一管理全区标准化工作。（13）负责统一管理全区认证认可工作。（14）负责全区知识产权战略、规划的制定，负责知识产权的保护、管理，指导知识产权创造、运用和服务促进工作，负责组织指导商标、专利执法工作。（15）承担职责范围内的安全生产和职业健康、生态环境保护、审批服务便民化等工作责任。按照省市要求，指导推进相对集中行政许可权改革。（16）承担市场监督管理科技和信息化建设。（17）完成区委、区政府交办的其他任务。（18）职能转变。</w:t>
      </w:r>
    </w:p>
    <w:p>
      <w:pPr>
        <w:numPr>
          <w:ilvl w:val="0"/>
          <w:numId w:val="0"/>
        </w:numPr>
        <w:spacing w:before="93" w:beforeLines="0" w:afterLines="0" w:line="576" w:lineRule="exact"/>
        <w:ind w:firstLine="640" w:firstLineChars="0"/>
        <w:jc w:val="both"/>
        <w:rPr>
          <w:rFonts w:hint="eastAsia" w:ascii="黑体" w:hAnsi="黑体" w:eastAsia="黑体" w:cs="黑体"/>
          <w:color w:val="000000"/>
          <w:kern w:val="2"/>
          <w:sz w:val="32"/>
          <w:szCs w:val="24"/>
          <w:lang w:val="zh-CN" w:eastAsia="zh-CN"/>
        </w:rPr>
      </w:pPr>
      <w:r>
        <w:rPr>
          <w:rFonts w:hint="eastAsia" w:ascii="黑体" w:hAnsi="黑体" w:eastAsia="黑体" w:cs="黑体"/>
          <w:color w:val="000000"/>
          <w:kern w:val="2"/>
          <w:sz w:val="32"/>
          <w:szCs w:val="24"/>
          <w:lang w:val="zh-CN" w:eastAsia="zh-CN"/>
        </w:rPr>
        <w:t>二、机构设置</w:t>
      </w:r>
    </w:p>
    <w:p>
      <w:pPr>
        <w:numPr>
          <w:ilvl w:val="0"/>
          <w:numId w:val="0"/>
        </w:numPr>
        <w:spacing w:before="93" w:beforeLines="0" w:afterLines="0" w:line="576" w:lineRule="exact"/>
        <w:ind w:firstLine="640" w:firstLineChars="0"/>
        <w:jc w:val="both"/>
        <w:rPr>
          <w:rFonts w:hint="eastAsia" w:ascii="仿宋_GB2312" w:hAnsi="仿宋_GB2312" w:eastAsia="仿宋_GB2312"/>
          <w:color w:val="000000"/>
          <w:kern w:val="2"/>
          <w:sz w:val="32"/>
          <w:szCs w:val="24"/>
          <w:lang w:val="zh-CN" w:eastAsia="zh-CN"/>
        </w:rPr>
      </w:pPr>
      <w:r>
        <w:rPr>
          <w:rFonts w:hint="eastAsia" w:ascii="仿宋_GB2312" w:hAnsi="仿宋_GB2312" w:eastAsia="仿宋_GB2312"/>
          <w:color w:val="000000"/>
          <w:kern w:val="2"/>
          <w:sz w:val="32"/>
          <w:szCs w:val="24"/>
          <w:lang w:val="zh-CN" w:eastAsia="zh-CN"/>
        </w:rPr>
        <w:t>攀枝花市仁和区市场监管局属一级预算单位（行政机构）；下属二级预算单位</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eastAsia="zh-CN"/>
        </w:rPr>
        <w:t>个，其中行政机构</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eastAsia="zh-CN"/>
        </w:rPr>
        <w:t>个，参照公务员法管理的事业单位</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eastAsia="zh-CN"/>
        </w:rPr>
        <w:t>个，公益一类事业单位</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eastAsia="zh-CN"/>
        </w:rPr>
        <w:t>个。</w:t>
      </w:r>
    </w:p>
    <w:p>
      <w:pPr>
        <w:numPr>
          <w:ilvl w:val="0"/>
          <w:numId w:val="0"/>
        </w:numPr>
        <w:spacing w:before="93" w:beforeLines="0" w:afterLines="0" w:line="576" w:lineRule="exact"/>
        <w:ind w:firstLine="640" w:firstLineChars="0"/>
        <w:jc w:val="both"/>
        <w:rPr>
          <w:rFonts w:hint="eastAsia" w:ascii="仿宋_GB2312" w:hAnsi="仿宋_GB2312" w:eastAsia="仿宋_GB2312"/>
          <w:color w:val="000000"/>
          <w:kern w:val="2"/>
          <w:sz w:val="32"/>
          <w:szCs w:val="24"/>
          <w:lang w:val="zh-CN" w:eastAsia="zh-CN"/>
        </w:rPr>
      </w:pPr>
      <w:r>
        <w:rPr>
          <w:rFonts w:hint="eastAsia" w:ascii="仿宋_GB2312" w:hAnsi="仿宋_GB2312" w:eastAsia="仿宋_GB2312"/>
          <w:color w:val="000000"/>
          <w:kern w:val="2"/>
          <w:sz w:val="32"/>
          <w:szCs w:val="24"/>
          <w:lang w:val="zh-CN" w:eastAsia="zh-CN"/>
        </w:rPr>
        <w:t>纳入攀枝花市仁和区市场监督管理局2022年度部门决算编制范围的二级预算单位包括：</w:t>
      </w:r>
    </w:p>
    <w:p>
      <w:pPr>
        <w:numPr>
          <w:ilvl w:val="0"/>
          <w:numId w:val="0"/>
        </w:numPr>
        <w:spacing w:before="93" w:beforeLines="0" w:afterLines="0" w:line="576" w:lineRule="exact"/>
        <w:ind w:firstLine="640" w:firstLineChars="0"/>
        <w:jc w:val="both"/>
        <w:rPr>
          <w:rFonts w:hint="eastAsia" w:ascii="仿宋_GB2312" w:hAnsi="仿宋_GB2312" w:eastAsia="仿宋_GB2312"/>
          <w:color w:val="000000"/>
          <w:kern w:val="2"/>
          <w:sz w:val="32"/>
          <w:szCs w:val="24"/>
          <w:lang w:val="zh-CN" w:eastAsia="zh-CN"/>
        </w:rPr>
      </w:pPr>
      <w:r>
        <w:rPr>
          <w:rFonts w:hint="eastAsia" w:ascii="仿宋_GB2312" w:hAnsi="仿宋_GB2312" w:eastAsia="仿宋_GB2312"/>
          <w:color w:val="000000"/>
          <w:kern w:val="2"/>
          <w:sz w:val="32"/>
          <w:szCs w:val="24"/>
          <w:lang w:val="zh-CN" w:eastAsia="zh-CN"/>
        </w:rPr>
        <w:t>攀枝花市仁和区市场监测服务中心</w:t>
      </w:r>
    </w:p>
    <w:p>
      <w:pPr>
        <w:numPr>
          <w:ilvl w:val="0"/>
          <w:numId w:val="0"/>
        </w:numPr>
        <w:spacing w:before="93" w:beforeLines="0" w:afterLines="0" w:line="576" w:lineRule="exact"/>
        <w:jc w:val="both"/>
        <w:rPr>
          <w:rFonts w:hint="eastAsia" w:ascii="黑体" w:hAnsi="黑体" w:eastAsia="黑体"/>
          <w:color w:val="000000"/>
          <w:kern w:val="44"/>
          <w:sz w:val="44"/>
          <w:szCs w:val="24"/>
          <w:lang w:val="zh-CN"/>
        </w:rPr>
      </w:pPr>
    </w:p>
    <w:p>
      <w:pPr>
        <w:numPr>
          <w:ilvl w:val="0"/>
          <w:numId w:val="0"/>
        </w:numPr>
        <w:spacing w:before="93" w:beforeLines="0" w:afterLines="0" w:line="576" w:lineRule="exact"/>
        <w:jc w:val="center"/>
        <w:rPr>
          <w:rFonts w:hint="eastAsia" w:ascii="Times New Roman" w:hAnsi="Times New Roman" w:eastAsia="Times New Roman"/>
          <w:b/>
          <w:color w:val="auto"/>
          <w:kern w:val="44"/>
          <w:sz w:val="44"/>
          <w:szCs w:val="24"/>
          <w:lang w:val="zh-CN"/>
        </w:rPr>
      </w:pPr>
      <w:r>
        <w:rPr>
          <w:rFonts w:hint="eastAsia" w:ascii="黑体" w:hAnsi="黑体" w:eastAsia="黑体"/>
          <w:color w:val="000000"/>
          <w:kern w:val="44"/>
          <w:sz w:val="44"/>
          <w:szCs w:val="24"/>
          <w:lang w:val="zh-CN"/>
        </w:rPr>
        <w:t>第二部分</w:t>
      </w:r>
      <w:r>
        <w:rPr>
          <w:rFonts w:hint="eastAsia" w:ascii="黑体" w:hAnsi="黑体" w:eastAsia="黑体"/>
          <w:b/>
          <w:color w:val="000000"/>
          <w:kern w:val="44"/>
          <w:sz w:val="44"/>
          <w:szCs w:val="24"/>
          <w:lang w:val="zh-CN"/>
        </w:rPr>
        <w:t xml:space="preserve"> </w:t>
      </w:r>
      <w:r>
        <w:rPr>
          <w:rFonts w:hint="eastAsia" w:ascii="黑体" w:hAnsi="黑体" w:eastAsia="黑体"/>
          <w:color w:val="auto"/>
          <w:kern w:val="44"/>
          <w:sz w:val="44"/>
          <w:szCs w:val="24"/>
          <w:lang w:val="zh-CN"/>
        </w:rPr>
        <w:t>2022年度部门决算情况说明</w:t>
      </w:r>
    </w:p>
    <w:p>
      <w:pPr>
        <w:numPr>
          <w:ilvl w:val="0"/>
          <w:numId w:val="0"/>
        </w:numPr>
        <w:spacing w:before="93" w:beforeLines="0" w:afterLines="0" w:line="576" w:lineRule="exact"/>
        <w:ind w:firstLine="640" w:firstLineChars="0"/>
        <w:jc w:val="both"/>
        <w:rPr>
          <w:rFonts w:hint="eastAsia" w:ascii="黑体" w:hAnsi="黑体" w:eastAsia="黑体" w:cs="黑体"/>
          <w:color w:val="000000"/>
          <w:kern w:val="2"/>
          <w:sz w:val="32"/>
          <w:szCs w:val="24"/>
          <w:lang w:val="zh-CN" w:eastAsia="zh-CN"/>
        </w:rPr>
      </w:pPr>
      <w:r>
        <w:rPr>
          <w:rFonts w:hint="eastAsia" w:ascii="黑体" w:hAnsi="黑体" w:eastAsia="黑体" w:cs="黑体"/>
          <w:color w:val="000000"/>
          <w:kern w:val="2"/>
          <w:sz w:val="32"/>
          <w:szCs w:val="24"/>
          <w:lang w:val="zh-CN" w:eastAsia="zh-CN"/>
        </w:rPr>
        <w:t>一、收入支出决算总体情况说明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2022年度收1,506.33万元，支1,506.33万元。与2021年相比，收、</w:t>
      </w:r>
      <w:r>
        <w:rPr>
          <w:rFonts w:hint="eastAsia" w:ascii="仿宋_GB2312" w:hAnsi="仿宋_GB2312" w:eastAsia="仿宋_GB2312"/>
          <w:color w:val="000000"/>
          <w:kern w:val="2"/>
          <w:sz w:val="32"/>
          <w:szCs w:val="24"/>
          <w:lang w:val="en-US" w:eastAsia="zh-CN"/>
        </w:rPr>
        <w:t>支各</w:t>
      </w:r>
      <w:r>
        <w:rPr>
          <w:rFonts w:hint="eastAsia" w:ascii="仿宋_GB2312" w:hAnsi="仿宋_GB2312" w:eastAsia="仿宋_GB2312"/>
          <w:color w:val="000000"/>
          <w:kern w:val="2"/>
          <w:sz w:val="32"/>
          <w:szCs w:val="24"/>
          <w:lang w:val="zh-CN"/>
        </w:rPr>
        <w:t>减少182.15万元，</w:t>
      </w:r>
      <w:r>
        <w:rPr>
          <w:rFonts w:hint="eastAsia" w:ascii="仿宋_GB2312" w:hAnsi="仿宋_GB2312" w:eastAsia="仿宋_GB2312"/>
          <w:color w:val="000000"/>
          <w:kern w:val="2"/>
          <w:sz w:val="32"/>
          <w:szCs w:val="24"/>
          <w:lang w:val="en-US" w:eastAsia="zh-CN"/>
        </w:rPr>
        <w:t>各</w:t>
      </w:r>
      <w:r>
        <w:rPr>
          <w:rFonts w:hint="eastAsia" w:ascii="仿宋_GB2312" w:hAnsi="仿宋_GB2312" w:eastAsia="仿宋_GB2312"/>
          <w:color w:val="000000"/>
          <w:kern w:val="2"/>
          <w:sz w:val="32"/>
          <w:szCs w:val="24"/>
          <w:lang w:val="zh-CN"/>
        </w:rPr>
        <w:t>下降10.8%。主要变动原因是财政紧张，节约开支。</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（图1：收、支决算总计变动情况图）（柱状图）</w:t>
      </w:r>
    </w:p>
    <w:p>
      <w:pPr>
        <w:pStyle w:val="13"/>
        <w:spacing w:beforeLines="0" w:afterLines="0"/>
        <w:rPr>
          <w:rFonts w:hint="eastAsia"/>
          <w:sz w:val="24"/>
          <w:szCs w:val="24"/>
        </w:rPr>
      </w:pPr>
      <w:r>
        <w:rPr>
          <w:rFonts w:hint="default" w:hAnsi="仿宋"/>
          <w:sz w:val="30"/>
          <w:szCs w:val="30"/>
        </w:rPr>
        <w:object>
          <v:shape id="_x0000_i1025" o:spt="75" type="#_x0000_t75" style="height:195.05pt;width:351.2pt;" o:ole="t" filled="f" o:preferrelative="t" stroked="f" coordsize="21600,21600">
            <v:path/>
            <v:fill on="f" focussize="0,0"/>
            <v:stroke on="f"/>
            <v:imagedata r:id="rId7" o:title=""/>
            <o:lock v:ext="edit" aspectratio="t"/>
            <w10:wrap type="none"/>
            <w10:anchorlock/>
          </v:shape>
          <o:OLEObject Type="Embed" ProgID="MSGraph.Chart.8" ShapeID="_x0000_i1025" DrawAspect="Content" ObjectID="_1468075725" r:id="rId6">
            <o:LockedField>false</o:LockedField>
          </o:OLEObject>
        </w:objec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收入合计1,506.33万元，其中：一般公共预算财政拨款收入1,496.33万元，占99.3%；政府性基金预算财政拨款收入10万元，占0.7%；国有资本经营预算财政拨款收入0万元，占0%；上级补助收入0万元，占0%；事业收入0万元，占0%；经营收入0万元，占0%；附属单位上缴收入0万元，占0%；其他收入0万元，占0%。</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（图2：收入决算结构图）（饼状图）</w:t>
      </w:r>
    </w:p>
    <w:p>
      <w:pPr>
        <w:pStyle w:val="13"/>
        <w:spacing w:beforeLines="0" w:afterLines="0"/>
        <w:rPr>
          <w:rFonts w:hint="eastAsia"/>
          <w:sz w:val="24"/>
          <w:szCs w:val="24"/>
        </w:rPr>
      </w:pPr>
      <w:r>
        <w:rPr>
          <w:rFonts w:hint="default" w:hAnsi="仿宋"/>
          <w:sz w:val="30"/>
          <w:szCs w:val="30"/>
        </w:rPr>
        <w:object>
          <v:shape id="_x0000_i1026" o:spt="75" type="#_x0000_t75" style="height:116.95pt;width:415.9pt;" o:ole="t" filled="f" o:preferrelative="t" stroked="f" coordsize="21600,21600">
            <v:path/>
            <v:fill on="f" focussize="0,0"/>
            <v:stroke on="f"/>
            <v:imagedata r:id="rId9" o:title=""/>
            <o:lock v:ext="edit" aspectratio="t"/>
            <w10:wrap type="none"/>
            <w10:anchorlock/>
          </v:shape>
          <o:OLEObject Type="Embed" ProgID="MSGraph.Chart.8" ShapeID="_x0000_i1026" DrawAspect="Content" ObjectID="_1468075726" r:id="rId8">
            <o:LockedField>false</o:LockedField>
          </o:OLEObject>
        </w:object>
      </w:r>
    </w:p>
    <w:p>
      <w:pPr>
        <w:pStyle w:val="13"/>
        <w:spacing w:beforeLines="0" w:afterLines="0"/>
        <w:ind w:firstLine="640" w:firstLineChars="200"/>
        <w:rPr>
          <w:rFonts w:hint="eastAsia" w:ascii="黑体" w:hAnsi="黑体" w:eastAsia="黑体"/>
          <w:color w:val="auto"/>
          <w:kern w:val="2"/>
          <w:sz w:val="32"/>
          <w:szCs w:val="24"/>
          <w:lang w:val="zh-CN"/>
        </w:rPr>
      </w:pPr>
      <w:r>
        <w:rPr>
          <w:rFonts w:hint="eastAsia" w:ascii="黑体" w:hAnsi="黑体" w:eastAsia="黑体"/>
          <w:kern w:val="2"/>
          <w:sz w:val="32"/>
          <w:szCs w:val="24"/>
          <w:lang w:val="zh-CN"/>
        </w:rPr>
        <w:t>三、支</w:t>
      </w:r>
      <w:r>
        <w:rPr>
          <w:rFonts w:hint="eastAsia" w:ascii="黑体" w:hAnsi="黑体" w:eastAsia="黑体"/>
          <w:color w:val="auto"/>
          <w:kern w:val="2"/>
          <w:sz w:val="32"/>
          <w:szCs w:val="24"/>
          <w:lang w:val="zh-CN"/>
        </w:rPr>
        <w:t>出决算情况说明</w:t>
      </w:r>
    </w:p>
    <w:p>
      <w:pPr>
        <w:keepNext/>
        <w:keepLines/>
        <w:spacing w:beforeLines="0" w:afterLines="0" w:line="576" w:lineRule="exact"/>
        <w:ind w:firstLine="640"/>
        <w:jc w:val="both"/>
        <w:rPr>
          <w:rFonts w:hint="eastAsia" w:ascii="仿宋" w:hAnsi="仿宋" w:eastAsia="仿宋"/>
          <w:color w:val="auto"/>
          <w:kern w:val="2"/>
          <w:sz w:val="32"/>
          <w:szCs w:val="24"/>
          <w:lang w:val="en-US"/>
        </w:rPr>
      </w:pPr>
      <w:r>
        <w:rPr>
          <w:rFonts w:hint="eastAsia" w:ascii="仿宋_GB2312" w:hAnsi="仿宋_GB2312" w:eastAsia="仿宋_GB2312"/>
          <w:color w:val="000000"/>
          <w:kern w:val="2"/>
          <w:sz w:val="32"/>
          <w:szCs w:val="24"/>
          <w:lang w:val="zh-CN"/>
        </w:rPr>
        <w:t>2022年本年支出合计1,506.33万元，其中：基本支出1,445.33万元，占96%；项目支出61万元，占4%；上缴上级支出0万元，占0%；经营支出0万元，占0%；对附属单位补助支出0万元，占0%。</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（图3：支出决算结构图）（饼状图）</w:t>
      </w:r>
    </w:p>
    <w:p>
      <w:pPr>
        <w:pStyle w:val="13"/>
        <w:spacing w:beforeLines="0" w:afterLines="0"/>
        <w:rPr>
          <w:rFonts w:hint="eastAsia"/>
          <w:sz w:val="24"/>
          <w:szCs w:val="24"/>
        </w:rPr>
      </w:pPr>
      <w:r>
        <w:rPr>
          <w:rFonts w:hint="default" w:hAnsi="仿宋"/>
          <w:sz w:val="30"/>
          <w:szCs w:val="30"/>
        </w:rPr>
        <w:object>
          <v:shape id="_x0000_i1027" o:spt="75" type="#_x0000_t75" style="height:163.6pt;width:395.55pt;" o:ole="t" filled="f" o:preferrelative="t" stroked="f" coordsize="21600,21600">
            <v:path/>
            <v:fill on="f" focussize="0,0"/>
            <v:stroke on="f"/>
            <v:imagedata r:id="rId11" o:title=""/>
            <o:lock v:ext="edit" aspectratio="t"/>
            <w10:wrap type="none"/>
            <w10:anchorlock/>
          </v:shape>
          <o:OLEObject Type="Embed" ProgID="MSGraph.Chart.8" ShapeID="_x0000_i1027" DrawAspect="Content" ObjectID="_1468075727" r:id="rId10">
            <o:LockedField>false</o:LockedField>
          </o:OLEObject>
        </w:objec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w:t>
      </w:r>
      <w:r>
        <w:rPr>
          <w:rFonts w:hint="eastAsia" w:ascii="仿宋_GB2312" w:hAnsi="仿宋_GB2312" w:eastAsia="仿宋_GB2312"/>
          <w:color w:val="000000"/>
          <w:kern w:val="2"/>
          <w:sz w:val="32"/>
          <w:szCs w:val="24"/>
          <w:lang w:val="en-US" w:eastAsia="zh-CN"/>
        </w:rPr>
        <w:t>收入</w:t>
      </w:r>
      <w:r>
        <w:rPr>
          <w:rFonts w:hint="eastAsia" w:ascii="仿宋_GB2312" w:hAnsi="仿宋_GB2312" w:eastAsia="仿宋_GB2312"/>
          <w:color w:val="000000"/>
          <w:kern w:val="2"/>
          <w:sz w:val="32"/>
          <w:szCs w:val="24"/>
          <w:lang w:val="zh-CN"/>
        </w:rPr>
        <w:t>1,506.33万元，</w:t>
      </w:r>
      <w:r>
        <w:rPr>
          <w:rFonts w:hint="eastAsia" w:ascii="仿宋_GB2312" w:hAnsi="仿宋_GB2312" w:eastAsia="仿宋_GB2312"/>
          <w:color w:val="000000"/>
          <w:kern w:val="2"/>
          <w:sz w:val="32"/>
          <w:szCs w:val="24"/>
          <w:lang w:val="en-US" w:eastAsia="zh-CN"/>
        </w:rPr>
        <w:t>支出</w:t>
      </w:r>
      <w:r>
        <w:rPr>
          <w:rFonts w:hint="eastAsia" w:ascii="仿宋_GB2312" w:hAnsi="仿宋_GB2312" w:eastAsia="仿宋_GB2312"/>
          <w:color w:val="000000"/>
          <w:kern w:val="2"/>
          <w:sz w:val="32"/>
          <w:szCs w:val="24"/>
          <w:lang w:val="zh-CN"/>
        </w:rPr>
        <w:t>1,506.33万元。与2021年相比，财政拨款收、支各减少166.15万元，下降9.9%。主要变动原因是财政紧张，节约开支。</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（图4：财政拨款收、支决算总计变动情况）（柱状图）</w:t>
      </w:r>
    </w:p>
    <w:p>
      <w:pPr>
        <w:pStyle w:val="13"/>
        <w:spacing w:beforeLines="0" w:afterLines="0"/>
        <w:rPr>
          <w:rFonts w:hint="eastAsia"/>
          <w:sz w:val="24"/>
          <w:szCs w:val="24"/>
        </w:rPr>
      </w:pPr>
      <w:r>
        <w:rPr>
          <w:rFonts w:hint="default" w:hAnsi="仿宋"/>
          <w:sz w:val="30"/>
          <w:szCs w:val="30"/>
        </w:rPr>
        <w:object>
          <v:shape id="_x0000_i1028" o:spt="75" type="#_x0000_t75" style="height:131.2pt;width:360.25pt;" o:ole="t" filled="f" o:preferrelative="t" stroked="f" coordsize="21600,21600">
            <v:path/>
            <v:fill on="f" focussize="0,0"/>
            <v:stroke on="f"/>
            <v:imagedata r:id="rId13" o:title=""/>
            <o:lock v:ext="edit" aspectratio="t"/>
            <w10:wrap type="none"/>
            <w10:anchorlock/>
          </v:shape>
          <o:OLEObject Type="Embed" ProgID="MSGraph.Chart.8" ShapeID="_x0000_i1028" DrawAspect="Content" ObjectID="_1468075728" r:id="rId12">
            <o:LockedField>false</o:LockedField>
          </o:OLEObject>
        </w:objec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（一）一般公共预算财政拨款支出决算总体情况。</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2022年一般公共预算财政拨款支出1,496.33万元，占本年支出合计的99.3%。与2021年相比，一般公共预算财政拨款支出减少176.15万元，下降10.5%。主要变动原因是财政紧张，节约开支。</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（图5：一般公共预算财政拨款支出决算变动情况）（柱状图）</w:t>
      </w:r>
    </w:p>
    <w:p>
      <w:pPr>
        <w:pStyle w:val="13"/>
        <w:spacing w:beforeLines="0" w:afterLines="0"/>
        <w:rPr>
          <w:rFonts w:hint="eastAsia" w:hAnsi="仿宋"/>
          <w:sz w:val="30"/>
          <w:szCs w:val="30"/>
        </w:rPr>
      </w:pPr>
      <w:r>
        <w:rPr>
          <w:rFonts w:hint="default" w:hAnsi="仿宋"/>
          <w:sz w:val="30"/>
          <w:szCs w:val="30"/>
        </w:rPr>
        <w:object>
          <v:shape id="_x0000_i1029" o:spt="75" type="#_x0000_t75" style="height:161.35pt;width:394.8pt;" o:ole="t" filled="f" o:preferrelative="t" stroked="f" coordsize="21600,21600">
            <v:path/>
            <v:fill on="f" focussize="0,0"/>
            <v:stroke on="f"/>
            <v:imagedata r:id="rId15" o:title=""/>
            <o:lock v:ext="edit" aspectratio="t"/>
            <w10:wrap type="none"/>
            <w10:anchorlock/>
          </v:shape>
          <o:OLEObject Type="Embed" ProgID="MSGraph.Chart.8" ShapeID="_x0000_i1029" DrawAspect="Content" ObjectID="_1468075729" r:id="rId14">
            <o:LockedField>false</o:LockedField>
          </o:OLEObject>
        </w:object>
      </w:r>
    </w:p>
    <w:p>
      <w:pPr>
        <w:pStyle w:val="13"/>
        <w:spacing w:beforeLines="0" w:afterLines="0"/>
        <w:rPr>
          <w:rFonts w:hint="eastAsia" w:ascii="仿宋_GB2312" w:hAnsi="仿宋_GB2312" w:eastAsia="仿宋_GB2312"/>
          <w:b/>
          <w:kern w:val="2"/>
          <w:sz w:val="32"/>
          <w:szCs w:val="24"/>
          <w:lang w:val="zh-CN"/>
        </w:rPr>
      </w:pPr>
    </w:p>
    <w:p>
      <w:pPr>
        <w:pStyle w:val="13"/>
        <w:spacing w:beforeLines="0" w:afterLines="0"/>
        <w:ind w:firstLine="643" w:firstLineChars="200"/>
        <w:rPr>
          <w:rFonts w:hint="eastAsia" w:ascii="仿宋_GB2312" w:hAnsi="仿宋_GB2312" w:eastAsia="仿宋_GB2312"/>
          <w:b/>
          <w:kern w:val="2"/>
          <w:sz w:val="32"/>
          <w:szCs w:val="24"/>
          <w:lang w:val="zh-CN"/>
        </w:rPr>
      </w:pPr>
      <w:r>
        <w:rPr>
          <w:rFonts w:hint="eastAsia" w:ascii="仿宋_GB2312" w:hAnsi="仿宋_GB2312" w:eastAsia="仿宋_GB2312"/>
          <w:b/>
          <w:kern w:val="2"/>
          <w:sz w:val="32"/>
          <w:szCs w:val="24"/>
          <w:lang w:val="zh-CN"/>
        </w:rPr>
        <w:t>（二）一般公共预算财政拨款支出决算结构情况。</w:t>
      </w:r>
    </w:p>
    <w:p>
      <w:pPr>
        <w:pStyle w:val="13"/>
        <w:spacing w:beforeLines="0" w:afterLines="0" w:line="576" w:lineRule="exact"/>
        <w:ind w:firstLine="675" w:firstLineChars="211"/>
        <w:rPr>
          <w:rFonts w:hint="eastAsia" w:ascii="仿宋_GB2312" w:hAnsi="仿宋_GB2312" w:eastAsia="仿宋_GB2312" w:cs="Times New Roman"/>
          <w:kern w:val="2"/>
          <w:sz w:val="32"/>
          <w:szCs w:val="24"/>
          <w:lang w:val="zh-CN"/>
        </w:rPr>
      </w:pPr>
      <w:r>
        <w:rPr>
          <w:rFonts w:hint="eastAsia" w:ascii="仿宋_GB2312" w:hAnsi="仿宋_GB2312" w:eastAsia="仿宋_GB2312" w:cs="Times New Roman"/>
          <w:kern w:val="2"/>
          <w:sz w:val="32"/>
          <w:szCs w:val="24"/>
          <w:lang w:val="zh-CN"/>
        </w:rPr>
        <w:t>2022年一般公共预算财政拨款支出1,496.33万元，主要用于以下方面： 一般公共服务支出1,180.1万元，占78.9%；外交支出0万元，占0%；国防支出0万元，占0%；公共安全支出0万元，占0%；教育支出0万元，占0%；科学技术支出0万元，占0%；文化体育与传媒支出0万元，占0%；社会保障和就业支出138.85万元，占9.3%；卫生健康支出76.62万元，占5.1%；节能环保支出0万元，占0%；城乡社区支出0万元，占0%；农林水支出0万元，占0%；交通运输支出0万元，占0%；资源勘探工业信息等支出0万元，占0%；商业服务业等支出0万元，占0%；金融支出0万元，占0%；援助其他地区支出0万元，占0%；自然资源海洋气象等支出0万元，占0%；住房保障支出100.76万元，占6.7%；粮油物资储备支出0万元，占0%；国有资本经营预算支出0万元，占0%；灾害防治及应急管理支出0万元，占0%；其他支出0万元，占0%；债务还本支出0万元，占0%；债务付息支出0万元，占0%；抗疫特别国债安排的支出0万元，占0%。</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（图6：一般公共预算财政拨款支出决算结构）（饼状图）</w:t>
      </w:r>
    </w:p>
    <w:p>
      <w:pPr>
        <w:pStyle w:val="13"/>
        <w:spacing w:beforeLines="0" w:afterLines="0"/>
        <w:rPr>
          <w:rFonts w:hint="eastAsia"/>
          <w:sz w:val="24"/>
          <w:szCs w:val="24"/>
        </w:rPr>
      </w:pPr>
      <w:r>
        <w:rPr>
          <w:rFonts w:hint="default"/>
          <w:sz w:val="24"/>
          <w:szCs w:val="24"/>
        </w:rPr>
        <w:object>
          <v:shape id="_x0000_i1030" o:spt="75" type="#_x0000_t75" style="height:149.3pt;width:442.9pt;" o:ole="t" filled="f" o:preferrelative="t" stroked="f" coordsize="21600,21600">
            <v:path/>
            <v:fill on="f" focussize="0,0"/>
            <v:stroke on="f"/>
            <v:imagedata r:id="rId17" o:title=""/>
            <o:lock v:ext="edit" aspectratio="t"/>
            <w10:wrap type="none"/>
            <w10:anchorlock/>
          </v:shape>
          <o:OLEObject Type="Embed" ProgID="MSGraph.Chart.8" ShapeID="_x0000_i1030" DrawAspect="Content" ObjectID="_1468075730" r:id="rId16">
            <o:LockedField>false</o:LockedField>
          </o:OLEObject>
        </w:objec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（三）一般公共预算财政拨款支出决算具体情况。</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2022年一般公共预算支出决算数为1,496.33万元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完成预算100%。其中：</w:t>
      </w:r>
    </w:p>
    <w:p>
      <w:pPr>
        <w:keepNext/>
        <w:keepLines/>
        <w:numPr>
          <w:ilvl w:val="0"/>
          <w:numId w:val="0"/>
        </w:numPr>
        <w:spacing w:beforeLines="0" w:afterLines="0" w:line="576" w:lineRule="exact"/>
        <w:ind w:firstLine="643" w:firstLineChars="200"/>
        <w:jc w:val="both"/>
        <w:rPr>
          <w:rFonts w:hint="eastAsia" w:ascii="仿宋" w:hAnsi="仿宋" w:eastAsia="仿宋"/>
          <w:color w:val="auto"/>
          <w:kern w:val="2"/>
          <w:sz w:val="32"/>
          <w:szCs w:val="24"/>
          <w:lang w:val="en-US"/>
        </w:rPr>
      </w:pPr>
      <w:r>
        <w:rPr>
          <w:rFonts w:hint="eastAsia" w:ascii="仿宋_GB2312" w:hAnsi="仿宋_GB2312" w:eastAsia="仿宋_GB2312"/>
          <w:b/>
          <w:color w:val="000000"/>
          <w:kern w:val="2"/>
          <w:sz w:val="32"/>
          <w:szCs w:val="24"/>
          <w:lang w:val="en-US" w:eastAsia="zh-CN"/>
        </w:rPr>
        <w:t>1</w:t>
      </w:r>
      <w:r>
        <w:rPr>
          <w:rFonts w:hint="eastAsia" w:ascii="仿宋_GB2312" w:hAnsi="仿宋_GB2312" w:eastAsia="仿宋_GB2312"/>
          <w:b/>
          <w:color w:val="000000"/>
          <w:kern w:val="2"/>
          <w:sz w:val="32"/>
          <w:szCs w:val="24"/>
          <w:lang w:val="en-US"/>
        </w:rPr>
        <w:t>.一般公共服务支出</w:t>
      </w:r>
      <w:r>
        <w:rPr>
          <w:rStyle w:val="12"/>
          <w:rFonts w:hint="eastAsia" w:ascii="仿宋" w:hAnsi="仿宋" w:eastAsia="仿宋"/>
          <w:b w:val="0"/>
          <w:color w:val="000000"/>
          <w:sz w:val="32"/>
          <w:szCs w:val="32"/>
        </w:rPr>
        <w:t>（类）市场监督管理事务（款）行政运行（项）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1065.83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eastAsia="zh-CN"/>
        </w:rPr>
        <w:t>2</w:t>
      </w:r>
      <w:r>
        <w:rPr>
          <w:rFonts w:hint="eastAsia" w:ascii="仿宋_GB2312" w:hAnsi="仿宋_GB2312" w:eastAsia="仿宋_GB2312"/>
          <w:b/>
          <w:color w:val="000000"/>
          <w:kern w:val="2"/>
          <w:sz w:val="32"/>
          <w:szCs w:val="24"/>
          <w:lang w:val="en-US"/>
        </w:rPr>
        <w:t>.一般公共服务支出</w:t>
      </w:r>
      <w:r>
        <w:rPr>
          <w:rStyle w:val="12"/>
          <w:rFonts w:hint="eastAsia" w:ascii="仿宋" w:hAnsi="仿宋" w:eastAsia="仿宋"/>
          <w:b w:val="0"/>
          <w:color w:val="000000"/>
          <w:sz w:val="32"/>
          <w:szCs w:val="32"/>
        </w:rPr>
        <w:t>（类）市场监督管理事务（款）</w:t>
      </w:r>
      <w:r>
        <w:rPr>
          <w:rStyle w:val="12"/>
          <w:rFonts w:hint="eastAsia" w:ascii="仿宋" w:hAnsi="仿宋" w:eastAsia="仿宋"/>
          <w:b w:val="0"/>
          <w:color w:val="000000"/>
          <w:sz w:val="32"/>
          <w:szCs w:val="32"/>
          <w:lang w:eastAsia="zh-CN"/>
        </w:rPr>
        <w:t>一般行政管理事务</w:t>
      </w:r>
      <w:r>
        <w:rPr>
          <w:rStyle w:val="12"/>
          <w:rFonts w:hint="eastAsia" w:ascii="仿宋" w:hAnsi="仿宋" w:eastAsia="仿宋"/>
          <w:b w:val="0"/>
          <w:color w:val="000000"/>
          <w:sz w:val="32"/>
          <w:szCs w:val="32"/>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27.17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3.一般公共服务支出</w:t>
      </w:r>
      <w:r>
        <w:rPr>
          <w:rStyle w:val="12"/>
          <w:rFonts w:hint="eastAsia" w:ascii="仿宋" w:hAnsi="仿宋" w:eastAsia="仿宋"/>
          <w:b w:val="0"/>
          <w:color w:val="000000"/>
          <w:sz w:val="32"/>
          <w:szCs w:val="32"/>
        </w:rPr>
        <w:t>（类）市场监督管理事务（款）</w:t>
      </w:r>
      <w:r>
        <w:rPr>
          <w:rStyle w:val="12"/>
          <w:rFonts w:hint="eastAsia" w:ascii="仿宋" w:hAnsi="仿宋" w:eastAsia="仿宋"/>
          <w:b w:val="0"/>
          <w:color w:val="000000"/>
          <w:sz w:val="32"/>
          <w:szCs w:val="32"/>
          <w:lang w:eastAsia="zh-CN"/>
        </w:rPr>
        <w:t>事业运行</w:t>
      </w:r>
      <w:r>
        <w:rPr>
          <w:rStyle w:val="12"/>
          <w:rFonts w:hint="eastAsia" w:ascii="仿宋" w:hAnsi="仿宋" w:eastAsia="仿宋"/>
          <w:b w:val="0"/>
          <w:color w:val="000000"/>
          <w:sz w:val="32"/>
          <w:szCs w:val="32"/>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63.27</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keepNext/>
        <w:keepLines/>
        <w:numPr>
          <w:ilvl w:val="0"/>
          <w:numId w:val="0"/>
        </w:numPr>
        <w:spacing w:beforeLines="0" w:afterLines="0" w:line="576" w:lineRule="exact"/>
        <w:ind w:firstLine="643" w:firstLineChars="200"/>
        <w:jc w:val="both"/>
        <w:rPr>
          <w:rFonts w:hint="eastAsia" w:ascii="仿宋_GB2312" w:hAnsi="仿宋_GB2312" w:eastAsia="仿宋_GB2312"/>
          <w:b/>
          <w:color w:val="000000"/>
          <w:kern w:val="2"/>
          <w:sz w:val="32"/>
          <w:szCs w:val="24"/>
          <w:lang w:val="en-US"/>
        </w:rPr>
      </w:pPr>
      <w:r>
        <w:rPr>
          <w:rFonts w:hint="eastAsia" w:ascii="仿宋_GB2312" w:hAnsi="仿宋_GB2312" w:eastAsia="仿宋_GB2312"/>
          <w:b/>
          <w:color w:val="000000"/>
          <w:kern w:val="2"/>
          <w:sz w:val="32"/>
          <w:szCs w:val="24"/>
          <w:lang w:val="en-US"/>
        </w:rPr>
        <w:t>4.一般公共服务支出</w:t>
      </w:r>
      <w:r>
        <w:rPr>
          <w:rStyle w:val="12"/>
          <w:rFonts w:hint="eastAsia" w:ascii="仿宋" w:hAnsi="仿宋" w:eastAsia="仿宋"/>
          <w:b w:val="0"/>
          <w:color w:val="000000"/>
          <w:sz w:val="32"/>
          <w:szCs w:val="32"/>
        </w:rPr>
        <w:t>（类）市场监督管理事务（款）</w:t>
      </w:r>
      <w:r>
        <w:rPr>
          <w:rStyle w:val="12"/>
          <w:rFonts w:hint="eastAsia" w:ascii="仿宋" w:hAnsi="仿宋" w:eastAsia="仿宋"/>
          <w:b w:val="0"/>
          <w:color w:val="000000"/>
          <w:sz w:val="32"/>
          <w:szCs w:val="32"/>
          <w:lang w:eastAsia="zh-CN"/>
        </w:rPr>
        <w:t>其他市场监督管理事务</w:t>
      </w:r>
      <w:r>
        <w:rPr>
          <w:rStyle w:val="12"/>
          <w:rFonts w:hint="eastAsia" w:ascii="仿宋" w:hAnsi="仿宋" w:eastAsia="仿宋"/>
          <w:b w:val="0"/>
          <w:color w:val="000000"/>
          <w:sz w:val="32"/>
          <w:szCs w:val="32"/>
        </w:rPr>
        <w:t>（项）</w:t>
      </w:r>
      <w:r>
        <w:rPr>
          <w:rFonts w:hint="eastAsia" w:ascii="仿宋" w:hAnsi="仿宋" w:eastAsia="仿宋"/>
          <w:color w:val="auto"/>
          <w:kern w:val="2"/>
          <w:sz w:val="32"/>
          <w:szCs w:val="24"/>
          <w:lang w:val="en-US"/>
        </w:rPr>
        <w:t>支出决算为</w:t>
      </w:r>
      <w:r>
        <w:rPr>
          <w:rFonts w:hint="eastAsia" w:ascii="仿宋" w:hAnsi="仿宋" w:eastAsia="仿宋"/>
          <w:color w:val="auto"/>
          <w:kern w:val="2"/>
          <w:sz w:val="32"/>
          <w:szCs w:val="24"/>
          <w:lang w:val="en-US" w:eastAsia="zh-CN"/>
        </w:rPr>
        <w:t>23.83</w:t>
      </w:r>
      <w:r>
        <w:rPr>
          <w:rFonts w:hint="eastAsia" w:ascii="仿宋" w:hAnsi="仿宋" w:eastAsia="仿宋"/>
          <w:color w:val="auto"/>
          <w:kern w:val="2"/>
          <w:sz w:val="32"/>
          <w:szCs w:val="24"/>
          <w:lang w:val="en-US"/>
        </w:rPr>
        <w:t>万元，完成预算</w:t>
      </w:r>
      <w:r>
        <w:rPr>
          <w:rFonts w:hint="eastAsia" w:ascii="仿宋" w:hAnsi="仿宋" w:eastAsia="仿宋"/>
          <w:color w:val="auto"/>
          <w:kern w:val="2"/>
          <w:sz w:val="32"/>
          <w:szCs w:val="24"/>
          <w:lang w:val="en-US" w:eastAsia="zh-CN"/>
        </w:rPr>
        <w:t>100</w:t>
      </w:r>
      <w:r>
        <w:rPr>
          <w:rFonts w:hint="eastAsia" w:ascii="仿宋" w:hAnsi="仿宋" w:eastAsia="仿宋"/>
          <w:color w:val="auto"/>
          <w:kern w:val="2"/>
          <w:sz w:val="32"/>
          <w:szCs w:val="24"/>
          <w:lang w:val="en-US"/>
        </w:rPr>
        <w:t>%</w:t>
      </w:r>
      <w:r>
        <w:rPr>
          <w:rFonts w:hint="eastAsia" w:ascii="仿宋" w:hAnsi="仿宋" w:eastAsia="仿宋"/>
          <w:color w:val="auto"/>
          <w:kern w:val="2"/>
          <w:sz w:val="32"/>
          <w:szCs w:val="24"/>
          <w:lang w:val="en-US" w:eastAsia="zh-CN"/>
        </w:rPr>
        <w:t>。</w:t>
      </w:r>
    </w:p>
    <w:p>
      <w:pPr>
        <w:spacing w:beforeLines="0" w:afterLines="0" w:line="600" w:lineRule="exact"/>
        <w:ind w:firstLine="643" w:firstLineChars="200"/>
        <w:rPr>
          <w:rStyle w:val="12"/>
          <w:rFonts w:hint="eastAsia" w:ascii="仿宋" w:hAnsi="仿宋" w:eastAsia="仿宋"/>
          <w:b w:val="0"/>
          <w:color w:val="000000"/>
          <w:sz w:val="32"/>
          <w:szCs w:val="32"/>
        </w:rPr>
      </w:pPr>
      <w:r>
        <w:rPr>
          <w:rFonts w:hint="eastAsia" w:ascii="仿宋_GB2312" w:hAnsi="仿宋_GB2312" w:eastAsia="仿宋_GB2312"/>
          <w:b/>
          <w:color w:val="000000"/>
          <w:kern w:val="2"/>
          <w:sz w:val="32"/>
          <w:szCs w:val="24"/>
          <w:lang w:val="en-US"/>
        </w:rPr>
        <w:t>5.社会保障和就业支出（类）</w:t>
      </w:r>
      <w:r>
        <w:rPr>
          <w:rStyle w:val="12"/>
          <w:rFonts w:hint="eastAsia" w:ascii="仿宋" w:hAnsi="仿宋" w:eastAsia="仿宋"/>
          <w:b w:val="0"/>
          <w:color w:val="000000"/>
          <w:sz w:val="32"/>
          <w:szCs w:val="32"/>
        </w:rPr>
        <w:t>行政事业单位养老支出（款）行政单位离退休（项）</w:t>
      </w:r>
      <w:r>
        <w:rPr>
          <w:rStyle w:val="12"/>
          <w:rFonts w:hint="eastAsia" w:ascii="仿宋" w:hAnsi="仿宋" w:eastAsia="仿宋"/>
          <w:b w:val="0"/>
          <w:color w:val="000000"/>
          <w:sz w:val="32"/>
          <w:szCs w:val="32"/>
          <w:lang w:eastAsia="zh-CN"/>
        </w:rPr>
        <w:t>：</w:t>
      </w:r>
      <w:r>
        <w:rPr>
          <w:rStyle w:val="12"/>
          <w:rFonts w:hint="eastAsia" w:ascii="仿宋" w:hAnsi="仿宋" w:eastAsia="仿宋"/>
          <w:b w:val="0"/>
          <w:color w:val="000000"/>
          <w:sz w:val="32"/>
          <w:szCs w:val="32"/>
        </w:rPr>
        <w:t>支出决算为</w:t>
      </w:r>
      <w:r>
        <w:rPr>
          <w:rStyle w:val="12"/>
          <w:rFonts w:hint="eastAsia" w:ascii="仿宋" w:hAnsi="仿宋" w:eastAsia="仿宋"/>
          <w:b w:val="0"/>
          <w:color w:val="000000"/>
          <w:sz w:val="32"/>
          <w:szCs w:val="32"/>
          <w:lang w:val="en-US" w:eastAsia="zh-CN"/>
        </w:rPr>
        <w:t>50.78</w:t>
      </w:r>
      <w:r>
        <w:rPr>
          <w:rStyle w:val="12"/>
          <w:rFonts w:hint="eastAsia" w:ascii="仿宋" w:hAnsi="仿宋" w:eastAsia="仿宋"/>
          <w:b w:val="0"/>
          <w:color w:val="000000"/>
          <w:sz w:val="32"/>
          <w:szCs w:val="32"/>
        </w:rPr>
        <w:t>万元，完成调整预算100%。</w:t>
      </w:r>
    </w:p>
    <w:p>
      <w:pPr>
        <w:spacing w:beforeLines="0" w:afterLines="0" w:line="600" w:lineRule="exact"/>
        <w:ind w:firstLine="643" w:firstLineChars="200"/>
        <w:rPr>
          <w:rStyle w:val="12"/>
          <w:rFonts w:hint="eastAsia" w:ascii="仿宋" w:hAnsi="仿宋" w:eastAsia="仿宋"/>
          <w:b w:val="0"/>
          <w:color w:val="000000"/>
          <w:sz w:val="32"/>
          <w:szCs w:val="32"/>
        </w:rPr>
      </w:pPr>
      <w:r>
        <w:rPr>
          <w:rFonts w:hint="eastAsia" w:ascii="仿宋_GB2312" w:hAnsi="仿宋_GB2312" w:eastAsia="仿宋_GB2312"/>
          <w:b/>
          <w:color w:val="000000"/>
          <w:kern w:val="2"/>
          <w:sz w:val="32"/>
          <w:szCs w:val="24"/>
          <w:lang w:val="en-US" w:eastAsia="zh-CN"/>
        </w:rPr>
        <w:t>6</w:t>
      </w:r>
      <w:r>
        <w:rPr>
          <w:rFonts w:hint="eastAsia" w:ascii="仿宋_GB2312" w:hAnsi="仿宋_GB2312" w:eastAsia="仿宋_GB2312"/>
          <w:b/>
          <w:color w:val="000000"/>
          <w:kern w:val="2"/>
          <w:sz w:val="32"/>
          <w:szCs w:val="24"/>
          <w:lang w:val="en-US"/>
        </w:rPr>
        <w:t>.社会保障和就业支出（类）</w:t>
      </w:r>
      <w:r>
        <w:rPr>
          <w:rStyle w:val="12"/>
          <w:rFonts w:hint="eastAsia" w:ascii="仿宋" w:hAnsi="仿宋" w:eastAsia="仿宋"/>
          <w:b w:val="0"/>
          <w:color w:val="000000"/>
          <w:sz w:val="32"/>
          <w:szCs w:val="32"/>
        </w:rPr>
        <w:t>行政事业单位养老支出（款）机关事业单位基本养老保险缴费支出（项）</w:t>
      </w:r>
      <w:r>
        <w:rPr>
          <w:rStyle w:val="12"/>
          <w:rFonts w:hint="eastAsia" w:ascii="仿宋" w:hAnsi="仿宋" w:eastAsia="仿宋"/>
          <w:b w:val="0"/>
          <w:color w:val="000000"/>
          <w:sz w:val="32"/>
          <w:szCs w:val="32"/>
          <w:lang w:eastAsia="zh-CN"/>
        </w:rPr>
        <w:t>：</w:t>
      </w:r>
      <w:r>
        <w:rPr>
          <w:rStyle w:val="12"/>
          <w:rFonts w:hint="eastAsia" w:ascii="仿宋" w:hAnsi="仿宋" w:eastAsia="仿宋"/>
          <w:b w:val="0"/>
          <w:color w:val="000000"/>
          <w:sz w:val="32"/>
          <w:szCs w:val="32"/>
        </w:rPr>
        <w:t>支出决算为</w:t>
      </w:r>
      <w:r>
        <w:rPr>
          <w:rStyle w:val="12"/>
          <w:rFonts w:hint="eastAsia" w:ascii="仿宋" w:hAnsi="仿宋" w:eastAsia="仿宋"/>
          <w:b w:val="0"/>
          <w:color w:val="000000"/>
          <w:sz w:val="32"/>
          <w:szCs w:val="32"/>
          <w:lang w:val="en-US" w:eastAsia="zh-CN"/>
        </w:rPr>
        <w:t>81.04</w:t>
      </w:r>
      <w:r>
        <w:rPr>
          <w:rStyle w:val="12"/>
          <w:rFonts w:hint="eastAsia" w:ascii="仿宋" w:hAnsi="仿宋" w:eastAsia="仿宋"/>
          <w:b w:val="0"/>
          <w:color w:val="000000"/>
          <w:sz w:val="32"/>
          <w:szCs w:val="32"/>
        </w:rPr>
        <w:t>万元，完成调整预算100%。</w:t>
      </w:r>
    </w:p>
    <w:p>
      <w:pPr>
        <w:spacing w:beforeLines="0" w:afterLines="0" w:line="600" w:lineRule="exact"/>
        <w:ind w:firstLine="643" w:firstLineChars="200"/>
        <w:rPr>
          <w:rFonts w:hint="eastAsia" w:ascii="Times New Roman" w:hAnsi="Times New Roman" w:eastAsia="仿宋"/>
          <w:sz w:val="24"/>
          <w:szCs w:val="24"/>
          <w:lang w:val="en-US" w:eastAsia="zh-CN"/>
        </w:rPr>
      </w:pPr>
      <w:r>
        <w:rPr>
          <w:rFonts w:hint="eastAsia" w:ascii="仿宋_GB2312" w:hAnsi="仿宋_GB2312" w:eastAsia="仿宋_GB2312"/>
          <w:b/>
          <w:color w:val="000000"/>
          <w:kern w:val="2"/>
          <w:sz w:val="32"/>
          <w:szCs w:val="24"/>
          <w:lang w:val="en-US" w:eastAsia="zh-CN"/>
        </w:rPr>
        <w:t>7</w:t>
      </w:r>
      <w:r>
        <w:rPr>
          <w:rFonts w:hint="eastAsia" w:ascii="仿宋_GB2312" w:hAnsi="仿宋_GB2312" w:eastAsia="仿宋_GB2312"/>
          <w:b/>
          <w:color w:val="000000"/>
          <w:kern w:val="2"/>
          <w:sz w:val="32"/>
          <w:szCs w:val="24"/>
          <w:lang w:val="en-US"/>
        </w:rPr>
        <w:t>.社会保障和就业支出（类）</w:t>
      </w:r>
      <w:r>
        <w:rPr>
          <w:rStyle w:val="12"/>
          <w:rFonts w:hint="eastAsia" w:ascii="仿宋" w:hAnsi="仿宋" w:eastAsia="仿宋"/>
          <w:b w:val="0"/>
          <w:color w:val="000000"/>
          <w:sz w:val="32"/>
          <w:szCs w:val="32"/>
        </w:rPr>
        <w:t>行政事业单位养老支出（款） 机关事业单位职业年金缴费支出（项）</w:t>
      </w:r>
      <w:r>
        <w:rPr>
          <w:rStyle w:val="12"/>
          <w:rFonts w:hint="eastAsia" w:ascii="仿宋" w:hAnsi="仿宋" w:eastAsia="仿宋"/>
          <w:b w:val="0"/>
          <w:color w:val="000000"/>
          <w:sz w:val="32"/>
          <w:szCs w:val="32"/>
          <w:lang w:eastAsia="zh-CN"/>
        </w:rPr>
        <w:t>：</w:t>
      </w:r>
      <w:r>
        <w:rPr>
          <w:rStyle w:val="12"/>
          <w:rFonts w:hint="eastAsia" w:ascii="仿宋" w:hAnsi="仿宋" w:eastAsia="仿宋"/>
          <w:b w:val="0"/>
          <w:color w:val="000000"/>
          <w:sz w:val="32"/>
          <w:szCs w:val="32"/>
        </w:rPr>
        <w:t xml:space="preserve"> 支出决算为</w:t>
      </w:r>
      <w:r>
        <w:rPr>
          <w:rStyle w:val="12"/>
          <w:rFonts w:hint="eastAsia" w:ascii="仿宋" w:hAnsi="仿宋" w:eastAsia="仿宋"/>
          <w:b w:val="0"/>
          <w:color w:val="000000"/>
          <w:sz w:val="32"/>
          <w:szCs w:val="32"/>
          <w:lang w:val="en-US" w:eastAsia="zh-CN"/>
        </w:rPr>
        <w:t>7.03</w:t>
      </w:r>
      <w:r>
        <w:rPr>
          <w:rStyle w:val="12"/>
          <w:rFonts w:hint="eastAsia" w:ascii="仿宋" w:hAnsi="仿宋" w:eastAsia="仿宋"/>
          <w:b w:val="0"/>
          <w:color w:val="000000"/>
          <w:sz w:val="32"/>
          <w:szCs w:val="32"/>
        </w:rPr>
        <w:t>万元，完成调整预算100%</w:t>
      </w:r>
      <w:r>
        <w:rPr>
          <w:rStyle w:val="12"/>
          <w:rFonts w:hint="eastAsia" w:ascii="仿宋" w:hAnsi="仿宋" w:eastAsia="仿宋"/>
          <w:b w:val="0"/>
          <w:color w:val="000000"/>
          <w:sz w:val="32"/>
          <w:szCs w:val="32"/>
          <w:lang w:eastAsia="zh-CN"/>
        </w:rPr>
        <w:t>。</w:t>
      </w:r>
    </w:p>
    <w:p>
      <w:pPr>
        <w:spacing w:beforeLines="0" w:afterLines="0" w:line="600" w:lineRule="exact"/>
        <w:ind w:firstLine="643" w:firstLineChars="200"/>
        <w:rPr>
          <w:rStyle w:val="12"/>
          <w:rFonts w:hint="eastAsia" w:ascii="仿宋" w:hAnsi="仿宋" w:eastAsia="仿宋"/>
          <w:b w:val="0"/>
          <w:color w:val="000000"/>
          <w:sz w:val="32"/>
          <w:szCs w:val="32"/>
        </w:rPr>
      </w:pPr>
      <w:r>
        <w:rPr>
          <w:rFonts w:hint="eastAsia" w:ascii="仿宋_GB2312" w:hAnsi="仿宋_GB2312" w:eastAsia="仿宋_GB2312"/>
          <w:b/>
          <w:color w:val="000000"/>
          <w:kern w:val="2"/>
          <w:sz w:val="32"/>
          <w:szCs w:val="24"/>
          <w:lang w:val="en-US" w:eastAsia="zh-CN"/>
        </w:rPr>
        <w:t>8</w:t>
      </w:r>
      <w:r>
        <w:rPr>
          <w:rFonts w:hint="eastAsia" w:ascii="仿宋_GB2312" w:hAnsi="仿宋_GB2312" w:eastAsia="仿宋_GB2312"/>
          <w:b/>
          <w:color w:val="000000"/>
          <w:kern w:val="2"/>
          <w:sz w:val="32"/>
          <w:szCs w:val="24"/>
          <w:lang w:val="en-US"/>
        </w:rPr>
        <w:t>.卫生健康支出（类）</w:t>
      </w:r>
      <w:r>
        <w:rPr>
          <w:rStyle w:val="12"/>
          <w:rFonts w:hint="eastAsia" w:ascii="仿宋" w:hAnsi="仿宋" w:eastAsia="仿宋"/>
          <w:b w:val="0"/>
          <w:color w:val="000000"/>
          <w:sz w:val="32"/>
          <w:szCs w:val="32"/>
        </w:rPr>
        <w:t>行政事业单位医疗（款）行政单位医疗（项）</w:t>
      </w:r>
      <w:r>
        <w:rPr>
          <w:rStyle w:val="12"/>
          <w:rFonts w:hint="eastAsia" w:ascii="仿宋" w:hAnsi="仿宋" w:eastAsia="仿宋"/>
          <w:b w:val="0"/>
          <w:color w:val="000000"/>
          <w:sz w:val="32"/>
          <w:szCs w:val="32"/>
          <w:lang w:eastAsia="zh-CN"/>
        </w:rPr>
        <w:t>：</w:t>
      </w:r>
      <w:r>
        <w:rPr>
          <w:rStyle w:val="12"/>
          <w:rFonts w:hint="eastAsia" w:ascii="仿宋" w:hAnsi="仿宋" w:eastAsia="仿宋"/>
          <w:b w:val="0"/>
          <w:color w:val="000000"/>
          <w:sz w:val="32"/>
          <w:szCs w:val="32"/>
        </w:rPr>
        <w:t>支出决算为6</w:t>
      </w:r>
      <w:r>
        <w:rPr>
          <w:rStyle w:val="12"/>
          <w:rFonts w:hint="eastAsia" w:ascii="仿宋" w:hAnsi="仿宋" w:eastAsia="仿宋"/>
          <w:b w:val="0"/>
          <w:color w:val="000000"/>
          <w:sz w:val="32"/>
          <w:szCs w:val="32"/>
          <w:lang w:val="en-US" w:eastAsia="zh-CN"/>
        </w:rPr>
        <w:t>5.75</w:t>
      </w:r>
      <w:r>
        <w:rPr>
          <w:rStyle w:val="12"/>
          <w:rFonts w:hint="eastAsia" w:ascii="仿宋" w:hAnsi="仿宋" w:eastAsia="仿宋"/>
          <w:b w:val="0"/>
          <w:color w:val="000000"/>
          <w:sz w:val="32"/>
          <w:szCs w:val="32"/>
        </w:rPr>
        <w:t>万元，完成调整预算100%。</w:t>
      </w:r>
    </w:p>
    <w:p>
      <w:pPr>
        <w:spacing w:beforeLines="0" w:afterLines="0" w:line="600" w:lineRule="exact"/>
        <w:ind w:firstLine="643" w:firstLineChars="200"/>
        <w:rPr>
          <w:rStyle w:val="12"/>
          <w:rFonts w:hint="eastAsia" w:ascii="仿宋" w:hAnsi="仿宋" w:eastAsia="仿宋"/>
          <w:b w:val="0"/>
          <w:color w:val="000000"/>
          <w:sz w:val="32"/>
          <w:szCs w:val="32"/>
        </w:rPr>
      </w:pPr>
      <w:r>
        <w:rPr>
          <w:rFonts w:hint="eastAsia" w:ascii="仿宋_GB2312" w:hAnsi="仿宋_GB2312" w:eastAsia="仿宋_GB2312"/>
          <w:b/>
          <w:color w:val="000000"/>
          <w:kern w:val="2"/>
          <w:sz w:val="32"/>
          <w:szCs w:val="24"/>
          <w:lang w:val="en-US" w:eastAsia="zh-CN"/>
        </w:rPr>
        <w:t>9</w:t>
      </w:r>
      <w:r>
        <w:rPr>
          <w:rFonts w:hint="eastAsia" w:ascii="仿宋_GB2312" w:hAnsi="仿宋_GB2312" w:eastAsia="仿宋_GB2312"/>
          <w:b/>
          <w:color w:val="000000"/>
          <w:kern w:val="2"/>
          <w:sz w:val="32"/>
          <w:szCs w:val="24"/>
          <w:lang w:val="en-US"/>
        </w:rPr>
        <w:t>.卫生健康支出（类）</w:t>
      </w:r>
      <w:r>
        <w:rPr>
          <w:rStyle w:val="12"/>
          <w:rFonts w:hint="eastAsia" w:ascii="仿宋" w:hAnsi="仿宋" w:eastAsia="仿宋"/>
          <w:b w:val="0"/>
          <w:color w:val="000000"/>
          <w:sz w:val="32"/>
          <w:szCs w:val="32"/>
        </w:rPr>
        <w:t>行政事业单位医疗（款） 事业单位医疗（项）</w:t>
      </w:r>
      <w:r>
        <w:rPr>
          <w:rStyle w:val="12"/>
          <w:rFonts w:hint="eastAsia" w:ascii="仿宋" w:hAnsi="仿宋" w:eastAsia="仿宋"/>
          <w:b w:val="0"/>
          <w:color w:val="000000"/>
          <w:sz w:val="32"/>
          <w:szCs w:val="32"/>
          <w:lang w:eastAsia="zh-CN"/>
        </w:rPr>
        <w:t>：</w:t>
      </w:r>
      <w:r>
        <w:rPr>
          <w:rStyle w:val="12"/>
          <w:rFonts w:hint="eastAsia" w:ascii="仿宋" w:hAnsi="仿宋" w:eastAsia="仿宋"/>
          <w:b w:val="0"/>
          <w:color w:val="000000"/>
          <w:sz w:val="32"/>
          <w:szCs w:val="32"/>
        </w:rPr>
        <w:t>支出决算为</w:t>
      </w:r>
      <w:r>
        <w:rPr>
          <w:rStyle w:val="12"/>
          <w:rFonts w:hint="eastAsia" w:ascii="仿宋" w:hAnsi="仿宋" w:eastAsia="仿宋"/>
          <w:b w:val="0"/>
          <w:color w:val="000000"/>
          <w:sz w:val="32"/>
          <w:szCs w:val="32"/>
          <w:lang w:val="en-US" w:eastAsia="zh-CN"/>
        </w:rPr>
        <w:t>0.94</w:t>
      </w:r>
      <w:r>
        <w:rPr>
          <w:rStyle w:val="12"/>
          <w:rFonts w:hint="eastAsia" w:ascii="仿宋" w:hAnsi="仿宋" w:eastAsia="仿宋"/>
          <w:b w:val="0"/>
          <w:color w:val="000000"/>
          <w:sz w:val="32"/>
          <w:szCs w:val="32"/>
        </w:rPr>
        <w:t>万元，完成调整预算100%。</w:t>
      </w:r>
    </w:p>
    <w:p>
      <w:pPr>
        <w:spacing w:beforeLines="0" w:afterLines="0" w:line="600" w:lineRule="exact"/>
        <w:ind w:firstLine="643" w:firstLineChars="200"/>
        <w:rPr>
          <w:rStyle w:val="12"/>
          <w:rFonts w:hint="eastAsia" w:ascii="仿宋" w:hAnsi="仿宋" w:eastAsia="仿宋"/>
          <w:b w:val="0"/>
          <w:color w:val="000000"/>
          <w:sz w:val="32"/>
          <w:szCs w:val="32"/>
        </w:rPr>
      </w:pPr>
      <w:r>
        <w:rPr>
          <w:rFonts w:hint="eastAsia" w:ascii="仿宋_GB2312" w:hAnsi="仿宋_GB2312" w:eastAsia="仿宋_GB2312"/>
          <w:b/>
          <w:color w:val="000000"/>
          <w:kern w:val="2"/>
          <w:sz w:val="32"/>
          <w:szCs w:val="24"/>
          <w:lang w:val="en-US" w:eastAsia="zh-CN"/>
        </w:rPr>
        <w:t>10</w:t>
      </w:r>
      <w:r>
        <w:rPr>
          <w:rFonts w:hint="eastAsia" w:ascii="仿宋_GB2312" w:hAnsi="仿宋_GB2312" w:eastAsia="仿宋_GB2312"/>
          <w:b/>
          <w:color w:val="000000"/>
          <w:kern w:val="2"/>
          <w:sz w:val="32"/>
          <w:szCs w:val="24"/>
          <w:lang w:val="en-US"/>
        </w:rPr>
        <w:t>.卫生健康支出（类）</w:t>
      </w:r>
      <w:r>
        <w:rPr>
          <w:rStyle w:val="12"/>
          <w:rFonts w:hint="eastAsia" w:ascii="仿宋" w:hAnsi="仿宋" w:eastAsia="仿宋"/>
          <w:b w:val="0"/>
          <w:color w:val="000000"/>
          <w:sz w:val="32"/>
          <w:szCs w:val="32"/>
        </w:rPr>
        <w:t>行政事业单位医疗（款） 公务员医疗补助（项）</w:t>
      </w:r>
      <w:r>
        <w:rPr>
          <w:rStyle w:val="12"/>
          <w:rFonts w:hint="eastAsia" w:ascii="仿宋" w:hAnsi="仿宋" w:eastAsia="仿宋"/>
          <w:b w:val="0"/>
          <w:color w:val="000000"/>
          <w:sz w:val="32"/>
          <w:szCs w:val="32"/>
          <w:lang w:eastAsia="zh-CN"/>
        </w:rPr>
        <w:t>：</w:t>
      </w:r>
      <w:r>
        <w:rPr>
          <w:rStyle w:val="12"/>
          <w:rFonts w:hint="eastAsia" w:ascii="仿宋" w:hAnsi="仿宋" w:eastAsia="仿宋"/>
          <w:b w:val="0"/>
          <w:color w:val="000000"/>
          <w:sz w:val="32"/>
          <w:szCs w:val="32"/>
        </w:rPr>
        <w:t>支出决算为</w:t>
      </w:r>
      <w:r>
        <w:rPr>
          <w:rStyle w:val="12"/>
          <w:rFonts w:hint="eastAsia" w:ascii="仿宋" w:hAnsi="仿宋" w:eastAsia="仿宋"/>
          <w:b w:val="0"/>
          <w:color w:val="000000"/>
          <w:sz w:val="32"/>
          <w:szCs w:val="32"/>
          <w:lang w:val="en-US" w:eastAsia="zh-CN"/>
        </w:rPr>
        <w:t>9.93</w:t>
      </w:r>
      <w:r>
        <w:rPr>
          <w:rStyle w:val="12"/>
          <w:rFonts w:hint="eastAsia" w:ascii="仿宋" w:hAnsi="仿宋" w:eastAsia="仿宋"/>
          <w:b w:val="0"/>
          <w:color w:val="000000"/>
          <w:sz w:val="32"/>
          <w:szCs w:val="32"/>
        </w:rPr>
        <w:t>万元，完成调整预算100%。</w:t>
      </w:r>
    </w:p>
    <w:p>
      <w:pPr>
        <w:spacing w:beforeLines="0" w:afterLines="0" w:line="600" w:lineRule="exact"/>
        <w:ind w:firstLine="643" w:firstLineChars="200"/>
        <w:rPr>
          <w:rStyle w:val="12"/>
          <w:rFonts w:hint="default"/>
          <w:sz w:val="24"/>
          <w:szCs w:val="24"/>
        </w:rPr>
      </w:pPr>
      <w:r>
        <w:rPr>
          <w:rStyle w:val="12"/>
          <w:rFonts w:hint="eastAsia" w:ascii="仿宋" w:hAnsi="仿宋" w:eastAsia="仿宋"/>
          <w:color w:val="000000"/>
          <w:sz w:val="32"/>
          <w:szCs w:val="32"/>
          <w:lang w:val="en-US" w:eastAsia="zh-CN"/>
        </w:rPr>
        <w:t>11.</w:t>
      </w:r>
      <w:r>
        <w:rPr>
          <w:rStyle w:val="12"/>
          <w:rFonts w:hint="eastAsia" w:ascii="仿宋" w:hAnsi="仿宋" w:eastAsia="仿宋"/>
          <w:color w:val="000000"/>
          <w:sz w:val="32"/>
          <w:szCs w:val="32"/>
        </w:rPr>
        <w:t>住房保障支出（类）</w:t>
      </w:r>
      <w:r>
        <w:rPr>
          <w:rStyle w:val="12"/>
          <w:rFonts w:hint="eastAsia" w:ascii="仿宋" w:hAnsi="仿宋" w:eastAsia="仿宋"/>
          <w:b w:val="0"/>
          <w:color w:val="000000"/>
          <w:sz w:val="32"/>
          <w:szCs w:val="32"/>
        </w:rPr>
        <w:t>住房改革支出（款）住房公积金（项）</w:t>
      </w:r>
      <w:r>
        <w:rPr>
          <w:rStyle w:val="12"/>
          <w:rFonts w:hint="eastAsia" w:ascii="仿宋" w:hAnsi="仿宋" w:eastAsia="仿宋"/>
          <w:b w:val="0"/>
          <w:color w:val="000000"/>
          <w:sz w:val="32"/>
          <w:szCs w:val="32"/>
          <w:lang w:eastAsia="zh-CN"/>
        </w:rPr>
        <w:t>：</w:t>
      </w:r>
      <w:r>
        <w:rPr>
          <w:rStyle w:val="12"/>
          <w:rFonts w:hint="eastAsia" w:ascii="仿宋" w:hAnsi="仿宋" w:eastAsia="仿宋"/>
          <w:b w:val="0"/>
          <w:color w:val="000000"/>
          <w:sz w:val="32"/>
          <w:szCs w:val="32"/>
        </w:rPr>
        <w:t>支出决算为1</w:t>
      </w:r>
      <w:r>
        <w:rPr>
          <w:rStyle w:val="12"/>
          <w:rFonts w:hint="eastAsia" w:ascii="仿宋" w:hAnsi="仿宋" w:eastAsia="仿宋"/>
          <w:b w:val="0"/>
          <w:color w:val="000000"/>
          <w:sz w:val="32"/>
          <w:szCs w:val="32"/>
          <w:lang w:val="en-US" w:eastAsia="zh-CN"/>
        </w:rPr>
        <w:t>00.76</w:t>
      </w:r>
      <w:r>
        <w:rPr>
          <w:rStyle w:val="12"/>
          <w:rFonts w:hint="eastAsia" w:ascii="仿宋" w:hAnsi="仿宋" w:eastAsia="仿宋"/>
          <w:b w:val="0"/>
          <w:color w:val="000000"/>
          <w:sz w:val="32"/>
          <w:szCs w:val="32"/>
        </w:rPr>
        <w:t>万元，完成调整预算100%。</w:t>
      </w:r>
    </w:p>
    <w:p>
      <w:pPr>
        <w:keepNext/>
        <w:keepLines/>
        <w:tabs>
          <w:tab w:val="right" w:pos="8306"/>
        </w:tabs>
        <w:spacing w:beforeLines="0" w:afterLines="0" w:line="576" w:lineRule="exact"/>
        <w:ind w:firstLine="640" w:firstLineChars="200"/>
        <w:jc w:val="both"/>
        <w:rPr>
          <w:rFonts w:hint="default" w:ascii="Cambria" w:hAnsi="Cambria" w:eastAsia="Cambria"/>
          <w:b/>
          <w:color w:val="auto"/>
          <w:kern w:val="2"/>
          <w:sz w:val="32"/>
          <w:szCs w:val="24"/>
          <w:lang w:val="zh-CN"/>
        </w:rPr>
      </w:pPr>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r>
        <w:rPr>
          <w:rFonts w:hint="eastAsia" w:ascii="黑体" w:hAnsi="黑体" w:eastAsia="黑体"/>
          <w:color w:val="auto"/>
          <w:kern w:val="2"/>
          <w:sz w:val="32"/>
          <w:szCs w:val="24"/>
          <w:lang w:val="zh-CN"/>
        </w:rPr>
        <w:tab/>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2022年一般公共预算财政拨款基本支出1,445.33万元，其中：</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1,361.11万元，主要包括：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84.22万元，主要包括：</w:t>
      </w:r>
      <w:r>
        <w:rPr>
          <w:rFonts w:hint="eastAsia" w:ascii="仿宋" w:hAnsi="仿宋" w:eastAsia="仿宋"/>
          <w:color w:val="auto"/>
          <w:kern w:val="2"/>
          <w:sz w:val="32"/>
          <w:szCs w:val="24"/>
          <w:lang w:val="en-US"/>
        </w:rPr>
        <w:t>办公费、印刷费、水费、电费、邮电费、物业管理费、差旅费、因公出国（境）费用、维修（护）费、租赁费、会议费、培训费、公务接待费、劳务费、委托业务费、工会经费、福利费、公务用车运行维护费、其他交通费、其他商品和服务支出、办公设备购置等</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000000"/>
          <w:kern w:val="2"/>
          <w:sz w:val="32"/>
          <w:szCs w:val="24"/>
          <w:lang w:val="zh-CN"/>
        </w:rPr>
        <w:t>七、</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三公”经费财政拨款支出决算情况说明</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（一）“三公”经费财政拨款支出决算总体情况说明</w:t>
      </w:r>
    </w:p>
    <w:p>
      <w:pPr>
        <w:spacing w:beforeLines="0" w:afterLines="0" w:line="600"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2022年“三公”经费财政拨款支出决算为11.53万元，完成预算19.2%；较上年减少9.14万元，下降44.2%。决算数小于预算数的主要原因是</w:t>
      </w:r>
      <w:r>
        <w:rPr>
          <w:rFonts w:hint="eastAsia" w:ascii="仿宋" w:hAnsi="仿宋" w:eastAsia="仿宋"/>
          <w:color w:val="000000"/>
          <w:sz w:val="32"/>
          <w:szCs w:val="24"/>
        </w:rPr>
        <w:t>财力紧张，尽力节约开支。</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（二）“三公”经费财政拨款支出决算具体情况说明</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2022年“三公”经费财政拨款支出决算中，因公出国（境）费支出决算0万元，占0%；公务用车购置及运行维护费支出决算11.26万元，占97.7%；公务接待费支出决算0.27万元，占2.3%。具体情况如下：</w:t>
      </w:r>
    </w:p>
    <w:p>
      <w:pPr>
        <w:spacing w:beforeLines="0" w:afterLines="0" w:line="600" w:lineRule="exact"/>
        <w:ind w:firstLine="640"/>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（图7：“三公”经费财政拨款支出结构）（饼状图）</w:t>
      </w:r>
    </w:p>
    <w:p>
      <w:pPr>
        <w:pStyle w:val="13"/>
        <w:spacing w:beforeLines="0" w:afterLines="0"/>
        <w:rPr>
          <w:rFonts w:hint="eastAsia"/>
          <w:sz w:val="24"/>
          <w:szCs w:val="24"/>
        </w:rPr>
      </w:pPr>
      <w:r>
        <w:rPr>
          <w:rFonts w:hint="eastAsia"/>
          <w:sz w:val="24"/>
          <w:szCs w:val="24"/>
        </w:rPr>
        <w:t xml:space="preserve">         </w:t>
      </w:r>
      <w:r>
        <w:rPr>
          <w:rFonts w:hint="default"/>
          <w:sz w:val="24"/>
          <w:szCs w:val="24"/>
        </w:rPr>
        <w:object>
          <v:shape id="_x0000_i1031" o:spt="75" type="#_x0000_t75" style="height:128.65pt;width:373pt;" o:ole="t" filled="f" o:preferrelative="t" stroked="f" coordsize="21600,21600">
            <v:path/>
            <v:fill on="f" focussize="0,0"/>
            <v:stroke on="f"/>
            <v:imagedata r:id="rId19" o:title=""/>
            <o:lock v:ext="edit" aspectratio="t"/>
            <w10:wrap type="none"/>
            <w10:anchorlock/>
          </v:shape>
          <o:OLEObject Type="Embed" ProgID="MSGraph.Chart.8" ShapeID="_x0000_i1031" DrawAspect="Content" ObjectID="_1468075731" r:id="rId18">
            <o:LockedField>false</o:LockedField>
          </o:OLEObject>
        </w:objec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支出0万元，完成预算0%。全年安排因公出国（境）团组0个，出国（境）0人。因公出国（境）支出决算比2021年增加/减少0万元，增长/下降</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支出11.26万元，完成预算21.7%。公务用车购置及运行维护费支出决算比2021年减少8.42万元，下降42.8%。主要原因是</w:t>
      </w:r>
      <w:r>
        <w:rPr>
          <w:rFonts w:hint="eastAsia" w:ascii="仿宋" w:hAnsi="仿宋" w:eastAsia="仿宋"/>
          <w:color w:val="000000"/>
          <w:sz w:val="32"/>
          <w:szCs w:val="24"/>
        </w:rPr>
        <w:t>财力紧张，节约开支</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支出0万元。全年按规定更新购置公务用车0辆，其中：轿车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万元，越野车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万元，其他车型</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辆、金额</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万元。截至2022年12月底，本部门共有执法执勤公务用车1</w:t>
      </w:r>
      <w:r>
        <w:rPr>
          <w:rFonts w:hint="eastAsia" w:ascii="仿宋_GB2312" w:hAnsi="仿宋_GB2312" w:eastAsia="仿宋_GB2312"/>
          <w:color w:val="000000"/>
          <w:kern w:val="2"/>
          <w:sz w:val="32"/>
          <w:szCs w:val="24"/>
          <w:lang w:val="en-US" w:eastAsia="zh-CN"/>
        </w:rPr>
        <w:t>4</w:t>
      </w:r>
      <w:r>
        <w:rPr>
          <w:rFonts w:hint="eastAsia" w:ascii="仿宋_GB2312" w:hAnsi="仿宋_GB2312" w:eastAsia="仿宋_GB2312"/>
          <w:color w:val="000000"/>
          <w:kern w:val="2"/>
          <w:sz w:val="32"/>
          <w:szCs w:val="24"/>
          <w:lang w:val="zh-CN"/>
        </w:rPr>
        <w:t>辆，其中：轿车</w:t>
      </w:r>
      <w:r>
        <w:rPr>
          <w:rFonts w:hint="eastAsia" w:ascii="仿宋_GB2312" w:hAnsi="仿宋_GB2312" w:eastAsia="仿宋_GB2312"/>
          <w:color w:val="000000"/>
          <w:kern w:val="2"/>
          <w:sz w:val="32"/>
          <w:szCs w:val="24"/>
          <w:lang w:val="en-US" w:eastAsia="zh-CN"/>
        </w:rPr>
        <w:t>7</w:t>
      </w:r>
      <w:r>
        <w:rPr>
          <w:rFonts w:hint="eastAsia" w:ascii="仿宋_GB2312" w:hAnsi="仿宋_GB2312" w:eastAsia="仿宋_GB2312"/>
          <w:color w:val="000000"/>
          <w:kern w:val="2"/>
          <w:sz w:val="32"/>
          <w:szCs w:val="24"/>
          <w:lang w:val="zh-CN"/>
        </w:rPr>
        <w:t>辆、越野车</w:t>
      </w:r>
      <w:r>
        <w:rPr>
          <w:rFonts w:hint="eastAsia" w:ascii="仿宋_GB2312" w:hAnsi="仿宋_GB2312" w:eastAsia="仿宋_GB2312"/>
          <w:color w:val="000000"/>
          <w:kern w:val="2"/>
          <w:sz w:val="32"/>
          <w:szCs w:val="24"/>
          <w:lang w:val="en-US" w:eastAsia="zh-CN"/>
        </w:rPr>
        <w:t>6</w:t>
      </w:r>
      <w:r>
        <w:rPr>
          <w:rFonts w:hint="eastAsia" w:ascii="仿宋_GB2312" w:hAnsi="仿宋_GB2312" w:eastAsia="仿宋_GB2312"/>
          <w:color w:val="000000"/>
          <w:kern w:val="2"/>
          <w:sz w:val="32"/>
          <w:szCs w:val="24"/>
          <w:lang w:val="zh-CN"/>
        </w:rPr>
        <w:t>辆、小型载客汽车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辆、大中型载客汽车</w:t>
      </w:r>
      <w:r>
        <w:rPr>
          <w:rFonts w:hint="eastAsia" w:ascii="仿宋_GB2312" w:hAnsi="仿宋_GB2312" w:eastAsia="仿宋_GB2312"/>
          <w:color w:val="000000"/>
          <w:kern w:val="2"/>
          <w:sz w:val="32"/>
          <w:szCs w:val="24"/>
          <w:lang w:val="en-US" w:eastAsia="zh-CN"/>
        </w:rPr>
        <w:t>0</w:t>
      </w:r>
      <w:r>
        <w:rPr>
          <w:rFonts w:hint="eastAsia" w:ascii="仿宋_GB2312" w:hAnsi="仿宋_GB2312" w:eastAsia="仿宋_GB2312"/>
          <w:color w:val="000000"/>
          <w:kern w:val="2"/>
          <w:sz w:val="32"/>
          <w:szCs w:val="24"/>
          <w:lang w:val="zh-CN"/>
        </w:rPr>
        <w:t>辆、其他车型</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w:t>
      </w:r>
    </w:p>
    <w:p>
      <w:pPr>
        <w:spacing w:beforeLines="0" w:afterLines="0" w:line="580" w:lineRule="exact"/>
        <w:ind w:firstLine="630" w:firstLineChars="196"/>
        <w:rPr>
          <w:rFonts w:hint="eastAsia" w:ascii="仿宋" w:hAnsi="仿宋" w:eastAsia="仿宋"/>
          <w:color w:val="000000"/>
          <w:sz w:val="32"/>
          <w:szCs w:val="24"/>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支出11.26万元。主要用于</w:t>
      </w:r>
      <w:r>
        <w:rPr>
          <w:rFonts w:hint="eastAsia" w:ascii="仿宋" w:hAnsi="仿宋" w:eastAsia="仿宋"/>
          <w:color w:val="000000"/>
          <w:sz w:val="32"/>
          <w:szCs w:val="24"/>
        </w:rPr>
        <w:t>仁和区市场监管局各项行政执法和食品药品监管执法等所需的公务用车燃料费、维修费、过路过桥费、保险费等支出。</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支出0.27万元，完成预算3.4%。公务接待费支出决算比2021年减少0.72万元，下降72.7%。主要原因是</w:t>
      </w:r>
      <w:r>
        <w:rPr>
          <w:rFonts w:hint="eastAsia" w:ascii="仿宋" w:hAnsi="仿宋" w:eastAsia="仿宋"/>
          <w:color w:val="000000"/>
          <w:sz w:val="32"/>
          <w:szCs w:val="24"/>
        </w:rPr>
        <w:t>财力紧张，节约开支</w:t>
      </w:r>
      <w:r>
        <w:rPr>
          <w:rFonts w:hint="eastAsia" w:ascii="仿宋_GB2312" w:hAnsi="仿宋_GB2312" w:eastAsia="仿宋_GB2312"/>
          <w:color w:val="000000"/>
          <w:kern w:val="2"/>
          <w:sz w:val="32"/>
          <w:szCs w:val="24"/>
          <w:lang w:val="zh-CN"/>
        </w:rPr>
        <w:t>。其中：</w:t>
      </w:r>
    </w:p>
    <w:p>
      <w:pPr>
        <w:spacing w:beforeLines="0" w:afterLines="0" w:line="600" w:lineRule="exact"/>
        <w:ind w:firstLine="640"/>
        <w:rPr>
          <w:rFonts w:hint="eastAsia" w:ascii="仿宋" w:hAnsi="仿宋" w:eastAsia="仿宋"/>
          <w:color w:val="000000"/>
          <w:sz w:val="32"/>
          <w:szCs w:val="24"/>
        </w:rPr>
      </w:pPr>
      <w:r>
        <w:rPr>
          <w:rFonts w:hint="eastAsia" w:ascii="仿宋_GB2312" w:hAnsi="仿宋_GB2312" w:eastAsia="仿宋_GB2312"/>
          <w:b/>
          <w:color w:val="000000"/>
          <w:kern w:val="2"/>
          <w:sz w:val="32"/>
          <w:szCs w:val="24"/>
          <w:lang w:val="zh-CN"/>
        </w:rPr>
        <w:t>国内公务接待</w:t>
      </w:r>
      <w:r>
        <w:rPr>
          <w:rFonts w:hint="eastAsia" w:ascii="仿宋_GB2312" w:hAnsi="仿宋_GB2312" w:eastAsia="仿宋_GB2312"/>
          <w:color w:val="000000"/>
          <w:kern w:val="2"/>
          <w:sz w:val="32"/>
          <w:szCs w:val="24"/>
          <w:lang w:val="zh-CN"/>
        </w:rPr>
        <w:t>支出0.27万元。主要用于</w:t>
      </w:r>
      <w:r>
        <w:rPr>
          <w:rFonts w:hint="eastAsia" w:ascii="仿宋" w:hAnsi="仿宋" w:eastAsia="仿宋"/>
          <w:color w:val="000000"/>
          <w:sz w:val="32"/>
          <w:szCs w:val="24"/>
        </w:rPr>
        <w:t>仁和区市场监管局执行公务、考察调研、检查指导等公务活动开支的用餐费等。国内公务接待</w:t>
      </w:r>
      <w:r>
        <w:rPr>
          <w:rFonts w:hint="eastAsia" w:ascii="仿宋" w:hAnsi="仿宋" w:eastAsia="仿宋"/>
          <w:color w:val="000000"/>
          <w:sz w:val="32"/>
          <w:szCs w:val="24"/>
          <w:lang w:val="en-US" w:eastAsia="zh-CN"/>
        </w:rPr>
        <w:t>3</w:t>
      </w:r>
      <w:r>
        <w:rPr>
          <w:rFonts w:hint="eastAsia" w:ascii="仿宋" w:hAnsi="仿宋" w:eastAsia="仿宋"/>
          <w:color w:val="000000"/>
          <w:sz w:val="32"/>
          <w:szCs w:val="24"/>
        </w:rPr>
        <w:t>批次，</w:t>
      </w:r>
      <w:r>
        <w:rPr>
          <w:rFonts w:hint="eastAsia" w:ascii="仿宋" w:hAnsi="仿宋" w:eastAsia="仿宋"/>
          <w:color w:val="000000"/>
          <w:sz w:val="32"/>
          <w:szCs w:val="24"/>
          <w:lang w:val="en-US" w:eastAsia="zh-CN"/>
        </w:rPr>
        <w:t>23</w:t>
      </w:r>
      <w:r>
        <w:rPr>
          <w:rFonts w:hint="eastAsia" w:ascii="仿宋" w:hAnsi="仿宋" w:eastAsia="仿宋"/>
          <w:color w:val="000000"/>
          <w:sz w:val="32"/>
          <w:szCs w:val="24"/>
        </w:rPr>
        <w:t>人次，共计支出0.</w:t>
      </w:r>
      <w:r>
        <w:rPr>
          <w:rFonts w:hint="eastAsia" w:ascii="仿宋" w:hAnsi="仿宋" w:eastAsia="仿宋"/>
          <w:color w:val="000000"/>
          <w:sz w:val="32"/>
          <w:szCs w:val="24"/>
          <w:lang w:val="en-US" w:eastAsia="zh-CN"/>
        </w:rPr>
        <w:t>27</w:t>
      </w:r>
      <w:r>
        <w:rPr>
          <w:rFonts w:hint="eastAsia" w:ascii="仿宋" w:hAnsi="仿宋" w:eastAsia="仿宋"/>
          <w:color w:val="000000"/>
          <w:sz w:val="32"/>
          <w:szCs w:val="24"/>
        </w:rPr>
        <w:t>万元，具体内容包括：</w:t>
      </w:r>
      <w:r>
        <w:rPr>
          <w:rFonts w:hint="eastAsia" w:ascii="仿宋" w:hAnsi="仿宋" w:eastAsia="仿宋"/>
          <w:color w:val="000000"/>
          <w:sz w:val="32"/>
          <w:szCs w:val="24"/>
          <w:lang w:eastAsia="zh-CN"/>
        </w:rPr>
        <w:t>市食安办</w:t>
      </w:r>
      <w:r>
        <w:rPr>
          <w:rFonts w:hint="eastAsia" w:ascii="仿宋" w:hAnsi="仿宋" w:eastAsia="仿宋"/>
          <w:color w:val="000000"/>
          <w:sz w:val="32"/>
          <w:szCs w:val="24"/>
        </w:rPr>
        <w:t>接待费1</w:t>
      </w:r>
      <w:r>
        <w:rPr>
          <w:rFonts w:hint="eastAsia" w:ascii="仿宋" w:hAnsi="仿宋" w:eastAsia="仿宋"/>
          <w:color w:val="000000"/>
          <w:sz w:val="32"/>
          <w:szCs w:val="24"/>
          <w:lang w:val="en-US" w:eastAsia="zh-CN"/>
        </w:rPr>
        <w:t>068</w:t>
      </w:r>
      <w:r>
        <w:rPr>
          <w:rFonts w:hint="eastAsia" w:ascii="仿宋" w:hAnsi="仿宋" w:eastAsia="仿宋"/>
          <w:color w:val="000000"/>
          <w:sz w:val="32"/>
          <w:szCs w:val="24"/>
        </w:rPr>
        <w:t>元、</w:t>
      </w:r>
      <w:r>
        <w:rPr>
          <w:rFonts w:hint="eastAsia" w:ascii="仿宋" w:hAnsi="仿宋" w:eastAsia="仿宋"/>
          <w:color w:val="000000"/>
          <w:sz w:val="32"/>
          <w:szCs w:val="24"/>
          <w:lang w:eastAsia="zh-CN"/>
        </w:rPr>
        <w:t>永仁县市场监管局</w:t>
      </w:r>
      <w:r>
        <w:rPr>
          <w:rFonts w:hint="eastAsia" w:ascii="仿宋" w:hAnsi="仿宋" w:eastAsia="仿宋"/>
          <w:color w:val="000000"/>
          <w:sz w:val="32"/>
          <w:szCs w:val="24"/>
        </w:rPr>
        <w:t>接待费</w:t>
      </w:r>
      <w:r>
        <w:rPr>
          <w:rFonts w:hint="eastAsia" w:ascii="仿宋" w:hAnsi="仿宋" w:eastAsia="仿宋"/>
          <w:color w:val="000000"/>
          <w:sz w:val="32"/>
          <w:szCs w:val="24"/>
          <w:lang w:val="en-US" w:eastAsia="zh-CN"/>
        </w:rPr>
        <w:t>820</w:t>
      </w:r>
      <w:r>
        <w:rPr>
          <w:rFonts w:hint="eastAsia" w:ascii="仿宋" w:hAnsi="仿宋" w:eastAsia="仿宋"/>
          <w:color w:val="000000"/>
          <w:sz w:val="32"/>
          <w:szCs w:val="24"/>
        </w:rPr>
        <w:t>元</w:t>
      </w:r>
      <w:r>
        <w:rPr>
          <w:rFonts w:hint="eastAsia" w:ascii="仿宋" w:hAnsi="仿宋" w:eastAsia="仿宋"/>
          <w:color w:val="000000"/>
          <w:sz w:val="32"/>
          <w:szCs w:val="24"/>
          <w:lang w:eastAsia="zh-CN"/>
        </w:rPr>
        <w:t>和省市场监管局</w:t>
      </w:r>
      <w:r>
        <w:rPr>
          <w:rFonts w:hint="eastAsia" w:ascii="仿宋" w:hAnsi="仿宋" w:eastAsia="仿宋"/>
          <w:color w:val="000000"/>
          <w:sz w:val="32"/>
          <w:szCs w:val="24"/>
          <w:lang w:val="en-US" w:eastAsia="zh-CN"/>
        </w:rPr>
        <w:t>800元等</w:t>
      </w:r>
      <w:r>
        <w:rPr>
          <w:rFonts w:hint="eastAsia" w:ascii="仿宋" w:hAnsi="仿宋" w:eastAsia="仿宋"/>
          <w:color w:val="000000"/>
          <w:sz w:val="32"/>
          <w:szCs w:val="24"/>
        </w:rPr>
        <w:t>接待项目。</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zh-CN"/>
        </w:rPr>
        <w:t>外事接待</w:t>
      </w:r>
      <w:r>
        <w:rPr>
          <w:rFonts w:hint="eastAsia" w:ascii="仿宋_GB2312" w:hAnsi="仿宋_GB2312" w:eastAsia="仿宋_GB2312" w:cs="Times New Roman"/>
          <w:b/>
          <w:color w:val="000000"/>
          <w:kern w:val="2"/>
          <w:sz w:val="32"/>
          <w:szCs w:val="24"/>
          <w:lang w:val="zh-CN"/>
        </w:rPr>
        <w:t>支出0万元</w:t>
      </w:r>
      <w:r>
        <w:rPr>
          <w:rFonts w:hint="eastAsia" w:ascii="仿宋_GB2312" w:hAnsi="仿宋_GB2312" w:eastAsia="仿宋_GB2312"/>
          <w:color w:val="000000"/>
          <w:kern w:val="2"/>
          <w:sz w:val="32"/>
          <w:szCs w:val="24"/>
          <w:lang w:val="zh-CN"/>
        </w:rPr>
        <w:t>。外事接待0批次，0人，共计支出0万元。</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2022年政府性基金预算拨款支出10万元。</w:t>
      </w:r>
    </w:p>
    <w:p>
      <w:pPr>
        <w:keepNext/>
        <w:keepLines/>
        <w:spacing w:beforeLines="0" w:afterLines="0" w:line="576" w:lineRule="exact"/>
        <w:ind w:firstLine="640"/>
        <w:jc w:val="both"/>
        <w:rPr>
          <w:rFonts w:hint="eastAsia" w:ascii="黑体" w:hAnsi="黑体" w:eastAsia="黑体"/>
          <w:color w:val="auto"/>
          <w:kern w:val="2"/>
          <w:sz w:val="32"/>
          <w:szCs w:val="24"/>
          <w:lang w:val="zh-CN"/>
        </w:rPr>
      </w:pPr>
      <w:r>
        <w:rPr>
          <w:rFonts w:hint="eastAsia" w:ascii="黑体" w:hAnsi="黑体" w:eastAsia="黑体"/>
          <w:color w:val="auto"/>
          <w:kern w:val="2"/>
          <w:sz w:val="32"/>
          <w:szCs w:val="24"/>
          <w:lang w:val="zh-CN"/>
        </w:rPr>
        <w:t>九、国有资本经营预算支出决算情况说明</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rPr>
          <w:rFonts w:hint="eastAsia" w:ascii="黑体" w:hAnsi="黑体" w:eastAsia="黑体"/>
          <w:b/>
          <w:color w:val="auto"/>
          <w:kern w:val="2"/>
          <w:sz w:val="32"/>
          <w:szCs w:val="24"/>
          <w:lang w:val="zh-CN"/>
        </w:rPr>
      </w:pPr>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p>
    <w:p>
      <w:pPr>
        <w:keepNext/>
        <w:keepLines/>
        <w:spacing w:beforeLines="0" w:afterLines="0" w:line="576" w:lineRule="exact"/>
        <w:ind w:firstLine="643"/>
        <w:jc w:val="both"/>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（一）机关运行经费支出情况</w:t>
      </w:r>
    </w:p>
    <w:p>
      <w:pPr>
        <w:spacing w:beforeLines="0" w:afterLines="0" w:line="576" w:lineRule="exact"/>
        <w:ind w:firstLine="640"/>
        <w:jc w:val="both"/>
        <w:rPr>
          <w:rFonts w:hint="eastAsia" w:ascii="仿宋_GB2312" w:hAnsi="仿宋_GB2312" w:eastAsia="仿宋"/>
          <w:color w:val="000000"/>
          <w:kern w:val="2"/>
          <w:sz w:val="32"/>
          <w:szCs w:val="24"/>
          <w:lang w:val="en-US" w:eastAsia="zh-CN"/>
        </w:rPr>
      </w:pPr>
      <w:r>
        <w:rPr>
          <w:rFonts w:hint="eastAsia" w:ascii="仿宋_GB2312" w:hAnsi="仿宋_GB2312" w:eastAsia="仿宋_GB2312"/>
          <w:color w:val="000000"/>
          <w:kern w:val="2"/>
          <w:sz w:val="32"/>
          <w:szCs w:val="24"/>
          <w:lang w:val="zh-CN"/>
        </w:rPr>
        <w:t>2022年，攀枝花市仁和区市场监督管理局机关运行经费支出84.22万元，比2021年减少61.22万元，下降42.1%。主要原因是</w:t>
      </w:r>
      <w:r>
        <w:rPr>
          <w:rFonts w:hint="eastAsia" w:ascii="仿宋" w:hAnsi="仿宋" w:eastAsia="仿宋"/>
          <w:color w:val="000000"/>
          <w:sz w:val="32"/>
          <w:szCs w:val="24"/>
        </w:rPr>
        <w:t>财力紧张，节约开支</w:t>
      </w:r>
      <w:r>
        <w:rPr>
          <w:rFonts w:hint="eastAsia" w:ascii="仿宋" w:hAnsi="仿宋" w:eastAsia="仿宋"/>
          <w:color w:val="000000"/>
          <w:sz w:val="32"/>
          <w:szCs w:val="24"/>
          <w:lang w:eastAsia="zh-CN"/>
        </w:rPr>
        <w:t>。</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（二）政府采购支出情况</w:t>
      </w:r>
    </w:p>
    <w:p>
      <w:pPr>
        <w:spacing w:beforeLines="0" w:afterLines="0" w:line="576" w:lineRule="exact"/>
        <w:ind w:firstLine="640"/>
        <w:jc w:val="both"/>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2022年，攀枝花市仁和区市场监督管理局政府采购支出总额34.14万元，其中：政府采购货物支出34.14万元、政府采购工程支出0万元、政府采购服务支出0万元。主要用于执法执勤公</w:t>
      </w:r>
      <w:r>
        <w:rPr>
          <w:rFonts w:hint="eastAsia" w:ascii="仿宋_GB2312" w:hAnsi="仿宋_GB2312" w:eastAsia="仿宋_GB2312" w:cs="Times New Roman"/>
          <w:color w:val="000000"/>
          <w:kern w:val="2"/>
          <w:sz w:val="32"/>
          <w:szCs w:val="24"/>
          <w:lang w:val="zh-CN"/>
        </w:rPr>
        <w:t>务车辆</w:t>
      </w:r>
      <w:r>
        <w:rPr>
          <w:rFonts w:hint="eastAsia" w:ascii="仿宋_GB2312" w:hAnsi="仿宋_GB2312" w:eastAsia="仿宋_GB2312" w:cs="Times New Roman"/>
          <w:color w:val="000000"/>
          <w:kern w:val="2"/>
          <w:sz w:val="32"/>
          <w:szCs w:val="24"/>
          <w:lang w:val="en-US" w:eastAsia="zh-CN"/>
        </w:rPr>
        <w:t>购置</w:t>
      </w:r>
      <w:r>
        <w:rPr>
          <w:rFonts w:hint="eastAsia" w:ascii="仿宋_GB2312" w:hAnsi="仿宋_GB2312" w:eastAsia="仿宋_GB2312" w:cs="Times New Roman"/>
          <w:color w:val="000000"/>
          <w:kern w:val="2"/>
          <w:sz w:val="32"/>
          <w:szCs w:val="24"/>
          <w:lang w:val="zh-CN"/>
        </w:rPr>
        <w:t>。授</w:t>
      </w:r>
      <w:r>
        <w:rPr>
          <w:rFonts w:hint="eastAsia" w:ascii="仿宋_GB2312" w:hAnsi="仿宋_GB2312" w:eastAsia="仿宋_GB2312"/>
          <w:color w:val="000000"/>
          <w:kern w:val="2"/>
          <w:sz w:val="32"/>
          <w:szCs w:val="24"/>
          <w:lang w:val="zh-CN"/>
        </w:rPr>
        <w:t>予中小企业合同金额34.14万元，占政府采购支出总额的100%，其中：授予小微企业合同金额34.14万元，</w:t>
      </w:r>
      <w:r>
        <w:rPr>
          <w:rFonts w:hint="eastAsia" w:ascii="仿宋_GB2312" w:hAnsi="仿宋_GB2312" w:eastAsia="仿宋_GB2312"/>
          <w:color w:val="auto"/>
          <w:kern w:val="2"/>
          <w:sz w:val="32"/>
          <w:szCs w:val="24"/>
          <w:lang w:val="en-US"/>
        </w:rPr>
        <w:t>占政府采购支出总额的</w:t>
      </w:r>
      <w:r>
        <w:rPr>
          <w:rFonts w:hint="eastAsia" w:ascii="仿宋_GB2312" w:hAnsi="仿宋_GB2312" w:eastAsia="仿宋_GB2312"/>
          <w:color w:val="000000"/>
          <w:kern w:val="2"/>
          <w:sz w:val="32"/>
          <w:szCs w:val="24"/>
          <w:lang w:val="zh-CN"/>
        </w:rPr>
        <w:t>100%。</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（三）国有资产占有使用情况</w:t>
      </w:r>
    </w:p>
    <w:p>
      <w:pPr>
        <w:spacing w:beforeLines="0" w:afterLines="0" w:line="576" w:lineRule="exact"/>
        <w:ind w:firstLine="640"/>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攀枝花市仁和区市场监督管理局共有车辆14辆，其中：副部（省）级及以上领导用车0辆、主要领导干部用车0辆、机要通信用车0辆、应急保障用车0辆、执法执勤用车13辆、特种专业技术用车1辆、离退休干部用车0辆、其他用车0辆。单价100万元（含）以上设备0台（套）。</w:t>
      </w:r>
    </w:p>
    <w:p>
      <w:pPr>
        <w:keepNext/>
        <w:keepLines/>
        <w:spacing w:beforeLines="0" w:afterLines="0" w:line="576" w:lineRule="exact"/>
        <w:ind w:firstLine="643"/>
        <w:jc w:val="both"/>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（四）预算绩效管理情况</w:t>
      </w:r>
    </w:p>
    <w:p>
      <w:pPr>
        <w:spacing w:beforeLines="0" w:afterLines="0" w:line="576" w:lineRule="exact"/>
        <w:ind w:firstLine="640"/>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根据预算绩效管理要求，本部门在2022年度预算编制阶段，组织对</w:t>
      </w:r>
      <w:r>
        <w:rPr>
          <w:rFonts w:hint="eastAsia" w:ascii="仿宋_GB2312" w:hAnsi="仿宋_GB2312" w:eastAsia="仿宋_GB2312"/>
          <w:color w:val="auto"/>
          <w:kern w:val="2"/>
          <w:sz w:val="32"/>
          <w:szCs w:val="24"/>
          <w:lang w:val="en-US" w:eastAsia="zh-CN"/>
        </w:rPr>
        <w:t>0个</w:t>
      </w:r>
      <w:r>
        <w:rPr>
          <w:rFonts w:hint="eastAsia" w:ascii="仿宋_GB2312" w:hAnsi="仿宋_GB2312" w:eastAsia="仿宋_GB2312"/>
          <w:color w:val="auto"/>
          <w:kern w:val="2"/>
          <w:sz w:val="32"/>
          <w:szCs w:val="24"/>
          <w:lang w:val="en-US"/>
        </w:rPr>
        <w:t>项目开展了预算事前绩效评估，对</w:t>
      </w:r>
      <w:r>
        <w:rPr>
          <w:rFonts w:hint="eastAsia" w:ascii="仿宋_GB2312" w:hAnsi="仿宋_GB2312" w:eastAsia="仿宋_GB2312"/>
          <w:color w:val="auto"/>
          <w:kern w:val="2"/>
          <w:sz w:val="32"/>
          <w:szCs w:val="24"/>
          <w:lang w:val="en-US" w:eastAsia="zh-CN"/>
        </w:rPr>
        <w:t>6</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6</w:t>
      </w:r>
      <w:r>
        <w:rPr>
          <w:rFonts w:hint="eastAsia" w:ascii="仿宋_GB2312" w:hAnsi="仿宋_GB2312" w:eastAsia="仿宋_GB2312"/>
          <w:color w:val="auto"/>
          <w:kern w:val="2"/>
          <w:sz w:val="32"/>
          <w:szCs w:val="24"/>
          <w:lang w:val="en-US"/>
        </w:rPr>
        <w:t>个项目开展绩效监控。</w:t>
      </w:r>
    </w:p>
    <w:p>
      <w:pPr>
        <w:spacing w:beforeLines="0" w:afterLines="0" w:line="576" w:lineRule="exact"/>
        <w:ind w:firstLine="643"/>
        <w:jc w:val="both"/>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组织对2022年度一般公共预算、政府性基金预算等全面开展绩效自评，形成</w:t>
      </w:r>
      <w:r>
        <w:rPr>
          <w:rFonts w:hint="eastAsia" w:ascii="仿宋_GB2312" w:hAnsi="仿宋_GB2312" w:eastAsia="仿宋_GB2312"/>
          <w:color w:val="auto"/>
          <w:kern w:val="2"/>
          <w:sz w:val="32"/>
          <w:szCs w:val="24"/>
          <w:lang w:val="en-US" w:eastAsia="zh-CN"/>
        </w:rPr>
        <w:t>攀枝花市仁和区市场监管局</w:t>
      </w:r>
      <w:r>
        <w:rPr>
          <w:rFonts w:hint="eastAsia" w:ascii="仿宋_GB2312" w:hAnsi="仿宋_GB2312" w:eastAsia="仿宋_GB2312"/>
          <w:color w:val="auto"/>
          <w:kern w:val="2"/>
          <w:sz w:val="32"/>
          <w:szCs w:val="24"/>
          <w:lang w:val="en-US"/>
        </w:rPr>
        <w:t>部门整体（含部门预算项目）绩效自评报告</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olor w:val="auto"/>
          <w:kern w:val="2"/>
          <w:sz w:val="32"/>
          <w:szCs w:val="24"/>
          <w:lang w:val="en-US"/>
        </w:rPr>
        <w:t>其中</w:t>
      </w:r>
      <w:r>
        <w:rPr>
          <w:rFonts w:hint="eastAsia" w:ascii="仿宋_GB2312" w:hAnsi="仿宋_GB2312" w:eastAsia="仿宋_GB2312"/>
          <w:color w:val="auto"/>
          <w:kern w:val="2"/>
          <w:sz w:val="32"/>
          <w:szCs w:val="24"/>
          <w:lang w:val="en-US" w:eastAsia="zh-CN"/>
        </w:rPr>
        <w:t>攀枝花市仁和区市场监管局</w:t>
      </w:r>
      <w:r>
        <w:rPr>
          <w:rFonts w:hint="eastAsia" w:ascii="仿宋_GB2312" w:hAnsi="仿宋_GB2312" w:eastAsia="仿宋_GB2312"/>
          <w:color w:val="auto"/>
          <w:kern w:val="2"/>
          <w:sz w:val="32"/>
          <w:szCs w:val="24"/>
          <w:lang w:val="en-US"/>
        </w:rPr>
        <w:t>部门整体（含部门预算项目）绩效自评得分为</w:t>
      </w:r>
      <w:r>
        <w:rPr>
          <w:rFonts w:hint="eastAsia" w:ascii="仿宋_GB2312" w:hAnsi="仿宋_GB2312" w:eastAsia="仿宋_GB2312"/>
          <w:color w:val="auto"/>
          <w:kern w:val="2"/>
          <w:sz w:val="32"/>
          <w:szCs w:val="24"/>
          <w:lang w:val="en-US" w:eastAsia="zh-CN"/>
        </w:rPr>
        <w:t>良好</w:t>
      </w:r>
      <w:r>
        <w:rPr>
          <w:rFonts w:hint="eastAsia" w:ascii="仿宋_GB2312" w:hAnsi="仿宋_GB2312" w:eastAsia="仿宋_GB2312"/>
          <w:color w:val="auto"/>
          <w:kern w:val="2"/>
          <w:sz w:val="32"/>
          <w:szCs w:val="24"/>
          <w:lang w:val="en-US"/>
        </w:rPr>
        <w:t>，绩效自评综述：</w:t>
      </w:r>
      <w:r>
        <w:rPr>
          <w:rFonts w:hint="eastAsia" w:ascii="仿宋_GB2312" w:hAnsi="仿宋_GB2312" w:eastAsia="仿宋_GB2312" w:cs="Times New Roman"/>
          <w:color w:val="auto"/>
          <w:kern w:val="2"/>
          <w:sz w:val="32"/>
          <w:szCs w:val="24"/>
          <w:lang w:val="en-US"/>
        </w:rPr>
        <w:t>整体绩效自评良好；</w:t>
      </w:r>
      <w:r>
        <w:rPr>
          <w:rFonts w:hint="eastAsia" w:ascii="仿宋_GB2312" w:hAnsi="仿宋_GB2312" w:eastAsia="仿宋_GB2312" w:cs="Times New Roman"/>
          <w:color w:val="auto"/>
          <w:kern w:val="2"/>
          <w:sz w:val="32"/>
          <w:szCs w:val="24"/>
          <w:lang w:val="en-US" w:eastAsia="zh-CN"/>
        </w:rPr>
        <w:t>整体</w:t>
      </w:r>
      <w:r>
        <w:rPr>
          <w:rFonts w:hint="eastAsia" w:ascii="仿宋_GB2312" w:hAnsi="仿宋_GB2312" w:eastAsia="仿宋_GB2312"/>
          <w:color w:val="auto"/>
          <w:kern w:val="2"/>
          <w:sz w:val="32"/>
          <w:szCs w:val="24"/>
          <w:lang w:val="en-US"/>
        </w:rPr>
        <w:t>绩效自评报告详见附件。</w:t>
      </w:r>
    </w:p>
    <w:p>
      <w:pPr>
        <w:pStyle w:val="13"/>
        <w:spacing w:beforeLines="0" w:afterLines="0"/>
        <w:rPr>
          <w:rFonts w:hint="eastAsia"/>
          <w:sz w:val="24"/>
          <w:szCs w:val="24"/>
          <w:lang w:val="zh-CN"/>
        </w:rPr>
      </w:pPr>
    </w:p>
    <w:p>
      <w:pPr>
        <w:keepNext/>
        <w:keepLines/>
        <w:spacing w:beforeLines="0" w:afterLines="0" w:line="576" w:lineRule="exact"/>
        <w:jc w:val="center"/>
        <w:rPr>
          <w:rFonts w:hint="eastAsia" w:ascii="黑体" w:hAnsi="黑体" w:eastAsia="黑体"/>
          <w:color w:val="000000"/>
          <w:kern w:val="2"/>
          <w:sz w:val="44"/>
          <w:szCs w:val="24"/>
          <w:lang w:val="zh-CN"/>
        </w:rPr>
      </w:pPr>
    </w:p>
    <w:p>
      <w:pPr>
        <w:keepNext/>
        <w:keepLines/>
        <w:spacing w:beforeLines="0" w:afterLines="0" w:line="576" w:lineRule="exact"/>
        <w:jc w:val="center"/>
        <w:rPr>
          <w:rFonts w:hint="eastAsia" w:ascii="黑体" w:hAnsi="黑体" w:eastAsia="黑体"/>
          <w:color w:val="auto"/>
          <w:kern w:val="44"/>
          <w:sz w:val="44"/>
          <w:szCs w:val="24"/>
          <w:lang w:val="zh-CN"/>
        </w:rPr>
      </w:pPr>
      <w:r>
        <w:rPr>
          <w:rFonts w:hint="eastAsia" w:ascii="黑体" w:hAnsi="黑体" w:eastAsia="黑体"/>
          <w:color w:val="000000"/>
          <w:kern w:val="2"/>
          <w:sz w:val="44"/>
          <w:szCs w:val="24"/>
          <w:lang w:val="zh-CN"/>
        </w:rPr>
        <w:t>第三部分 名</w:t>
      </w:r>
      <w:r>
        <w:rPr>
          <w:rFonts w:hint="eastAsia" w:ascii="黑体" w:hAnsi="黑体" w:eastAsia="黑体"/>
          <w:color w:val="auto"/>
          <w:kern w:val="44"/>
          <w:sz w:val="44"/>
          <w:szCs w:val="24"/>
          <w:lang w:val="zh-CN"/>
        </w:rPr>
        <w:t>词解释</w:t>
      </w:r>
    </w:p>
    <w:p>
      <w:pPr>
        <w:pStyle w:val="13"/>
        <w:spacing w:beforeLines="0" w:afterLines="0" w:line="560" w:lineRule="exact"/>
        <w:ind w:firstLine="640" w:firstLineChars="200"/>
        <w:rPr>
          <w:rFonts w:hint="eastAsia" w:ascii="仿宋_GB2312" w:hAnsi="仿宋_GB2312" w:eastAsia="仿宋_GB2312" w:cs="Times New Roman"/>
          <w:color w:val="auto"/>
          <w:kern w:val="2"/>
          <w:sz w:val="32"/>
          <w:szCs w:val="24"/>
          <w:lang/>
        </w:rPr>
      </w:pPr>
      <w:r>
        <w:rPr>
          <w:rFonts w:hint="eastAsia" w:ascii="仿宋_GB2312" w:hAnsi="仿宋_GB2312" w:eastAsia="仿宋_GB2312" w:cs="Times New Roman"/>
          <w:color w:val="auto"/>
          <w:kern w:val="2"/>
          <w:sz w:val="32"/>
          <w:szCs w:val="24"/>
          <w:lang/>
        </w:rPr>
        <w:t>1.财政拨款收入：指单位从同级财政部门取得的财政预算资金。</w:t>
      </w:r>
    </w:p>
    <w:p>
      <w:pPr>
        <w:pStyle w:val="13"/>
        <w:spacing w:beforeLines="0" w:afterLines="0" w:line="560" w:lineRule="exact"/>
        <w:ind w:firstLine="640" w:firstLineChars="200"/>
        <w:rPr>
          <w:rFonts w:hint="eastAsia" w:ascii="仿宋_GB2312" w:hAnsi="仿宋_GB2312" w:eastAsia="仿宋_GB2312" w:cs="Times New Roman"/>
          <w:color w:val="auto"/>
          <w:kern w:val="2"/>
          <w:sz w:val="32"/>
          <w:szCs w:val="24"/>
          <w:lang/>
        </w:rPr>
      </w:pPr>
      <w:r>
        <w:rPr>
          <w:rFonts w:hint="eastAsia" w:ascii="仿宋_GB2312" w:hAnsi="仿宋_GB2312" w:eastAsia="仿宋_GB2312" w:cs="Times New Roman"/>
          <w:color w:val="auto"/>
          <w:kern w:val="2"/>
          <w:sz w:val="32"/>
          <w:szCs w:val="24"/>
          <w:lang/>
        </w:rPr>
        <w:t>2.事业收入：指事业单位开展专业业务活动及辅助活动取得的收入。</w:t>
      </w:r>
    </w:p>
    <w:p>
      <w:pPr>
        <w:pStyle w:val="13"/>
        <w:spacing w:beforeLines="0" w:afterLines="0" w:line="560" w:lineRule="exact"/>
        <w:ind w:firstLine="640" w:firstLineChars="200"/>
        <w:rPr>
          <w:rFonts w:hint="eastAsia" w:ascii="仿宋_GB2312" w:hAnsi="仿宋_GB2312" w:eastAsia="仿宋_GB2312" w:cs="Times New Roman"/>
          <w:color w:val="auto"/>
          <w:kern w:val="2"/>
          <w:sz w:val="32"/>
          <w:szCs w:val="24"/>
          <w:lang/>
        </w:rPr>
      </w:pPr>
      <w:r>
        <w:rPr>
          <w:rFonts w:hint="eastAsia" w:ascii="仿宋_GB2312" w:hAnsi="仿宋_GB2312" w:eastAsia="仿宋_GB2312" w:cs="Times New Roman"/>
          <w:color w:val="auto"/>
          <w:kern w:val="2"/>
          <w:sz w:val="32"/>
          <w:szCs w:val="24"/>
          <w:lang/>
        </w:rPr>
        <w:t>3.经营收入：指事业单位在专业业务活动及其辅助活动之外开展非独立核算经营活动取得的收入。</w:t>
      </w:r>
    </w:p>
    <w:p>
      <w:pPr>
        <w:pStyle w:val="13"/>
        <w:spacing w:beforeLines="0" w:afterLines="0" w:line="560" w:lineRule="exact"/>
        <w:ind w:firstLine="640" w:firstLineChars="200"/>
        <w:rPr>
          <w:rFonts w:hint="eastAsia" w:ascii="仿宋_GB2312" w:hAnsi="仿宋_GB2312" w:eastAsia="仿宋_GB2312" w:cs="Times New Roman"/>
          <w:color w:val="auto"/>
          <w:kern w:val="2"/>
          <w:sz w:val="32"/>
          <w:szCs w:val="24"/>
          <w:lang/>
        </w:rPr>
      </w:pPr>
      <w:r>
        <w:rPr>
          <w:rFonts w:hint="eastAsia" w:ascii="仿宋_GB2312" w:hAnsi="仿宋_GB2312" w:eastAsia="仿宋_GB2312" w:cs="Times New Roman"/>
          <w:color w:val="auto"/>
          <w:kern w:val="2"/>
          <w:sz w:val="32"/>
          <w:szCs w:val="24"/>
          <w:lang/>
        </w:rPr>
        <w:t>4.其他收入：指单位取得的除上述收入以外的各项收入。主要是其他单位转入收入。</w:t>
      </w:r>
    </w:p>
    <w:p>
      <w:pPr>
        <w:pStyle w:val="13"/>
        <w:spacing w:beforeLines="0" w:afterLines="0" w:line="560" w:lineRule="exact"/>
        <w:ind w:firstLine="640" w:firstLineChars="200"/>
        <w:rPr>
          <w:rFonts w:hint="eastAsia" w:ascii="仿宋_GB2312" w:hAnsi="仿宋_GB2312" w:eastAsia="仿宋_GB2312" w:cs="Times New Roman"/>
          <w:color w:val="auto"/>
          <w:kern w:val="2"/>
          <w:sz w:val="32"/>
          <w:szCs w:val="24"/>
          <w:lang/>
        </w:rPr>
      </w:pPr>
      <w:r>
        <w:rPr>
          <w:rFonts w:hint="eastAsia" w:ascii="仿宋_GB2312" w:hAnsi="仿宋_GB2312" w:eastAsia="仿宋_GB2312" w:cs="Times New Roman"/>
          <w:color w:val="auto"/>
          <w:kern w:val="2"/>
          <w:sz w:val="32"/>
          <w:szCs w:val="24"/>
          <w:lang/>
        </w:rPr>
        <w:t xml:space="preserve">5.使用非财政拨款结余：指事业单位使用以前年度积累的非财政拨款结余弥补当年收支差额的金额。 </w:t>
      </w:r>
    </w:p>
    <w:p>
      <w:pPr>
        <w:pStyle w:val="13"/>
        <w:spacing w:beforeLines="0" w:afterLines="0" w:line="560" w:lineRule="exact"/>
        <w:ind w:firstLine="640" w:firstLineChars="200"/>
        <w:rPr>
          <w:rFonts w:hint="eastAsia" w:ascii="仿宋_GB2312" w:hAnsi="仿宋_GB2312" w:eastAsia="仿宋_GB2312" w:cs="Times New Roman"/>
          <w:color w:val="auto"/>
          <w:kern w:val="2"/>
          <w:sz w:val="32"/>
          <w:szCs w:val="24"/>
          <w:lang/>
        </w:rPr>
      </w:pPr>
      <w:r>
        <w:rPr>
          <w:rFonts w:hint="eastAsia" w:ascii="仿宋_GB2312" w:hAnsi="仿宋_GB2312" w:eastAsia="仿宋_GB2312" w:cs="Times New Roman"/>
          <w:color w:val="auto"/>
          <w:kern w:val="2"/>
          <w:sz w:val="32"/>
          <w:szCs w:val="24"/>
          <w:lang/>
        </w:rPr>
        <w:t xml:space="preserve">6.年初结转和结余：指以前年度尚未完成、结转到本年按有关规定继续使用的资金。 </w:t>
      </w:r>
    </w:p>
    <w:p>
      <w:pPr>
        <w:pStyle w:val="13"/>
        <w:spacing w:beforeLines="0" w:afterLines="0" w:line="560" w:lineRule="exact"/>
        <w:ind w:firstLine="640" w:firstLineChars="200"/>
        <w:rPr>
          <w:rFonts w:hint="eastAsia" w:ascii="仿宋_GB2312" w:hAnsi="仿宋_GB2312" w:eastAsia="仿宋_GB2312" w:cs="Times New Roman"/>
          <w:color w:val="auto"/>
          <w:kern w:val="2"/>
          <w:sz w:val="32"/>
          <w:szCs w:val="24"/>
          <w:lang/>
        </w:rPr>
      </w:pPr>
      <w:r>
        <w:rPr>
          <w:rFonts w:hint="eastAsia" w:ascii="仿宋_GB2312" w:hAnsi="仿宋_GB2312" w:eastAsia="仿宋_GB2312" w:cs="Times New Roman"/>
          <w:color w:val="auto"/>
          <w:kern w:val="2"/>
          <w:sz w:val="32"/>
          <w:szCs w:val="24"/>
          <w:lang/>
        </w:rPr>
        <w:t>7</w:t>
      </w:r>
      <w:r>
        <w:rPr>
          <w:rFonts w:hint="eastAsia" w:ascii="仿宋_GB2312" w:hAnsi="仿宋_GB2312" w:eastAsia="仿宋_GB2312" w:cs="Times New Roman"/>
          <w:color w:val="auto"/>
          <w:kern w:val="2"/>
          <w:sz w:val="32"/>
          <w:szCs w:val="24"/>
        </w:rPr>
        <w:t>.</w:t>
      </w:r>
      <w:r>
        <w:rPr>
          <w:rFonts w:hint="eastAsia" w:ascii="仿宋_GB2312" w:hAnsi="仿宋_GB2312" w:eastAsia="仿宋_GB2312" w:cs="Times New Roman"/>
          <w:color w:val="auto"/>
          <w:kern w:val="2"/>
          <w:sz w:val="32"/>
          <w:szCs w:val="24"/>
          <w:lang/>
        </w:rPr>
        <w:t>结余分配：指事业单位按照会计制度规定缴纳的所得税、提取的专用结余以及转入非财政拨款结余的金额等。</w:t>
      </w:r>
    </w:p>
    <w:p>
      <w:pPr>
        <w:pStyle w:val="13"/>
        <w:spacing w:beforeLines="0" w:afterLines="0" w:line="560" w:lineRule="exact"/>
        <w:ind w:firstLine="640" w:firstLineChars="200"/>
        <w:rPr>
          <w:rFonts w:hint="eastAsia" w:ascii="仿宋_GB2312" w:hAnsi="仿宋_GB2312" w:eastAsia="仿宋_GB2312" w:cs="Times New Roman"/>
          <w:color w:val="auto"/>
          <w:kern w:val="2"/>
          <w:sz w:val="32"/>
          <w:szCs w:val="24"/>
          <w:lang/>
        </w:rPr>
      </w:pPr>
      <w:r>
        <w:rPr>
          <w:rFonts w:hint="eastAsia" w:ascii="仿宋_GB2312" w:hAnsi="仿宋_GB2312" w:eastAsia="仿宋_GB2312" w:cs="Times New Roman"/>
          <w:color w:val="auto"/>
          <w:kern w:val="2"/>
          <w:sz w:val="32"/>
          <w:szCs w:val="24"/>
          <w:lang/>
        </w:rPr>
        <w:t>8</w:t>
      </w:r>
      <w:r>
        <w:rPr>
          <w:rFonts w:hint="eastAsia" w:ascii="仿宋_GB2312" w:hAnsi="仿宋_GB2312" w:eastAsia="仿宋_GB2312" w:cs="Times New Roman"/>
          <w:color w:val="auto"/>
          <w:kern w:val="2"/>
          <w:sz w:val="32"/>
          <w:szCs w:val="24"/>
        </w:rPr>
        <w:t>.</w:t>
      </w:r>
      <w:r>
        <w:rPr>
          <w:rFonts w:hint="eastAsia" w:ascii="仿宋_GB2312" w:hAnsi="仿宋_GB2312" w:eastAsia="仿宋_GB2312" w:cs="Times New Roman"/>
          <w:color w:val="auto"/>
          <w:kern w:val="2"/>
          <w:sz w:val="32"/>
          <w:szCs w:val="24"/>
          <w:lang/>
        </w:rPr>
        <w:t>年末结转和结余：指单位按有关规定结转到下年或以后年度继续使用的资金。</w:t>
      </w:r>
    </w:p>
    <w:p>
      <w:pPr>
        <w:spacing w:beforeLines="0" w:afterLines="0" w:line="600" w:lineRule="exact"/>
        <w:ind w:firstLine="640" w:firstLineChars="200"/>
        <w:rPr>
          <w:rFonts w:hint="eastAsia" w:ascii="仿宋_GB2312" w:hAnsi="仿宋_GB2312" w:eastAsia="仿宋_GB2312" w:cs="Times New Roman"/>
          <w:color w:val="auto"/>
          <w:kern w:val="2"/>
          <w:sz w:val="32"/>
          <w:szCs w:val="24"/>
          <w:lang w:val="en-US"/>
        </w:rPr>
      </w:pPr>
      <w:r>
        <w:rPr>
          <w:rFonts w:hint="eastAsia" w:ascii="仿宋_GB2312" w:hAnsi="仿宋_GB2312" w:eastAsia="仿宋_GB2312" w:cs="Times New Roman"/>
          <w:color w:val="auto"/>
          <w:kern w:val="2"/>
          <w:sz w:val="32"/>
          <w:szCs w:val="24"/>
          <w:lang/>
        </w:rPr>
        <w:t>9</w:t>
      </w:r>
      <w:r>
        <w:rPr>
          <w:rFonts w:hint="eastAsia" w:ascii="仿宋_GB2312" w:hAnsi="仿宋_GB2312" w:eastAsia="仿宋_GB2312" w:cs="Times New Roman"/>
          <w:color w:val="auto"/>
          <w:kern w:val="2"/>
          <w:sz w:val="32"/>
          <w:szCs w:val="24"/>
        </w:rPr>
        <w:t>.</w:t>
      </w:r>
      <w:r>
        <w:rPr>
          <w:rFonts w:hint="eastAsia" w:ascii="仿宋_GB2312" w:hAnsi="仿宋_GB2312" w:eastAsia="仿宋_GB2312" w:cs="Times New Roman"/>
          <w:color w:val="auto"/>
          <w:kern w:val="2"/>
          <w:sz w:val="32"/>
          <w:szCs w:val="24"/>
          <w:lang/>
        </w:rPr>
        <w:t>一般公共服务（类）知识产权事务（款）专业试点和产</w:t>
      </w:r>
      <w:r>
        <w:rPr>
          <w:rFonts w:hint="eastAsia" w:ascii="仿宋_GB2312" w:hAnsi="仿宋_GB2312" w:eastAsia="仿宋_GB2312" w:cs="Times New Roman"/>
          <w:color w:val="auto"/>
          <w:kern w:val="2"/>
          <w:sz w:val="32"/>
          <w:szCs w:val="24"/>
          <w:lang w:val="en-US"/>
        </w:rPr>
        <w:t>业化推进：指市场监管局知识产权方面事务。</w:t>
      </w:r>
    </w:p>
    <w:p>
      <w:pPr>
        <w:spacing w:beforeLines="0" w:afterLines="0" w:line="600" w:lineRule="exact"/>
        <w:ind w:firstLine="640" w:firstLineChars="200"/>
        <w:rPr>
          <w:rFonts w:hint="eastAsia" w:ascii="仿宋_GB2312" w:hAnsi="仿宋_GB2312" w:eastAsia="仿宋_GB2312" w:cs="Times New Roman"/>
          <w:color w:val="auto"/>
          <w:kern w:val="2"/>
          <w:sz w:val="32"/>
          <w:szCs w:val="24"/>
          <w:lang w:val="en-US"/>
        </w:rPr>
      </w:pPr>
      <w:r>
        <w:rPr>
          <w:rFonts w:hint="eastAsia" w:ascii="仿宋_GB2312" w:hAnsi="仿宋_GB2312" w:eastAsia="仿宋_GB2312" w:cs="Times New Roman"/>
          <w:color w:val="auto"/>
          <w:kern w:val="2"/>
          <w:sz w:val="32"/>
          <w:szCs w:val="24"/>
          <w:lang w:val="en-US"/>
        </w:rPr>
        <w:t>10</w:t>
      </w:r>
      <w:r>
        <w:rPr>
          <w:rFonts w:hint="eastAsia" w:ascii="仿宋_GB2312" w:hAnsi="仿宋_GB2312" w:eastAsia="仿宋_GB2312" w:cs="Times New Roman"/>
          <w:color w:val="auto"/>
          <w:kern w:val="2"/>
          <w:sz w:val="32"/>
          <w:szCs w:val="24"/>
        </w:rPr>
        <w:t>.</w:t>
      </w:r>
      <w:r>
        <w:rPr>
          <w:rFonts w:hint="eastAsia" w:ascii="仿宋_GB2312" w:hAnsi="仿宋_GB2312" w:eastAsia="仿宋_GB2312" w:cs="Times New Roman"/>
          <w:color w:val="auto"/>
          <w:kern w:val="2"/>
          <w:sz w:val="32"/>
          <w:szCs w:val="24"/>
          <w:lang w:val="en-US"/>
        </w:rPr>
        <w:t>一般公共服务（类）市场监管事务（款）行政运行</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color w:val="auto"/>
          <w:kern w:val="2"/>
          <w:sz w:val="32"/>
          <w:szCs w:val="24"/>
          <w:lang w:val="en-US"/>
        </w:rPr>
        <w:t>指机构正常运行，工作正常开展支出。</w:t>
      </w:r>
    </w:p>
    <w:p>
      <w:pPr>
        <w:spacing w:beforeLines="0" w:afterLines="0" w:line="600" w:lineRule="exact"/>
        <w:ind w:firstLine="640" w:firstLineChars="200"/>
        <w:rPr>
          <w:rFonts w:hint="eastAsia" w:ascii="仿宋_GB2312" w:hAnsi="仿宋_GB2312" w:eastAsia="仿宋_GB2312" w:cs="Times New Roman"/>
          <w:color w:val="auto"/>
          <w:kern w:val="2"/>
          <w:sz w:val="32"/>
          <w:szCs w:val="24"/>
          <w:lang w:val="en-US"/>
        </w:rPr>
      </w:pPr>
      <w:r>
        <w:rPr>
          <w:rFonts w:hint="eastAsia" w:ascii="仿宋_GB2312" w:hAnsi="仿宋_GB2312" w:eastAsia="仿宋_GB2312" w:cs="Times New Roman"/>
          <w:color w:val="auto"/>
          <w:kern w:val="2"/>
          <w:sz w:val="32"/>
          <w:szCs w:val="24"/>
          <w:lang w:val="en-US"/>
        </w:rPr>
        <w:t>11. 一般公共服务（类）市场监管事务（款）一般行政管理事务：指机关及参公管理事业单位开展市场综合业务、预决算编审等未单独设置项级科目的专门性市场监管工作的项目支出。</w:t>
      </w:r>
    </w:p>
    <w:p>
      <w:pPr>
        <w:spacing w:beforeLines="0" w:afterLines="0" w:line="600" w:lineRule="exact"/>
        <w:ind w:firstLine="640" w:firstLineChars="200"/>
        <w:rPr>
          <w:rFonts w:hint="eastAsia" w:ascii="仿宋_GB2312" w:hAnsi="仿宋_GB2312" w:eastAsia="仿宋_GB2312" w:cs="Times New Roman"/>
          <w:color w:val="auto"/>
          <w:kern w:val="2"/>
          <w:sz w:val="32"/>
          <w:szCs w:val="24"/>
          <w:lang w:val="en-US"/>
        </w:rPr>
      </w:pPr>
      <w:r>
        <w:rPr>
          <w:rFonts w:hint="eastAsia" w:ascii="仿宋_GB2312" w:hAnsi="仿宋_GB2312" w:eastAsia="仿宋_GB2312" w:cs="Times New Roman"/>
          <w:color w:val="auto"/>
          <w:kern w:val="2"/>
          <w:sz w:val="32"/>
          <w:szCs w:val="24"/>
          <w:lang w:val="en-US"/>
        </w:rPr>
        <w:t>12. 一般公共服务（类）市场监管事务（款）市场主体管理</w:t>
      </w:r>
      <w:r>
        <w:rPr>
          <w:rFonts w:hint="eastAsia" w:ascii="仿宋_GB2312" w:hAnsi="仿宋_GB2312" w:eastAsia="仿宋_GB2312" w:cs="Times New Roman"/>
          <w:color w:val="auto"/>
          <w:kern w:val="2"/>
          <w:sz w:val="32"/>
          <w:szCs w:val="24"/>
          <w:lang w:val="en-US" w:eastAsia="zh-CN"/>
        </w:rPr>
        <w:t>：</w:t>
      </w:r>
      <w:r>
        <w:rPr>
          <w:rFonts w:hint="eastAsia" w:ascii="仿宋_GB2312" w:hAnsi="仿宋_GB2312" w:eastAsia="仿宋_GB2312" w:cs="Times New Roman"/>
          <w:color w:val="auto"/>
          <w:kern w:val="2"/>
          <w:sz w:val="32"/>
          <w:szCs w:val="24"/>
          <w:lang w:val="en-US"/>
        </w:rPr>
        <w:t xml:space="preserve"> 指市场监管工作的项目支出。</w:t>
      </w:r>
    </w:p>
    <w:p>
      <w:pPr>
        <w:spacing w:beforeLines="0" w:afterLines="0" w:line="600" w:lineRule="exact"/>
        <w:ind w:firstLine="600" w:firstLineChars="200"/>
        <w:rPr>
          <w:rFonts w:hint="eastAsia" w:ascii="仿宋" w:hAnsi="仿宋" w:eastAsia="仿宋" w:cs="宋体"/>
          <w:color w:val="000000"/>
          <w:sz w:val="30"/>
          <w:szCs w:val="30"/>
          <w:lang w:val="zh-CN"/>
        </w:rPr>
      </w:pPr>
      <w:r>
        <w:rPr>
          <w:rStyle w:val="12"/>
          <w:rFonts w:hint="eastAsia" w:ascii="仿宋" w:hAnsi="仿宋" w:eastAsia="仿宋"/>
          <w:b w:val="0"/>
          <w:color w:val="000000"/>
          <w:sz w:val="30"/>
          <w:szCs w:val="30"/>
        </w:rPr>
        <w:t>13. 一般公共服务（类）市场监管事务（款）市场秩序执法</w:t>
      </w:r>
      <w:r>
        <w:rPr>
          <w:rStyle w:val="12"/>
          <w:rFonts w:hint="eastAsia" w:ascii="仿宋" w:hAnsi="仿宋" w:eastAsia="仿宋"/>
          <w:b w:val="0"/>
          <w:color w:val="000000"/>
          <w:sz w:val="30"/>
          <w:szCs w:val="30"/>
          <w:lang w:eastAsia="zh-CN"/>
        </w:rPr>
        <w:t>：</w:t>
      </w:r>
      <w:r>
        <w:rPr>
          <w:rStyle w:val="12"/>
          <w:rFonts w:hint="eastAsia" w:ascii="仿宋" w:hAnsi="仿宋" w:eastAsia="仿宋"/>
          <w:b w:val="0"/>
          <w:color w:val="000000"/>
          <w:sz w:val="30"/>
          <w:szCs w:val="30"/>
        </w:rPr>
        <w:t xml:space="preserve"> 指保障</w:t>
      </w:r>
      <w:r>
        <w:rPr>
          <w:rFonts w:hint="eastAsia" w:ascii="仿宋" w:hAnsi="仿宋" w:eastAsia="仿宋" w:cs="宋体"/>
          <w:color w:val="000000"/>
          <w:sz w:val="30"/>
          <w:szCs w:val="30"/>
          <w:lang w:val="zh-CN"/>
        </w:rPr>
        <w:t>市场执法工作的其他项目支出。</w:t>
      </w:r>
    </w:p>
    <w:p>
      <w:pPr>
        <w:spacing w:beforeLines="0" w:afterLines="0" w:line="60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14. 一般公共服务（类）市场监管事务（款）药品事务</w:t>
      </w:r>
      <w:r>
        <w:rPr>
          <w:rStyle w:val="12"/>
          <w:rFonts w:hint="eastAsia" w:ascii="仿宋" w:hAnsi="仿宋" w:eastAsia="仿宋"/>
          <w:b w:val="0"/>
          <w:color w:val="000000"/>
          <w:sz w:val="30"/>
          <w:szCs w:val="30"/>
          <w:lang w:eastAsia="zh-CN"/>
        </w:rPr>
        <w:t>：</w:t>
      </w:r>
      <w:r>
        <w:rPr>
          <w:rStyle w:val="12"/>
          <w:rFonts w:hint="eastAsia" w:ascii="仿宋" w:hAnsi="仿宋" w:eastAsia="仿宋"/>
          <w:b w:val="0"/>
          <w:color w:val="000000"/>
          <w:sz w:val="30"/>
          <w:szCs w:val="30"/>
        </w:rPr>
        <w:t xml:space="preserve"> 指保障药品监管工作业务支出。</w:t>
      </w:r>
    </w:p>
    <w:p>
      <w:pPr>
        <w:spacing w:beforeLines="0" w:afterLines="0" w:line="600" w:lineRule="exact"/>
        <w:ind w:firstLine="750" w:firstLineChars="25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15. 一般公共服务（类）市场监管事务（款）食品安全监管：指保障食品监管工作业务支出。</w:t>
      </w:r>
    </w:p>
    <w:p>
      <w:pPr>
        <w:spacing w:beforeLines="0" w:afterLines="0" w:line="600" w:lineRule="exact"/>
        <w:ind w:firstLine="750" w:firstLineChars="250"/>
        <w:rPr>
          <w:rFonts w:hint="eastAsia" w:ascii="仿宋" w:hAnsi="仿宋" w:eastAsia="仿宋"/>
          <w:color w:val="000000"/>
          <w:sz w:val="30"/>
          <w:szCs w:val="24"/>
        </w:rPr>
      </w:pPr>
      <w:r>
        <w:rPr>
          <w:rStyle w:val="12"/>
          <w:rFonts w:hint="eastAsia" w:ascii="仿宋" w:hAnsi="仿宋" w:eastAsia="仿宋"/>
          <w:b w:val="0"/>
          <w:color w:val="000000"/>
          <w:sz w:val="30"/>
          <w:szCs w:val="30"/>
        </w:rPr>
        <w:t>16. 一般公共服务（类）市场监管事务（款）事业运行</w:t>
      </w:r>
      <w:r>
        <w:rPr>
          <w:rStyle w:val="12"/>
          <w:rFonts w:hint="eastAsia" w:ascii="仿宋" w:hAnsi="仿宋" w:eastAsia="仿宋"/>
          <w:b w:val="0"/>
          <w:color w:val="000000"/>
          <w:sz w:val="30"/>
          <w:szCs w:val="30"/>
          <w:lang w:eastAsia="zh-CN"/>
        </w:rPr>
        <w:t>：</w:t>
      </w:r>
      <w:r>
        <w:rPr>
          <w:rStyle w:val="12"/>
          <w:rFonts w:hint="eastAsia" w:ascii="仿宋" w:hAnsi="仿宋" w:eastAsia="仿宋"/>
          <w:b w:val="0"/>
          <w:color w:val="000000"/>
          <w:sz w:val="30"/>
          <w:szCs w:val="30"/>
        </w:rPr>
        <w:t>指下属</w:t>
      </w:r>
      <w:r>
        <w:rPr>
          <w:rStyle w:val="12"/>
          <w:rFonts w:hint="eastAsia" w:ascii="仿宋" w:hAnsi="仿宋" w:eastAsia="仿宋"/>
          <w:b w:val="0"/>
          <w:color w:val="000000"/>
          <w:sz w:val="30"/>
          <w:szCs w:val="30"/>
          <w:lang w:eastAsia="zh-CN"/>
        </w:rPr>
        <w:t>市场监测服务</w:t>
      </w:r>
      <w:r>
        <w:rPr>
          <w:rStyle w:val="12"/>
          <w:rFonts w:hint="eastAsia" w:ascii="仿宋" w:hAnsi="仿宋" w:eastAsia="仿宋"/>
          <w:b w:val="0"/>
          <w:color w:val="000000"/>
          <w:sz w:val="30"/>
          <w:szCs w:val="30"/>
        </w:rPr>
        <w:t>中心业务工作支出。</w:t>
      </w:r>
    </w:p>
    <w:p>
      <w:pPr>
        <w:spacing w:beforeLines="0" w:afterLines="0" w:line="600" w:lineRule="exact"/>
        <w:ind w:firstLine="750" w:firstLineChars="250"/>
        <w:rPr>
          <w:rStyle w:val="12"/>
          <w:rFonts w:hint="eastAsia" w:ascii="仿宋" w:hAnsi="仿宋" w:eastAsia="仿宋"/>
          <w:b w:val="0"/>
          <w:sz w:val="30"/>
          <w:szCs w:val="30"/>
        </w:rPr>
      </w:pPr>
      <w:r>
        <w:rPr>
          <w:rStyle w:val="12"/>
          <w:rFonts w:hint="eastAsia" w:ascii="仿宋" w:hAnsi="仿宋" w:eastAsia="仿宋"/>
          <w:b w:val="0"/>
          <w:color w:val="000000"/>
          <w:sz w:val="30"/>
          <w:szCs w:val="30"/>
        </w:rPr>
        <w:t>17. 一般公共服务（类）市场监管事务（款）其他市场监督管理事务</w:t>
      </w:r>
      <w:r>
        <w:rPr>
          <w:rStyle w:val="12"/>
          <w:rFonts w:hint="eastAsia" w:ascii="仿宋" w:hAnsi="仿宋" w:eastAsia="仿宋"/>
          <w:b w:val="0"/>
          <w:color w:val="000000"/>
          <w:sz w:val="30"/>
          <w:szCs w:val="30"/>
          <w:lang w:eastAsia="zh-CN"/>
        </w:rPr>
        <w:t>：</w:t>
      </w:r>
      <w:r>
        <w:rPr>
          <w:rStyle w:val="12"/>
          <w:rFonts w:hint="eastAsia" w:ascii="仿宋" w:hAnsi="仿宋" w:eastAsia="仿宋"/>
          <w:b w:val="0"/>
          <w:color w:val="000000"/>
          <w:sz w:val="30"/>
          <w:szCs w:val="30"/>
        </w:rPr>
        <w:t xml:space="preserve"> 指保障</w:t>
      </w:r>
      <w:r>
        <w:rPr>
          <w:rStyle w:val="12"/>
          <w:rFonts w:hint="eastAsia" w:ascii="仿宋" w:hAnsi="仿宋" w:eastAsia="仿宋"/>
          <w:b w:val="0"/>
          <w:sz w:val="30"/>
          <w:szCs w:val="30"/>
        </w:rPr>
        <w:t>市场监管各项工作的其他项目支出。</w:t>
      </w:r>
      <w:r>
        <w:rPr>
          <w:rStyle w:val="12"/>
          <w:rFonts w:hint="eastAsia" w:ascii="仿宋" w:hAnsi="仿宋" w:eastAsia="仿宋"/>
          <w:b w:val="0"/>
          <w:color w:val="000000"/>
          <w:sz w:val="30"/>
          <w:szCs w:val="30"/>
        </w:rPr>
        <w:t xml:space="preserve"> </w:t>
      </w:r>
    </w:p>
    <w:p>
      <w:pPr>
        <w:spacing w:beforeLines="0" w:afterLines="0" w:line="600" w:lineRule="exact"/>
        <w:ind w:firstLine="750" w:firstLineChars="250"/>
        <w:rPr>
          <w:rStyle w:val="12"/>
          <w:rFonts w:hint="eastAsia" w:ascii="仿宋" w:hAnsi="仿宋" w:eastAsia="仿宋"/>
          <w:b w:val="0"/>
          <w:sz w:val="30"/>
          <w:szCs w:val="30"/>
        </w:rPr>
      </w:pPr>
      <w:r>
        <w:rPr>
          <w:rStyle w:val="12"/>
          <w:rFonts w:hint="eastAsia" w:ascii="仿宋" w:hAnsi="仿宋" w:eastAsia="仿宋"/>
          <w:b w:val="0"/>
          <w:sz w:val="30"/>
          <w:szCs w:val="30"/>
        </w:rPr>
        <w:t>18.社会保障和就业：指行政单位离退休费和机关养老保险缴费。</w:t>
      </w:r>
    </w:p>
    <w:p>
      <w:pPr>
        <w:spacing w:beforeLines="0" w:afterLines="0" w:line="600" w:lineRule="exact"/>
        <w:ind w:firstLine="750" w:firstLineChars="250"/>
        <w:rPr>
          <w:rStyle w:val="12"/>
          <w:rFonts w:hint="eastAsia" w:ascii="仿宋" w:hAnsi="仿宋" w:eastAsia="仿宋"/>
          <w:b w:val="0"/>
          <w:color w:val="000000"/>
          <w:sz w:val="30"/>
          <w:szCs w:val="30"/>
        </w:rPr>
      </w:pPr>
      <w:r>
        <w:rPr>
          <w:rStyle w:val="12"/>
          <w:rFonts w:hint="eastAsia" w:ascii="仿宋" w:hAnsi="仿宋" w:eastAsia="仿宋"/>
          <w:b w:val="0"/>
          <w:sz w:val="30"/>
          <w:szCs w:val="30"/>
        </w:rPr>
        <w:t>19.</w:t>
      </w:r>
      <w:r>
        <w:rPr>
          <w:rStyle w:val="12"/>
          <w:rFonts w:hint="eastAsia" w:ascii="仿宋" w:hAnsi="仿宋" w:eastAsia="仿宋"/>
          <w:b w:val="0"/>
          <w:color w:val="000000"/>
          <w:sz w:val="30"/>
          <w:szCs w:val="30"/>
        </w:rPr>
        <w:t xml:space="preserve"> 卫生健康支出：指行政单位医疗、事业单位医疗、公务员医疗补助。</w:t>
      </w:r>
    </w:p>
    <w:p>
      <w:pPr>
        <w:spacing w:beforeLines="0" w:afterLines="0" w:line="600" w:lineRule="exact"/>
        <w:ind w:firstLine="750" w:firstLineChars="250"/>
        <w:rPr>
          <w:rStyle w:val="12"/>
          <w:rFonts w:hint="eastAsia" w:ascii="仿宋" w:hAnsi="仿宋" w:eastAsia="仿宋"/>
          <w:b w:val="0"/>
          <w:sz w:val="30"/>
          <w:szCs w:val="30"/>
        </w:rPr>
      </w:pPr>
      <w:r>
        <w:rPr>
          <w:rStyle w:val="12"/>
          <w:rFonts w:hint="eastAsia" w:ascii="仿宋" w:hAnsi="仿宋" w:eastAsia="仿宋"/>
          <w:b w:val="0"/>
          <w:sz w:val="30"/>
          <w:szCs w:val="30"/>
        </w:rPr>
        <w:t>20.住房保障（类）：指住房公积金。</w:t>
      </w:r>
    </w:p>
    <w:p>
      <w:pPr>
        <w:spacing w:beforeLines="0" w:afterLines="0" w:line="600" w:lineRule="exact"/>
        <w:ind w:firstLine="750" w:firstLineChars="250"/>
        <w:rPr>
          <w:rStyle w:val="12"/>
          <w:rFonts w:hint="eastAsia" w:ascii="仿宋" w:hAnsi="仿宋" w:eastAsia="仿宋"/>
          <w:b w:val="0"/>
          <w:sz w:val="30"/>
          <w:szCs w:val="30"/>
        </w:rPr>
      </w:pPr>
      <w:r>
        <w:rPr>
          <w:rStyle w:val="12"/>
          <w:rFonts w:hint="eastAsia" w:ascii="仿宋" w:hAnsi="仿宋" w:eastAsia="仿宋"/>
          <w:b w:val="0"/>
          <w:sz w:val="30"/>
          <w:szCs w:val="30"/>
        </w:rPr>
        <w:t>21.基本支出：指为保障机构正常运转、完成日常工作任务而发生的人员支出和公用支出。</w:t>
      </w:r>
    </w:p>
    <w:p>
      <w:pPr>
        <w:spacing w:beforeLines="0" w:afterLines="0" w:line="600" w:lineRule="exact"/>
        <w:ind w:firstLine="750" w:firstLineChars="250"/>
        <w:rPr>
          <w:rStyle w:val="12"/>
          <w:rFonts w:hint="eastAsia" w:ascii="仿宋" w:hAnsi="仿宋" w:eastAsia="仿宋"/>
          <w:b w:val="0"/>
          <w:sz w:val="30"/>
          <w:szCs w:val="30"/>
        </w:rPr>
      </w:pPr>
      <w:r>
        <w:rPr>
          <w:rStyle w:val="12"/>
          <w:rFonts w:hint="eastAsia" w:ascii="仿宋" w:hAnsi="仿宋" w:eastAsia="仿宋"/>
          <w:b w:val="0"/>
          <w:sz w:val="30"/>
          <w:szCs w:val="30"/>
        </w:rPr>
        <w:t xml:space="preserve">22.项目支出：指在基本支出之外为完成特定行政任务和事业发展目标所发生的支出。 </w:t>
      </w:r>
    </w:p>
    <w:p>
      <w:pPr>
        <w:spacing w:beforeLines="0" w:afterLines="0" w:line="600" w:lineRule="exact"/>
        <w:ind w:firstLine="750" w:firstLineChars="25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beforeLines="0" w:afterLines="0" w:line="600" w:lineRule="exact"/>
        <w:ind w:firstLine="750" w:firstLineChars="25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spacing w:beforeLines="0" w:afterLines="0" w:line="600" w:lineRule="exact"/>
        <w:jc w:val="center"/>
        <w:rPr>
          <w:rFonts w:hint="eastAsia" w:ascii="黑体" w:hAnsi="黑体" w:eastAsia="黑体"/>
          <w:color w:val="auto"/>
          <w:kern w:val="2"/>
          <w:sz w:val="44"/>
          <w:szCs w:val="24"/>
          <w:lang w:val="en-US"/>
        </w:rPr>
      </w:pPr>
    </w:p>
    <w:p>
      <w:pPr>
        <w:numPr>
          <w:ilvl w:val="0"/>
          <w:numId w:val="1"/>
        </w:numPr>
        <w:spacing w:beforeLines="0" w:afterLines="0" w:line="600" w:lineRule="exact"/>
        <w:jc w:val="center"/>
        <w:rPr>
          <w:rFonts w:hint="eastAsia" w:ascii="黑体" w:hAnsi="黑体" w:eastAsia="黑体"/>
          <w:b/>
          <w:bCs/>
          <w:color w:val="auto"/>
          <w:kern w:val="44"/>
          <w:sz w:val="44"/>
          <w:szCs w:val="24"/>
          <w:lang w:val="en-US"/>
        </w:rPr>
      </w:pPr>
      <w:r>
        <w:rPr>
          <w:rFonts w:hint="eastAsia" w:ascii="黑体" w:hAnsi="黑体" w:eastAsia="黑体"/>
          <w:b/>
          <w:bCs/>
          <w:color w:val="auto"/>
          <w:kern w:val="44"/>
          <w:sz w:val="44"/>
          <w:szCs w:val="24"/>
          <w:lang w:val="en-US"/>
        </w:rPr>
        <w:t>附件</w:t>
      </w:r>
    </w:p>
    <w:p>
      <w:pPr>
        <w:pStyle w:val="2"/>
        <w:numPr>
          <w:ilvl w:val="0"/>
          <w:numId w:val="0"/>
        </w:numPr>
        <w:rPr>
          <w:rFonts w:hint="default" w:eastAsia="仿宋_GB2312"/>
          <w:lang w:val="en-US" w:eastAsia="zh-CN"/>
        </w:rPr>
      </w:pPr>
      <w:r>
        <w:rPr>
          <w:rFonts w:hint="eastAsia"/>
          <w:lang w:val="en-US" w:eastAsia="zh-CN"/>
        </w:rPr>
        <w:t>附件1</w:t>
      </w:r>
    </w:p>
    <w:p>
      <w:pPr>
        <w:keepNext/>
        <w:keepLines/>
        <w:spacing w:beforeLines="0" w:afterLines="0" w:line="572" w:lineRule="exact"/>
        <w:ind w:firstLine="1325" w:firstLineChars="300"/>
        <w:rPr>
          <w:rFonts w:hint="eastAsia" w:ascii="方正小标宋_GBK" w:hAnsi="方正小标宋_GBK" w:eastAsia="方正小标宋_GBK" w:cs="方正小标宋_GBK"/>
          <w:b/>
          <w:sz w:val="44"/>
          <w:szCs w:val="44"/>
          <w:shd w:val="clear" w:color="auto" w:fill="FFFFFF"/>
        </w:rPr>
      </w:pPr>
      <w:r>
        <w:rPr>
          <w:rFonts w:hint="eastAsia" w:ascii="方正小标宋_GBK" w:hAnsi="方正小标宋_GBK" w:eastAsia="方正小标宋_GBK" w:cs="方正小标宋_GBK"/>
          <w:b/>
          <w:sz w:val="44"/>
          <w:szCs w:val="44"/>
          <w:shd w:val="clear" w:color="auto" w:fill="FFFFFF"/>
        </w:rPr>
        <w:t>攀枝花市仁和区市场监督管理局</w:t>
      </w:r>
    </w:p>
    <w:p>
      <w:pPr>
        <w:widowControl/>
        <w:spacing w:beforeLines="0" w:afterLines="0" w:line="580" w:lineRule="exact"/>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b/>
          <w:sz w:val="44"/>
          <w:szCs w:val="44"/>
          <w:shd w:val="clear" w:color="auto" w:fill="FFFFFF"/>
        </w:rPr>
        <w:t>2022年部门整体支出绩效评价报告</w:t>
      </w:r>
    </w:p>
    <w:p>
      <w:pPr>
        <w:widowControl/>
        <w:snapToGrid w:val="0"/>
        <w:spacing w:beforeLines="0" w:afterLines="0" w:line="580" w:lineRule="exact"/>
        <w:ind w:firstLine="480" w:firstLineChars="200"/>
        <w:rPr>
          <w:rFonts w:hint="eastAsia" w:ascii="Times New Roman" w:hAnsi="Times New Roman" w:eastAsia="Times New Roman"/>
          <w:color w:val="000000"/>
          <w:sz w:val="24"/>
          <w:szCs w:val="24"/>
          <w:shd w:val="clear" w:color="auto" w:fill="FFFFFF"/>
        </w:rPr>
      </w:pPr>
    </w:p>
    <w:p>
      <w:pPr>
        <w:widowControl/>
        <w:spacing w:beforeLines="0" w:afterLines="0" w:line="560" w:lineRule="exact"/>
        <w:ind w:firstLine="640" w:firstLineChars="200"/>
        <w:rPr>
          <w:rFonts w:hint="eastAsia" w:ascii="Times New Roman" w:hAnsi="Times New Roman" w:eastAsia="Times New Roman"/>
          <w:color w:val="000000"/>
          <w:sz w:val="32"/>
          <w:szCs w:val="32"/>
          <w:shd w:val="clear" w:color="auto" w:fill="FFFFFF"/>
          <w:lang w:val="zh-CN"/>
        </w:rPr>
      </w:pPr>
      <w:r>
        <w:rPr>
          <w:rFonts w:hint="eastAsia" w:ascii="Times New Roman" w:hAnsi="Times New Roman" w:eastAsia="黑体"/>
          <w:color w:val="000000"/>
          <w:sz w:val="32"/>
          <w:szCs w:val="32"/>
          <w:shd w:val="clear" w:color="auto" w:fill="FFFFFF"/>
        </w:rPr>
        <w:t>一、</w:t>
      </w:r>
      <w:r>
        <w:rPr>
          <w:rFonts w:hint="eastAsia" w:ascii="Times New Roman" w:hAnsi="Times New Roman" w:eastAsia="黑体"/>
          <w:color w:val="000000"/>
          <w:sz w:val="32"/>
          <w:szCs w:val="32"/>
          <w:shd w:val="clear" w:color="auto" w:fill="FFFFFF"/>
          <w:lang w:val="zh-CN"/>
        </w:rPr>
        <w:t>部门（单位）概况</w:t>
      </w:r>
    </w:p>
    <w:p>
      <w:pPr>
        <w:spacing w:beforeLines="0" w:afterLines="0" w:line="560" w:lineRule="exact"/>
        <w:ind w:firstLine="643" w:firstLineChars="200"/>
        <w:rPr>
          <w:rStyle w:val="12"/>
          <w:rFonts w:hint="eastAsia" w:ascii="仿宋" w:hAnsi="仿宋" w:eastAsia="仿宋"/>
          <w:b w:val="0"/>
          <w:color w:val="000000"/>
          <w:sz w:val="32"/>
          <w:szCs w:val="32"/>
        </w:rPr>
      </w:pPr>
      <w:r>
        <w:rPr>
          <w:rFonts w:hint="eastAsia" w:ascii="方正楷体_GBK" w:hAnsi="方正楷体_GBK" w:eastAsia="方正楷体_GBK" w:cs="方正楷体_GBK"/>
          <w:b/>
          <w:color w:val="000000"/>
          <w:sz w:val="32"/>
          <w:szCs w:val="32"/>
          <w:shd w:val="clear" w:color="auto" w:fill="FFFFFF"/>
          <w:lang w:val="zh-CN"/>
        </w:rPr>
        <w:t>（一）机构组成。</w:t>
      </w:r>
      <w:r>
        <w:rPr>
          <w:rStyle w:val="12"/>
          <w:rFonts w:hint="eastAsia" w:ascii="仿宋" w:hAnsi="仿宋" w:eastAsia="仿宋"/>
          <w:b w:val="0"/>
          <w:color w:val="000000"/>
          <w:sz w:val="32"/>
          <w:szCs w:val="32"/>
        </w:rPr>
        <w:t>按照《攀枝花市仁和区市场监督管理局职能配置、内设机构和人员编制规定》要求，我局共设置13个股室、1个执法大队、6个市场监管所、1个下属事业单位。</w:t>
      </w:r>
    </w:p>
    <w:p>
      <w:pPr>
        <w:spacing w:beforeLines="0" w:afterLines="0" w:line="560" w:lineRule="exact"/>
        <w:ind w:firstLine="643" w:firstLineChars="200"/>
        <w:rPr>
          <w:rStyle w:val="12"/>
          <w:rFonts w:hint="eastAsia" w:ascii="仿宋" w:hAnsi="仿宋" w:eastAsia="仿宋"/>
          <w:b w:val="0"/>
          <w:color w:val="000000"/>
          <w:sz w:val="32"/>
          <w:szCs w:val="32"/>
        </w:rPr>
      </w:pPr>
      <w:r>
        <w:rPr>
          <w:rFonts w:hint="eastAsia" w:ascii="方正楷体_GBK" w:hAnsi="方正楷体_GBK" w:eastAsia="方正楷体_GBK" w:cs="方正楷体_GBK"/>
          <w:b/>
          <w:color w:val="000000"/>
          <w:sz w:val="32"/>
          <w:szCs w:val="32"/>
          <w:shd w:val="clear" w:color="auto" w:fill="FFFFFF"/>
          <w:lang w:val="zh-CN"/>
        </w:rPr>
        <w:t>（二）机构职能。</w:t>
      </w:r>
      <w:r>
        <w:rPr>
          <w:rFonts w:hint="eastAsia" w:ascii="Times New Roman" w:hAnsi="Times New Roman" w:eastAsia="仿宋"/>
          <w:sz w:val="32"/>
          <w:szCs w:val="32"/>
        </w:rPr>
        <w:t>（</w:t>
      </w:r>
      <w:r>
        <w:rPr>
          <w:rStyle w:val="12"/>
          <w:rFonts w:hint="eastAsia" w:ascii="仿宋" w:hAnsi="仿宋" w:eastAsia="仿宋"/>
          <w:b w:val="0"/>
          <w:color w:val="000000"/>
          <w:sz w:val="32"/>
          <w:szCs w:val="32"/>
        </w:rPr>
        <w:t>1）负责全区市场综合监督管理。（2）负责全区市场主体统一登记注册。（3）负责市场监管领域综合行政执法工作。（4）负责监督管理全区市场秩序。（5）负责全区宏观质量管理。（6）负责全区产品质量安全监督管理。（7）负责全区特种设备安全监督管理。（8）负责全区食品安全监督管理综合协调；（9）负责全区食品安全监督管理。（10）负责全区药品、化妆品和医疗器械的质量管理、风险管理、安全监督和安全应急管理。（11）负责统一管理全区计量工作。（12）负责统一管理全区标准化工作。（13）负责统一管理全区认证认可工作。（14）负责全区知识产权战略、规划的制定，负责知识产权的保护、管理，指导知识产权创造、运用和服务促进工作，负责组织指导商标、专利执法工作。（15）承担职责范围内的安全生产和职业健康、生态环境保护、审批服务便民化等工作责任。按照省市要求，指导推进相对集中行政许可权改革。（16）承担市场监督管理科技和信息化建设。（17）完成区委、区政府交办的其他任务。（18）职能转变。</w:t>
      </w:r>
    </w:p>
    <w:p>
      <w:pPr>
        <w:spacing w:beforeLines="0" w:afterLines="0" w:line="560" w:lineRule="exact"/>
        <w:ind w:firstLine="643" w:firstLineChars="200"/>
        <w:rPr>
          <w:rStyle w:val="12"/>
          <w:rFonts w:hint="eastAsia" w:ascii="仿宋" w:hAnsi="仿宋" w:eastAsia="仿宋"/>
          <w:b w:val="0"/>
          <w:color w:val="000000"/>
          <w:sz w:val="32"/>
          <w:szCs w:val="32"/>
        </w:rPr>
      </w:pPr>
      <w:r>
        <w:rPr>
          <w:rFonts w:hint="eastAsia" w:ascii="方正楷体_GBK" w:hAnsi="方正楷体_GBK" w:eastAsia="方正楷体_GBK" w:cs="方正楷体_GBK"/>
          <w:b/>
          <w:color w:val="000000"/>
          <w:sz w:val="32"/>
          <w:szCs w:val="32"/>
          <w:shd w:val="clear" w:color="auto" w:fill="FFFFFF"/>
          <w:lang w:val="zh-CN"/>
        </w:rPr>
        <w:t>（三）人员概况。</w:t>
      </w:r>
      <w:r>
        <w:rPr>
          <w:rFonts w:hint="default"/>
          <w:color w:val="000000"/>
          <w:sz w:val="32"/>
          <w:szCs w:val="32"/>
          <w:shd w:val="clear" w:color="auto" w:fill="FFFFFF"/>
        </w:rPr>
        <w:t>2</w:t>
      </w:r>
      <w:r>
        <w:rPr>
          <w:rStyle w:val="12"/>
          <w:rFonts w:hint="eastAsia" w:ascii="仿宋" w:hAnsi="仿宋" w:eastAsia="仿宋"/>
          <w:b w:val="0"/>
          <w:color w:val="000000"/>
          <w:sz w:val="32"/>
          <w:szCs w:val="32"/>
        </w:rPr>
        <w:t>022年底实有行政及参公人员共68名，事业人员5名。</w:t>
      </w:r>
    </w:p>
    <w:p>
      <w:pPr>
        <w:widowControl/>
        <w:spacing w:beforeLines="0" w:afterLines="0" w:line="560" w:lineRule="exact"/>
        <w:ind w:firstLine="640" w:firstLineChars="200"/>
        <w:rPr>
          <w:rFonts w:hint="eastAsia" w:ascii="Times New Roman" w:hAnsi="Times New Roman" w:eastAsia="黑体" w:cs="Times New Roman"/>
          <w:color w:val="000000"/>
          <w:sz w:val="32"/>
          <w:szCs w:val="32"/>
          <w:shd w:val="clear" w:color="auto" w:fill="FFFFFF"/>
          <w:lang w:val="zh-CN"/>
        </w:rPr>
      </w:pPr>
      <w:r>
        <w:rPr>
          <w:rFonts w:hint="eastAsia" w:ascii="Times New Roman" w:hAnsi="Times New Roman" w:eastAsia="黑体" w:cs="Times New Roman"/>
          <w:color w:val="000000"/>
          <w:sz w:val="32"/>
          <w:szCs w:val="32"/>
          <w:shd w:val="clear" w:color="auto" w:fill="FFFFFF"/>
          <w:lang w:val="zh-CN"/>
        </w:rPr>
        <w:t>二、部门财政资金收支情况</w:t>
      </w:r>
    </w:p>
    <w:p>
      <w:pPr>
        <w:pStyle w:val="6"/>
        <w:spacing w:beforeLines="0" w:afterLines="0" w:line="560" w:lineRule="exact"/>
        <w:ind w:firstLine="643" w:firstLineChars="200"/>
        <w:rPr>
          <w:rStyle w:val="12"/>
          <w:rFonts w:hint="eastAsia" w:ascii="仿宋" w:hAnsi="仿宋" w:eastAsia="仿宋"/>
          <w:b w:val="0"/>
          <w:color w:val="000000"/>
          <w:sz w:val="32"/>
          <w:szCs w:val="32"/>
        </w:rPr>
      </w:pPr>
      <w:r>
        <w:rPr>
          <w:rFonts w:hint="eastAsia" w:ascii="方正楷体_GBK" w:hAnsi="方正楷体_GBK" w:eastAsia="方正楷体_GBK" w:cs="方正楷体_GBK"/>
          <w:b/>
          <w:color w:val="000000"/>
          <w:sz w:val="32"/>
          <w:szCs w:val="32"/>
          <w:shd w:val="clear" w:color="auto" w:fill="FFFFFF"/>
          <w:lang w:val="zh-CN"/>
        </w:rPr>
        <w:t>（一）部门财政资金收入情况。</w:t>
      </w:r>
      <w:r>
        <w:rPr>
          <w:rStyle w:val="12"/>
          <w:rFonts w:hint="eastAsia" w:ascii="仿宋" w:hAnsi="仿宋" w:eastAsia="仿宋"/>
          <w:b w:val="0"/>
          <w:color w:val="000000"/>
          <w:sz w:val="32"/>
          <w:szCs w:val="32"/>
        </w:rPr>
        <w:t>仁和区市场监督管理局全年实际财政拨款收入15063318.68元，主要用于保障我单位机构正常运转、完成日常工作任务以及本单位承担的各项工作，并且取得了一定成绩。</w:t>
      </w:r>
    </w:p>
    <w:p>
      <w:pPr>
        <w:widowControl/>
        <w:spacing w:beforeLines="0" w:afterLines="0" w:line="560" w:lineRule="exact"/>
        <w:ind w:firstLine="643" w:firstLineChars="200"/>
        <w:rPr>
          <w:rFonts w:hint="eastAsia" w:ascii="方正楷体_GBK" w:hAnsi="方正楷体_GBK" w:eastAsia="方正楷体_GBK" w:cs="方正楷体_GBK"/>
          <w:b/>
          <w:color w:val="000000"/>
          <w:sz w:val="32"/>
          <w:szCs w:val="32"/>
          <w:shd w:val="clear" w:color="auto" w:fill="FFFFFF"/>
          <w:lang w:val="zh-CN"/>
        </w:rPr>
      </w:pPr>
      <w:r>
        <w:rPr>
          <w:rFonts w:hint="eastAsia" w:ascii="方正楷体_GBK" w:hAnsi="方正楷体_GBK" w:eastAsia="方正楷体_GBK" w:cs="方正楷体_GBK"/>
          <w:b/>
          <w:color w:val="000000"/>
          <w:sz w:val="32"/>
          <w:szCs w:val="32"/>
          <w:shd w:val="clear" w:color="auto" w:fill="FFFFFF"/>
          <w:lang w:val="zh-CN"/>
        </w:rPr>
        <w:t>（二）部门财政资金支出情况。</w:t>
      </w:r>
    </w:p>
    <w:p>
      <w:pPr>
        <w:widowControl/>
        <w:spacing w:beforeLines="0" w:afterLines="0" w:line="560" w:lineRule="exact"/>
        <w:ind w:firstLine="640" w:firstLineChars="200"/>
        <w:rPr>
          <w:rStyle w:val="12"/>
          <w:rFonts w:hint="eastAsia" w:ascii="仿宋" w:hAnsi="仿宋" w:eastAsia="仿宋"/>
          <w:b w:val="0"/>
          <w:color w:val="000000"/>
          <w:sz w:val="32"/>
          <w:szCs w:val="32"/>
        </w:rPr>
      </w:pPr>
      <w:r>
        <w:rPr>
          <w:rStyle w:val="12"/>
          <w:rFonts w:hint="eastAsia" w:ascii="仿宋" w:hAnsi="仿宋" w:eastAsia="仿宋"/>
          <w:b w:val="0"/>
          <w:color w:val="000000"/>
          <w:sz w:val="32"/>
          <w:szCs w:val="32"/>
        </w:rPr>
        <w:t>1、基本支出安排</w:t>
      </w:r>
      <w:r>
        <w:rPr>
          <w:rStyle w:val="12"/>
          <w:rFonts w:hint="eastAsia" w:ascii="仿宋" w:hAnsi="仿宋" w:eastAsia="仿宋"/>
          <w:b w:val="0"/>
          <w:color w:val="000000"/>
          <w:sz w:val="32"/>
          <w:szCs w:val="32"/>
          <w:lang w:eastAsia="zh-CN"/>
        </w:rPr>
        <w:t>。</w:t>
      </w:r>
    </w:p>
    <w:p>
      <w:pPr>
        <w:widowControl/>
        <w:spacing w:beforeLines="0" w:afterLines="0" w:line="560" w:lineRule="exact"/>
        <w:ind w:firstLine="640" w:firstLineChars="200"/>
        <w:rPr>
          <w:rStyle w:val="12"/>
          <w:rFonts w:hint="eastAsia" w:ascii="仿宋" w:hAnsi="仿宋" w:eastAsia="仿宋"/>
          <w:b w:val="0"/>
          <w:color w:val="000000"/>
          <w:sz w:val="32"/>
          <w:szCs w:val="32"/>
        </w:rPr>
      </w:pPr>
      <w:r>
        <w:rPr>
          <w:rStyle w:val="12"/>
          <w:rFonts w:hint="eastAsia" w:ascii="仿宋" w:hAnsi="仿宋" w:eastAsia="仿宋"/>
          <w:b w:val="0"/>
          <w:color w:val="000000"/>
          <w:sz w:val="32"/>
          <w:szCs w:val="32"/>
        </w:rPr>
        <w:t>仁和区市场监督管理局年初预算数为17726618.32元，但是由于</w:t>
      </w:r>
      <w:r>
        <w:rPr>
          <w:rStyle w:val="12"/>
          <w:rFonts w:hint="eastAsia" w:ascii="仿宋" w:hAnsi="仿宋" w:eastAsia="仿宋"/>
          <w:b w:val="0"/>
          <w:color w:val="000000"/>
          <w:sz w:val="32"/>
          <w:szCs w:val="32"/>
          <w:lang w:eastAsia="zh-CN"/>
        </w:rPr>
        <w:t>仁和区</w:t>
      </w:r>
      <w:r>
        <w:rPr>
          <w:rStyle w:val="12"/>
          <w:rFonts w:hint="eastAsia" w:ascii="仿宋" w:hAnsi="仿宋" w:eastAsia="仿宋"/>
          <w:b w:val="0"/>
          <w:color w:val="000000"/>
          <w:sz w:val="32"/>
          <w:szCs w:val="32"/>
        </w:rPr>
        <w:t>财政</w:t>
      </w:r>
      <w:r>
        <w:rPr>
          <w:rStyle w:val="12"/>
          <w:rFonts w:hint="eastAsia" w:ascii="仿宋" w:hAnsi="仿宋" w:eastAsia="仿宋"/>
          <w:b w:val="0"/>
          <w:color w:val="000000"/>
          <w:sz w:val="32"/>
          <w:szCs w:val="32"/>
          <w:lang w:eastAsia="zh-CN"/>
        </w:rPr>
        <w:t>资金</w:t>
      </w:r>
      <w:r>
        <w:rPr>
          <w:rStyle w:val="12"/>
          <w:rFonts w:hint="eastAsia" w:ascii="仿宋" w:hAnsi="仿宋" w:eastAsia="仿宋"/>
          <w:b w:val="0"/>
          <w:color w:val="000000"/>
          <w:sz w:val="32"/>
          <w:szCs w:val="32"/>
        </w:rPr>
        <w:t>紧张，造成财政拨款支出为15063318.68元，其中一般公共服务支出11,800,972.24元，社会保障和就业支出1,388,481.90元，卫生健康支出766,231.54元，城乡社区支出100,000.00元，住房保障支出1,007,633.00元。</w:t>
      </w:r>
    </w:p>
    <w:p>
      <w:pPr>
        <w:widowControl/>
        <w:spacing w:beforeLines="0" w:afterLines="0" w:line="560" w:lineRule="exact"/>
        <w:ind w:firstLine="640" w:firstLineChars="200"/>
        <w:rPr>
          <w:rStyle w:val="12"/>
          <w:rFonts w:hint="eastAsia" w:ascii="仿宋" w:hAnsi="仿宋" w:eastAsia="仿宋"/>
          <w:b w:val="0"/>
          <w:color w:val="000000"/>
          <w:sz w:val="32"/>
          <w:szCs w:val="32"/>
        </w:rPr>
      </w:pPr>
      <w:r>
        <w:rPr>
          <w:rStyle w:val="12"/>
          <w:rFonts w:hint="eastAsia" w:ascii="仿宋" w:hAnsi="仿宋" w:eastAsia="仿宋"/>
          <w:b w:val="0"/>
          <w:color w:val="000000"/>
          <w:sz w:val="32"/>
          <w:szCs w:val="32"/>
          <w:lang w:val="en-US" w:eastAsia="zh-CN"/>
        </w:rPr>
        <w:t>2、</w:t>
      </w:r>
      <w:r>
        <w:rPr>
          <w:rStyle w:val="12"/>
          <w:rFonts w:hint="eastAsia" w:ascii="仿宋" w:hAnsi="仿宋" w:eastAsia="仿宋"/>
          <w:b w:val="0"/>
          <w:color w:val="000000"/>
          <w:sz w:val="32"/>
          <w:szCs w:val="32"/>
        </w:rPr>
        <w:t>部门预算安排。</w:t>
      </w:r>
    </w:p>
    <w:p>
      <w:pPr>
        <w:widowControl/>
        <w:spacing w:beforeLines="0" w:afterLines="0" w:line="560" w:lineRule="exact"/>
        <w:ind w:firstLine="640" w:firstLineChars="200"/>
        <w:rPr>
          <w:rStyle w:val="12"/>
          <w:rFonts w:hint="eastAsia" w:ascii="仿宋" w:hAnsi="仿宋" w:eastAsia="仿宋"/>
          <w:b w:val="0"/>
          <w:color w:val="000000"/>
          <w:sz w:val="32"/>
          <w:szCs w:val="32"/>
        </w:rPr>
      </w:pPr>
      <w:r>
        <w:rPr>
          <w:rStyle w:val="12"/>
          <w:rFonts w:hint="eastAsia" w:ascii="仿宋" w:hAnsi="仿宋" w:eastAsia="仿宋"/>
          <w:b w:val="0"/>
          <w:color w:val="000000"/>
          <w:sz w:val="32"/>
          <w:szCs w:val="32"/>
        </w:rPr>
        <w:t>我单位在年初预算基础上追加基本支出预算116.98万元，专项预算92.96万元。</w:t>
      </w:r>
    </w:p>
    <w:p>
      <w:pPr>
        <w:widowControl/>
        <w:spacing w:beforeLines="0" w:afterLines="0" w:line="560" w:lineRule="exact"/>
        <w:ind w:firstLine="640" w:firstLineChars="200"/>
        <w:rPr>
          <w:rFonts w:hint="eastAsia" w:ascii="Times New Roman" w:hAnsi="Times New Roman" w:eastAsia="黑体" w:cs="Times New Roman"/>
          <w:color w:val="000000"/>
          <w:sz w:val="32"/>
          <w:szCs w:val="32"/>
          <w:shd w:val="clear" w:color="auto" w:fill="FFFFFF"/>
          <w:lang w:val="zh-CN"/>
        </w:rPr>
      </w:pPr>
      <w:r>
        <w:rPr>
          <w:rFonts w:hint="eastAsia" w:ascii="Times New Roman" w:hAnsi="Times New Roman" w:eastAsia="黑体" w:cs="Times New Roman"/>
          <w:color w:val="000000"/>
          <w:sz w:val="32"/>
          <w:szCs w:val="32"/>
          <w:shd w:val="clear" w:color="auto" w:fill="FFFFFF"/>
          <w:lang w:val="zh-CN"/>
        </w:rPr>
        <w:t>三、部门整体预算绩效管理情况</w:t>
      </w:r>
    </w:p>
    <w:p>
      <w:pPr>
        <w:widowControl/>
        <w:spacing w:beforeLines="0" w:afterLines="0" w:line="560" w:lineRule="exact"/>
        <w:ind w:firstLine="640" w:firstLineChars="200"/>
        <w:rPr>
          <w:rStyle w:val="12"/>
          <w:rFonts w:hint="eastAsia" w:ascii="仿宋" w:hAnsi="仿宋" w:eastAsia="仿宋"/>
          <w:b w:val="0"/>
          <w:color w:val="000000"/>
          <w:sz w:val="32"/>
          <w:szCs w:val="32"/>
          <w:lang w:val="zh-CN"/>
        </w:rPr>
      </w:pPr>
      <w:r>
        <w:rPr>
          <w:rStyle w:val="12"/>
          <w:rFonts w:hint="eastAsia" w:ascii="仿宋" w:hAnsi="仿宋" w:eastAsia="仿宋"/>
          <w:b w:val="0"/>
          <w:color w:val="000000"/>
          <w:sz w:val="32"/>
          <w:szCs w:val="32"/>
          <w:lang w:val="zh-CN"/>
        </w:rPr>
        <w:t>（一）部门预算项目绩效管理。</w:t>
      </w:r>
    </w:p>
    <w:p>
      <w:pPr>
        <w:widowControl/>
        <w:spacing w:beforeLines="0" w:afterLines="0" w:line="560" w:lineRule="exact"/>
        <w:ind w:firstLine="640" w:firstLineChars="200"/>
        <w:rPr>
          <w:rStyle w:val="12"/>
          <w:rFonts w:hint="eastAsia" w:ascii="仿宋" w:hAnsi="仿宋" w:eastAsia="仿宋"/>
          <w:b w:val="0"/>
          <w:color w:val="000000"/>
          <w:sz w:val="32"/>
          <w:szCs w:val="32"/>
          <w:lang w:val="zh-CN"/>
        </w:rPr>
      </w:pPr>
      <w:r>
        <w:rPr>
          <w:rStyle w:val="12"/>
          <w:rFonts w:hint="eastAsia" w:ascii="仿宋" w:hAnsi="仿宋" w:eastAsia="仿宋"/>
          <w:b w:val="0"/>
          <w:color w:val="000000"/>
          <w:sz w:val="32"/>
          <w:szCs w:val="32"/>
          <w:lang w:val="zh-CN"/>
        </w:rPr>
        <w:t>1、年初部门预算整体绩效目标完成情况</w:t>
      </w:r>
      <w:r>
        <w:rPr>
          <w:rStyle w:val="12"/>
          <w:rFonts w:hint="eastAsia" w:ascii="仿宋" w:hAnsi="仿宋" w:eastAsia="仿宋"/>
          <w:b w:val="0"/>
          <w:color w:val="000000"/>
          <w:sz w:val="32"/>
          <w:szCs w:val="32"/>
          <w:lang w:val="zh-CN" w:eastAsia="zh-CN"/>
        </w:rPr>
        <w:t>。</w:t>
      </w:r>
    </w:p>
    <w:p>
      <w:pPr>
        <w:widowControl/>
        <w:spacing w:beforeLines="0" w:afterLines="0" w:line="560" w:lineRule="exact"/>
        <w:ind w:firstLine="640" w:firstLineChars="200"/>
        <w:rPr>
          <w:rStyle w:val="12"/>
          <w:rFonts w:hint="eastAsia" w:ascii="仿宋" w:hAnsi="仿宋" w:eastAsia="仿宋"/>
          <w:b w:val="0"/>
          <w:color w:val="000000"/>
          <w:sz w:val="32"/>
          <w:szCs w:val="32"/>
        </w:rPr>
      </w:pPr>
      <w:r>
        <w:rPr>
          <w:rStyle w:val="12"/>
          <w:rFonts w:hint="eastAsia" w:ascii="仿宋" w:hAnsi="仿宋" w:eastAsia="仿宋"/>
          <w:b w:val="0"/>
          <w:color w:val="000000"/>
          <w:sz w:val="32"/>
          <w:szCs w:val="32"/>
        </w:rPr>
        <w:t>（1）产出指标完成情况分析。包括数量指标、质量指标、时效指标和成本指标。财政供养人数公务员61人，参公人员7人，事业人员5人。本年度人员经费13,611,095.39元，公用经费842,223.26万元，项目共完成4个，列支经费610,000.03元。</w:t>
      </w:r>
    </w:p>
    <w:p>
      <w:pPr>
        <w:widowControl/>
        <w:spacing w:beforeLines="0" w:afterLines="0" w:line="560" w:lineRule="exact"/>
        <w:ind w:firstLine="640" w:firstLineChars="200"/>
        <w:rPr>
          <w:rStyle w:val="12"/>
          <w:rFonts w:hint="eastAsia" w:ascii="仿宋" w:hAnsi="仿宋" w:eastAsia="仿宋"/>
          <w:b w:val="0"/>
          <w:color w:val="000000"/>
          <w:sz w:val="32"/>
          <w:szCs w:val="32"/>
        </w:rPr>
      </w:pPr>
      <w:r>
        <w:rPr>
          <w:rStyle w:val="12"/>
          <w:rFonts w:hint="eastAsia" w:ascii="仿宋" w:hAnsi="仿宋" w:eastAsia="仿宋"/>
          <w:b w:val="0"/>
          <w:color w:val="000000"/>
          <w:sz w:val="32"/>
          <w:szCs w:val="32"/>
        </w:rPr>
        <w:t>（2）效益指标完成情况分析。包括经济效益、社会效益、生态效益和可持续影响。加强了各项市场环境整治，加强了辖区食品药品监管，规范了仁和区市场经济秩序，营造良好经营环境。</w:t>
      </w:r>
    </w:p>
    <w:p>
      <w:pPr>
        <w:widowControl/>
        <w:spacing w:beforeLines="0" w:afterLines="0" w:line="560" w:lineRule="exact"/>
        <w:ind w:firstLine="640" w:firstLineChars="200"/>
        <w:rPr>
          <w:rStyle w:val="12"/>
          <w:rFonts w:hint="eastAsia" w:ascii="仿宋" w:hAnsi="仿宋" w:eastAsia="仿宋"/>
          <w:b w:val="0"/>
          <w:color w:val="000000"/>
          <w:sz w:val="32"/>
          <w:szCs w:val="32"/>
        </w:rPr>
      </w:pPr>
      <w:r>
        <w:rPr>
          <w:rStyle w:val="12"/>
          <w:rFonts w:hint="eastAsia" w:ascii="仿宋" w:hAnsi="仿宋" w:eastAsia="仿宋"/>
          <w:b w:val="0"/>
          <w:color w:val="000000"/>
          <w:sz w:val="32"/>
          <w:szCs w:val="32"/>
        </w:rPr>
        <w:t>（3）满意度指标完成情况分析。监管对象及服务对象满意度达到了85%以上。</w:t>
      </w:r>
    </w:p>
    <w:p>
      <w:pPr>
        <w:widowControl/>
        <w:spacing w:beforeLines="0" w:afterLines="0" w:line="560" w:lineRule="exact"/>
        <w:ind w:firstLine="640" w:firstLineChars="200"/>
        <w:rPr>
          <w:rStyle w:val="12"/>
          <w:rFonts w:hint="eastAsia" w:ascii="仿宋" w:hAnsi="仿宋" w:eastAsia="仿宋"/>
          <w:b w:val="0"/>
          <w:color w:val="000000"/>
          <w:sz w:val="32"/>
          <w:szCs w:val="32"/>
        </w:rPr>
      </w:pPr>
      <w:r>
        <w:rPr>
          <w:rStyle w:val="12"/>
          <w:rFonts w:hint="eastAsia" w:ascii="仿宋" w:hAnsi="仿宋" w:eastAsia="仿宋"/>
          <w:b w:val="0"/>
          <w:color w:val="000000"/>
          <w:sz w:val="32"/>
          <w:szCs w:val="32"/>
        </w:rPr>
        <w:t>2</w:t>
      </w:r>
      <w:r>
        <w:rPr>
          <w:rStyle w:val="12"/>
          <w:rFonts w:hint="eastAsia" w:ascii="仿宋" w:hAnsi="仿宋" w:eastAsia="仿宋"/>
          <w:b w:val="0"/>
          <w:color w:val="000000"/>
          <w:sz w:val="32"/>
          <w:szCs w:val="32"/>
          <w:lang w:eastAsia="zh-CN"/>
        </w:rPr>
        <w:t>、</w:t>
      </w:r>
      <w:r>
        <w:rPr>
          <w:rStyle w:val="12"/>
          <w:rFonts w:hint="eastAsia" w:ascii="仿宋" w:hAnsi="仿宋" w:eastAsia="仿宋"/>
          <w:b w:val="0"/>
          <w:color w:val="000000"/>
          <w:sz w:val="32"/>
          <w:szCs w:val="32"/>
        </w:rPr>
        <w:t>区级专项（项目）资金绩效目标完成情况</w:t>
      </w:r>
      <w:r>
        <w:rPr>
          <w:rStyle w:val="12"/>
          <w:rFonts w:hint="eastAsia" w:ascii="仿宋" w:hAnsi="仿宋" w:eastAsia="仿宋"/>
          <w:b w:val="0"/>
          <w:color w:val="000000"/>
          <w:sz w:val="32"/>
          <w:szCs w:val="32"/>
          <w:lang w:eastAsia="zh-CN"/>
        </w:rPr>
        <w:t>。</w:t>
      </w:r>
    </w:p>
    <w:p>
      <w:pPr>
        <w:widowControl/>
        <w:spacing w:beforeLines="0" w:afterLines="0" w:line="560" w:lineRule="exact"/>
        <w:ind w:firstLine="64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2"/>
          <w:szCs w:val="32"/>
        </w:rPr>
        <w:t>（1）产出指标完成情况分析。包括数量指标、质量指标、时</w:t>
      </w:r>
      <w:r>
        <w:rPr>
          <w:rStyle w:val="12"/>
          <w:rFonts w:hint="eastAsia" w:ascii="仿宋" w:hAnsi="仿宋" w:eastAsia="仿宋"/>
          <w:b w:val="0"/>
          <w:color w:val="000000"/>
          <w:sz w:val="30"/>
          <w:szCs w:val="30"/>
        </w:rPr>
        <w:t>效指标和成本指标。我局去年年初有6个项目（食品监管项目、药品监管项目、执法服装配置、援藏干部项目、有机产业扶持、商事制度改革），后追加4个项目（国家食品安全示范城市创建、创建文明城市项目、冷链监管仓项目、国家地理标志保护产品地方标准制订经费）。于2022年12月底完成了各个项目工作考核，但由于财政资金紧张实际只支付了61万元。</w:t>
      </w:r>
    </w:p>
    <w:p>
      <w:pPr>
        <w:widowControl/>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（2）效益指标完成情况分析。包括经济效益、社会效益、生态效益和可持续影响。食品药品安全监管水平大大提高发生重大食品药品安全事故。提高了仁和区营商环境，加强了市场监管秩序。</w:t>
      </w:r>
    </w:p>
    <w:p>
      <w:pPr>
        <w:widowControl/>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（3）满意度指标完成情况分析。公众对食品药品监管的总体满意度达到85%以上。</w:t>
      </w:r>
    </w:p>
    <w:p>
      <w:pPr>
        <w:widowControl/>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（二）上级专项（项目）资金绩效目标完成情况</w:t>
      </w:r>
      <w:r>
        <w:rPr>
          <w:rStyle w:val="12"/>
          <w:rFonts w:hint="eastAsia" w:ascii="仿宋" w:hAnsi="仿宋" w:eastAsia="仿宋"/>
          <w:b w:val="0"/>
          <w:color w:val="000000"/>
          <w:sz w:val="30"/>
          <w:szCs w:val="30"/>
          <w:lang w:eastAsia="zh-CN"/>
        </w:rPr>
        <w:t>。</w:t>
      </w:r>
    </w:p>
    <w:p>
      <w:pPr>
        <w:widowControl/>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（1）产出指标完成情况分析。包括数量指标、质量指标、时效指标和成本指标。我局2022年上级资金包括三大部分（食品专项、药品专项、省级市场监管专项）并于12月底完成各项考核工作。</w:t>
      </w:r>
    </w:p>
    <w:p>
      <w:pPr>
        <w:widowControl/>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（2）效益指标完成情况分析。包括经济效益、社会效益、生态效益和可持续影响。不断完善和加强食品药品安全抽样检验工作、</w:t>
      </w:r>
      <w:r>
        <w:rPr>
          <w:rStyle w:val="12"/>
          <w:rFonts w:hint="eastAsia" w:ascii="仿宋" w:hAnsi="仿宋" w:eastAsia="仿宋"/>
          <w:b w:val="0"/>
          <w:color w:val="000000"/>
          <w:sz w:val="30"/>
          <w:szCs w:val="30"/>
          <w:lang w:eastAsia="zh-CN"/>
        </w:rPr>
        <w:t>加大</w:t>
      </w:r>
      <w:r>
        <w:rPr>
          <w:rStyle w:val="12"/>
          <w:rFonts w:hint="eastAsia" w:ascii="仿宋" w:hAnsi="仿宋" w:eastAsia="仿宋"/>
          <w:b w:val="0"/>
          <w:color w:val="000000"/>
          <w:sz w:val="30"/>
          <w:szCs w:val="30"/>
        </w:rPr>
        <w:t>食品药品日常监管力度。</w:t>
      </w:r>
    </w:p>
    <w:p>
      <w:pPr>
        <w:widowControl/>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（3）满意度指标完成情况分析。监管对象满意度达到90%以上。</w:t>
      </w:r>
    </w:p>
    <w:p>
      <w:pPr>
        <w:widowControl/>
        <w:spacing w:beforeLines="0" w:afterLines="0" w:line="560" w:lineRule="exact"/>
        <w:ind w:firstLine="600" w:firstLineChars="200"/>
        <w:rPr>
          <w:rStyle w:val="12"/>
          <w:rFonts w:hint="eastAsia" w:ascii="仿宋" w:hAnsi="仿宋" w:eastAsia="仿宋"/>
          <w:b w:val="0"/>
          <w:color w:val="000000"/>
          <w:sz w:val="30"/>
          <w:szCs w:val="30"/>
          <w:lang w:val="zh-CN"/>
        </w:rPr>
      </w:pPr>
      <w:r>
        <w:rPr>
          <w:rStyle w:val="12"/>
          <w:rFonts w:hint="eastAsia" w:ascii="仿宋" w:hAnsi="仿宋" w:eastAsia="仿宋"/>
          <w:b w:val="0"/>
          <w:color w:val="000000"/>
          <w:sz w:val="30"/>
          <w:szCs w:val="30"/>
          <w:lang w:val="zh-CN"/>
        </w:rPr>
        <w:t>（二）结果应用情况。</w:t>
      </w:r>
    </w:p>
    <w:p>
      <w:pPr>
        <w:widowControl/>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按要求及时公开公示。</w:t>
      </w:r>
    </w:p>
    <w:p>
      <w:pPr>
        <w:widowControl/>
        <w:numPr>
          <w:ilvl w:val="0"/>
          <w:numId w:val="2"/>
        </w:numPr>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lang w:val="zh-CN"/>
        </w:rPr>
        <w:t>自评质量。</w:t>
      </w:r>
      <w:r>
        <w:rPr>
          <w:rStyle w:val="12"/>
          <w:rFonts w:hint="eastAsia" w:ascii="仿宋" w:hAnsi="仿宋" w:eastAsia="仿宋"/>
          <w:b w:val="0"/>
          <w:color w:val="000000"/>
          <w:sz w:val="30"/>
          <w:szCs w:val="30"/>
        </w:rPr>
        <w:t xml:space="preserve">  </w:t>
      </w:r>
    </w:p>
    <w:p>
      <w:pPr>
        <w:widowControl/>
        <w:numPr>
          <w:ilvl w:val="0"/>
          <w:numId w:val="0"/>
        </w:numPr>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rPr>
        <w:t>由于财政紧张无法将资金完全支付出去，但2022年底还是按时保量完成了各项工作任务；整体绩效自评良好。</w:t>
      </w:r>
    </w:p>
    <w:p>
      <w:pPr>
        <w:widowControl/>
        <w:spacing w:beforeLines="0" w:afterLines="0" w:line="560" w:lineRule="exact"/>
        <w:ind w:firstLine="640" w:firstLineChars="200"/>
        <w:rPr>
          <w:rFonts w:hint="eastAsia" w:ascii="Times New Roman" w:hAnsi="Times New Roman" w:eastAsia="黑体" w:cs="Times New Roman"/>
          <w:color w:val="000000"/>
          <w:sz w:val="32"/>
          <w:szCs w:val="32"/>
          <w:shd w:val="clear" w:color="auto" w:fill="FFFFFF"/>
          <w:lang w:val="zh-CN"/>
        </w:rPr>
      </w:pPr>
      <w:r>
        <w:rPr>
          <w:rFonts w:hint="eastAsia" w:ascii="Times New Roman" w:hAnsi="Times New Roman" w:eastAsia="黑体" w:cs="Times New Roman"/>
          <w:color w:val="000000"/>
          <w:sz w:val="32"/>
          <w:szCs w:val="32"/>
          <w:shd w:val="clear" w:color="auto" w:fill="FFFFFF"/>
          <w:lang w:val="zh-CN"/>
        </w:rPr>
        <w:t>四、评价结论及建议</w:t>
      </w:r>
    </w:p>
    <w:p>
      <w:pPr>
        <w:widowControl/>
        <w:spacing w:beforeLines="0" w:afterLines="0" w:line="560" w:lineRule="exact"/>
        <w:ind w:firstLine="600" w:firstLineChars="200"/>
        <w:rPr>
          <w:rStyle w:val="12"/>
          <w:rFonts w:hint="eastAsia" w:ascii="仿宋" w:hAnsi="仿宋" w:eastAsia="仿宋"/>
          <w:b w:val="0"/>
          <w:color w:val="000000"/>
          <w:sz w:val="30"/>
          <w:szCs w:val="30"/>
        </w:rPr>
      </w:pPr>
      <w:r>
        <w:rPr>
          <w:rStyle w:val="12"/>
          <w:rFonts w:hint="eastAsia" w:ascii="仿宋" w:hAnsi="仿宋" w:eastAsia="仿宋"/>
          <w:b w:val="0"/>
          <w:color w:val="000000"/>
          <w:sz w:val="30"/>
          <w:szCs w:val="30"/>
          <w:lang w:val="zh-CN"/>
        </w:rPr>
        <w:t>（一）评价结论。</w:t>
      </w:r>
      <w:r>
        <w:rPr>
          <w:rStyle w:val="12"/>
          <w:rFonts w:hint="eastAsia" w:ascii="仿宋" w:hAnsi="仿宋" w:eastAsia="仿宋"/>
          <w:b w:val="0"/>
          <w:color w:val="000000"/>
          <w:sz w:val="30"/>
          <w:szCs w:val="30"/>
        </w:rPr>
        <w:t>2022年我局确保了各项工作顺利实施，全区食品药品安全稳定，市场经营行为规范有序，商事制度改革有序推进、红盾春雷行动圆满完成。经过自评，我单位得分为良好。</w:t>
      </w:r>
    </w:p>
    <w:p>
      <w:pPr>
        <w:widowControl/>
        <w:spacing w:beforeLines="0" w:afterLines="0" w:line="560" w:lineRule="exact"/>
        <w:ind w:firstLine="600" w:firstLineChars="200"/>
        <w:rPr>
          <w:rStyle w:val="12"/>
          <w:rFonts w:hint="eastAsia" w:ascii="仿宋" w:hAnsi="仿宋" w:eastAsia="仿宋"/>
          <w:b w:val="0"/>
          <w:color w:val="000000"/>
          <w:sz w:val="30"/>
          <w:szCs w:val="30"/>
          <w:lang w:val="zh-CN"/>
        </w:rPr>
      </w:pPr>
      <w:r>
        <w:rPr>
          <w:rStyle w:val="12"/>
          <w:rFonts w:hint="eastAsia" w:ascii="仿宋" w:hAnsi="仿宋" w:eastAsia="仿宋"/>
          <w:b w:val="0"/>
          <w:color w:val="000000"/>
          <w:sz w:val="30"/>
          <w:szCs w:val="30"/>
          <w:lang w:val="zh-CN"/>
        </w:rPr>
        <w:t>（二）存在问题。无</w:t>
      </w:r>
    </w:p>
    <w:p>
      <w:pPr>
        <w:widowControl/>
        <w:spacing w:beforeLines="0" w:afterLines="0" w:line="560" w:lineRule="exact"/>
        <w:ind w:firstLine="600" w:firstLineChars="200"/>
        <w:rPr>
          <w:rStyle w:val="12"/>
          <w:rFonts w:hint="eastAsia" w:ascii="仿宋" w:hAnsi="仿宋" w:eastAsia="仿宋"/>
          <w:b w:val="0"/>
          <w:color w:val="000000"/>
          <w:sz w:val="30"/>
          <w:szCs w:val="30"/>
          <w:lang w:val="zh-CN"/>
        </w:rPr>
      </w:pPr>
      <w:r>
        <w:rPr>
          <w:rStyle w:val="12"/>
          <w:rFonts w:hint="eastAsia" w:ascii="仿宋" w:hAnsi="仿宋" w:eastAsia="仿宋"/>
          <w:b w:val="0"/>
          <w:color w:val="000000"/>
          <w:sz w:val="30"/>
          <w:szCs w:val="30"/>
          <w:lang w:val="zh-CN"/>
        </w:rPr>
        <w:t>（三）改进建议。无</w:t>
      </w:r>
    </w:p>
    <w:p>
      <w:pPr>
        <w:pStyle w:val="13"/>
        <w:spacing w:beforeLines="0" w:afterLines="0"/>
        <w:rPr>
          <w:rStyle w:val="12"/>
          <w:rFonts w:hint="eastAsia" w:ascii="Times New Roman" w:hAnsi="仿宋" w:eastAsia="宋体"/>
          <w:b w:val="0"/>
          <w:sz w:val="30"/>
          <w:szCs w:val="30"/>
          <w:lang w:val="zh-CN"/>
        </w:rPr>
      </w:pPr>
    </w:p>
    <w:p>
      <w:pPr>
        <w:pStyle w:val="13"/>
        <w:spacing w:beforeLines="0" w:afterLines="0"/>
        <w:rPr>
          <w:rStyle w:val="12"/>
          <w:rFonts w:hint="eastAsia" w:ascii="Times New Roman" w:hAnsi="仿宋" w:eastAsia="宋体"/>
          <w:b w:val="0"/>
          <w:sz w:val="30"/>
          <w:szCs w:val="30"/>
          <w:lang w:val="zh-CN"/>
        </w:rPr>
      </w:pPr>
    </w:p>
    <w:p>
      <w:pPr>
        <w:pStyle w:val="9"/>
        <w:numPr>
          <w:ilvl w:val="0"/>
          <w:numId w:val="0"/>
        </w:numPr>
        <w:autoSpaceDE/>
        <w:autoSpaceDN/>
        <w:spacing w:beforeLines="0" w:afterLines="0" w:line="560" w:lineRule="exact"/>
        <w:ind w:firstLine="640"/>
        <w:rPr>
          <w:rFonts w:hint="eastAsia" w:hAnsi="仿宋_GB2312" w:cs="仿宋_GB2312"/>
          <w:color w:val="auto"/>
          <w:sz w:val="32"/>
          <w:szCs w:val="32"/>
          <w:lang w:val="zh-CN" w:eastAsia="zh-CN"/>
        </w:rPr>
      </w:pPr>
      <w:r>
        <w:rPr>
          <w:rFonts w:hint="eastAsia" w:hAnsi="仿宋_GB2312" w:cs="仿宋_GB2312"/>
          <w:color w:val="auto"/>
          <w:sz w:val="32"/>
          <w:szCs w:val="32"/>
          <w:lang w:val="zh-CN" w:eastAsia="zh-CN"/>
        </w:rPr>
        <w:t>附表：</w:t>
      </w:r>
      <w:r>
        <w:rPr>
          <w:rFonts w:hint="eastAsia" w:hAnsi="仿宋_GB2312" w:cs="仿宋_GB2312"/>
          <w:color w:val="auto"/>
          <w:sz w:val="32"/>
          <w:szCs w:val="32"/>
          <w:lang w:val="en-US" w:eastAsia="zh-CN"/>
        </w:rPr>
        <w:t>部门预算项目支出绩效自评表（2022年度）</w:t>
      </w:r>
    </w:p>
    <w:p>
      <w:pPr>
        <w:pStyle w:val="13"/>
        <w:spacing w:beforeLines="0" w:afterLines="0"/>
        <w:rPr>
          <w:rStyle w:val="12"/>
          <w:rFonts w:hint="eastAsia" w:ascii="Times New Roman" w:hAnsi="仿宋" w:eastAsia="宋体"/>
          <w:b w:val="0"/>
          <w:sz w:val="30"/>
          <w:szCs w:val="30"/>
          <w:lang w:val="zh-CN"/>
        </w:rPr>
      </w:pPr>
    </w:p>
    <w:p>
      <w:pPr>
        <w:spacing w:beforeLines="0" w:afterLines="0"/>
        <w:jc w:val="both"/>
        <w:rPr>
          <w:rFonts w:hint="eastAsia" w:ascii="仿宋_GB2312" w:hAnsi="仿宋_GB2312" w:eastAsia="仿宋_GB2312"/>
          <w:color w:val="auto"/>
          <w:sz w:val="32"/>
          <w:szCs w:val="24"/>
          <w:lang w:val="zh-CN"/>
        </w:rPr>
      </w:pPr>
    </w:p>
    <w:p>
      <w:pPr>
        <w:pStyle w:val="2"/>
        <w:spacing w:afterLines="0"/>
        <w:rPr>
          <w:rFonts w:hint="eastAsia"/>
          <w:sz w:val="30"/>
          <w:szCs w:val="24"/>
          <w:lang w:val="zh-CN"/>
        </w:rPr>
      </w:pPr>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51041121R000000067707-工资性支出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w:t>
            </w:r>
            <w:r>
              <w:rPr>
                <w:rFonts w:hint="eastAsia" w:ascii="宋体" w:hAnsi="宋体" w:eastAsia="宋体" w:cs="宋体"/>
                <w:color w:val="000000"/>
                <w:sz w:val="18"/>
                <w:szCs w:val="18"/>
                <w:lang w:val="en-US" w:eastAsia="zh-CN" w:bidi="ar"/>
              </w:rPr>
              <w:br w:type="textWrapping"/>
            </w:r>
            <w:r>
              <w:rPr>
                <w:rFonts w:hint="eastAsia" w:ascii="宋体" w:hAnsi="宋体" w:eastAsia="宋体" w:cs="宋体"/>
                <w:color w:val="000000"/>
                <w:sz w:val="18"/>
                <w:szCs w:val="18"/>
                <w:lang w:val="en-US" w:eastAsia="zh-CN" w:bidi="ar"/>
              </w:rPr>
              <w:t>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保障职工利益</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更好地保障了职工利益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按时按月保障职工待遇。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25.99</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25.99</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年中追加预算，更好地保障职工利益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25.99</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25.99</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更好地保障了职工利益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r>
        <w:br w:type="page"/>
      </w:r>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51041121R000000067709－工资性支出区级（行政）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严格执行相关政策，保障工资及时发放、足额发放，预算编制科学合理，减少结余资金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按时按月发放行政人员工资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565.21</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564.44</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564.44</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565.21</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564.44</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564.44</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51041121R000000067802－工资性支出区级（事业）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保障职工利益</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更好地保障了职工利益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按时按月发放事业人员工资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0.45</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0.45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年中追加预算，更好地保障职工利益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0.45</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0.45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保障了事业人员工资及时发放、足额发放。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r>
        <w:br w:type="page"/>
      </w:r>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51041121R000000067823－工资性支出区级一类（事业）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严格执行相关政策，保障工资及时发放、足额发放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更好地保障了职工利益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按时按月发放事业人员工资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29.85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29.85</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29.85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29.85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29.85</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29.85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51041121R000000067917-目标奖及年终一次性奖金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保障目标奖及一次性奖金及时发放、足额发放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更好地保障了目标奖及一次性奖金及时发放、足额发放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按规定按时审核完成后及时发放。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40.09</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40.09</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年中追加预算，更好地保障职工利益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40.09</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40.09</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完全保障了目标奖及一次性奖金及时发放、足额发放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r>
        <w:br w:type="page"/>
      </w:r>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51041121R000000067921－区级目标奖及年终一次性奖金（行政）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保障行政人员目标奖及一次性奖金及时发放、足额发放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更好地保障了全局行政人员目标奖及一次性奖金及时发放、足额发放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按规定按时审核完成后及时发放。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282.06</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276.75</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276.75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282.06</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276.75</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276.75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完全保障了目标奖及一次性奖金及时发放、足额发放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r>
        <w:br w:type="page"/>
      </w:r>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51041121R000000067945－区级奖励性绩效及目标奖（事业）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保障事业人员区级奖励性绩效及目标奖及时足额发放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更好地保障事业人员奖励性绩效及目标奖及时发放、足额发放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按规定按时审核完成后及时发放。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7.74</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7.74</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年中追加预算，更好地保障职工利益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7.74</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7.74</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完全保障奖励性绩效和目标奖及时发放、足额发放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r>
        <w:br w:type="page"/>
      </w:r>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51041121R000000067949－奖励性绩效及目标奖区级一类（事业）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保障事业人员区级奖励性绩效及目标奖及时足额发放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更好地保障事业人员奖励性绩效及目标奖及时发放、足额发放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按规定按时审核完成后及时发放。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20.92</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20.08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20.08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20.92</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20.08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20.08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完全保障奖励性绩效和目标奖及时发放、足额发放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r>
        <w:br w:type="page"/>
      </w:r>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51041121R000000067978－医疗保险（行政）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严格执行相关政策，保障医疗保险及时足额上缴，预算编制科学合理，减少结余资金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保障了全局行政人员医疗保险的上缴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按月报计划，及时上缴。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65.75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65.75</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65.75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65.75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65.75</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65.75</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完全保障全局行政人员的医疗保险上缴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51041121R000000067980－基本养老保险（行政）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严格执行相关政策，保障养老保险及时上缴</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更好地保障全局行政人员养老保险的上缴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按月报计划，及时上缴。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117.45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76.41</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76.41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117.45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76.41</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76.41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完全保障全局行政人员的养老保险上缴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51041121R000000067982－公务员医疗补助（行政）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严格执行相关政策，保障公务员医疗及时上缴，预算编制科学合理，减少结余资金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更好地保障全局公务员医疗补助的上缴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按月报计划，及时上缴。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9.61</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9.61</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9.61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9.61</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9.61</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9.61</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完全保障全局公务员医疗补助上缴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51041121R000000067984－住房公积金（行政）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严格执行相关政策，保障公积金及时发放、足额发放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更好地保障全局行政人员住房公积金的上缴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按月报计划，及时上缴。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116.30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99.00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99.00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116.30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99.00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99.00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基本保障全局行政人员公积金上缴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51041121R000000067985－其他社会保障缴费（行政）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严格执行相关政策，保障其他社会保障缴费及时足额上缴，预算编制科学合理，减少结余资金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更好保障其他社会保障缴费及时足额上缴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按月报计划，及时上缴。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5.05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1.98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1.98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5.05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1.98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1.98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基本保障全局行政人员其他社会保障缴费及时足额上缴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51041121R000000067986－医疗保险（事业）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严格执行相关政策，保障医疗保险及时足额上缴，预算编制科学合理，减少结余资金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保障事业人员医疗保险及时足额上缴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按月报计划，及时上缴。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4.01</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0.94</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0.94</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4.01</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0.94</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0.94</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基本保障全局事业人员医疗保险及时足额上缴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51041121R000000067988－基本养老保险（事业）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严格执行相关政策，保障养老保险及时上缴，预算编制科学合理，减少结余资金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更好地保障事业人员养老保险及时上缴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按月报计划，及时上缴。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6.85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4.63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4.63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6.85</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4.63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4.63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基本保障全局事业人员养老保险及时足额上缴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51041121R000000067989－公务员医疗补助（事业）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严格执行相关政策，保障公务员医疗补助发放，预算编制科学合理，减少结余资金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保障事业人员公务员医疗补助发放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按月报计划，及时上缴。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0.40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0.32</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0.32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0.40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0.32</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0.32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基本保障全局事业人员公务员医疗补助及时足额上缴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51041121R000000067990－住房公积金（事业）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严格执行相关政策，保障住房公积金缴纳，预算编制科学合理，减少结余资金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保障了全局事业人员住房公积金缴纳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按月报计划，及时上缴。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6.99</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1.77</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1.77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6.99</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1.77</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1.77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基本保障全局事业人员住房公积金及时足额上缴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基本保障全局事业人员其他社会保障缴费及时足额上缴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宋体" w:eastAsia="黑体" w:cs="黑体"/>
                <w:b/>
                <w:color w:val="000000"/>
                <w:sz w:val="30"/>
                <w:szCs w:val="30"/>
              </w:rPr>
            </w:pPr>
            <w:r>
              <w:br w:type="page"/>
            </w: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51041121R000000067996－离退休费（行政）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严格执行相关政策，保障退休人员工资及时发放、足额发放，预算编制科学合理，减少结余资金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保障了退休人员工资发放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按月足额发放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1.83</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1.87</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1.83</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1.87</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基本保障了全局退休人员工资发放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51041121R000000067997－离退休目标绩效奖（行政）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严格执行相关政策，保障退休人员目标奖发放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更好地保障了退休人员利益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按时审核并足额发放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32.20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32.40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32.40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32.20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36.80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32.40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保障了全局退休人员奖金的发放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51041121R000000068002－遗属补助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严格执行相关政策，保障单位遗属工资及时发放、足额发放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更好地保障了单位遗属工资及时足额发放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按政策按月足额发放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1.48</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1.63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1.63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1.48</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1.63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1.63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保障了我局遗属补助的发放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51041121Y000000068012-基本公用经费定额（行政）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保障单位日常运转，提高预算编制质量，严格执行预算</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基本保障了单位行政人员的日常运转，提高了机关运行效率。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按时保障单位日常运转，提高机关运行效率。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w:t>
            </w:r>
            <w:r>
              <w:rPr>
                <w:rFonts w:hint="eastAsia" w:ascii="宋体" w:hAnsi="宋体" w:eastAsia="宋体" w:cs="宋体"/>
                <w:color w:val="000000"/>
                <w:sz w:val="18"/>
                <w:szCs w:val="18"/>
                <w:lang w:val="en-US" w:eastAsia="zh-CN" w:bidi="ar"/>
              </w:rPr>
              <w:br w:type="textWrapping"/>
            </w:r>
            <w:r>
              <w:rPr>
                <w:rFonts w:hint="eastAsia" w:ascii="宋体" w:hAnsi="宋体" w:eastAsia="宋体" w:cs="宋体"/>
                <w:color w:val="000000"/>
                <w:sz w:val="18"/>
                <w:szCs w:val="18"/>
                <w:lang w:val="en-US" w:eastAsia="zh-CN" w:bidi="ar"/>
              </w:rPr>
              <w:t>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w:t>
            </w:r>
            <w:r>
              <w:rPr>
                <w:rFonts w:hint="eastAsia" w:ascii="宋体" w:hAnsi="宋体" w:eastAsia="宋体" w:cs="宋体"/>
                <w:color w:val="000000"/>
                <w:sz w:val="18"/>
                <w:szCs w:val="18"/>
                <w:lang w:val="en-US" w:eastAsia="zh-CN" w:bidi="ar"/>
              </w:rPr>
              <w:br w:type="textWrapping"/>
            </w:r>
            <w:r>
              <w:rPr>
                <w:rFonts w:hint="eastAsia" w:ascii="宋体" w:hAnsi="宋体" w:eastAsia="宋体" w:cs="宋体"/>
                <w:color w:val="000000"/>
                <w:sz w:val="18"/>
                <w:szCs w:val="18"/>
                <w:lang w:val="en-US" w:eastAsia="zh-CN" w:bidi="ar"/>
              </w:rPr>
              <w:t>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147.92</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74.62</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74.62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147.92</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74.62</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74.62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预算编制准确率（计算方法为：∣（执行数－预算数）/预算数∣）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“三公”经费控制率[计算方法为：（三公经费实际支出数/预算安排数]×100%）</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运转保障率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基本保障了单位日常运转，提高机关运行效率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51041121Y000000068013-基本公用经费定额（事业）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保障单位日常运转，提高预算编制质量，严格执行预算</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基本保障了单位事业人员的日常运转，提高了机关运行效率。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按时保障单位日常运转，提高机关运行效率。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1.20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0.80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0.80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1.20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0.80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0.80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预算编制准确率（计算方法为：∣（执行数－预算数）/预算数∣）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运转保障率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“三公”经费控制率[计算方法为：（三公经费实际支出数/预算安排数]×100%）</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基本保障了单位日常运转，提高机关运行效率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51041121Y000000068015-基本公用经费支出总额（行政）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保障单位日常运转，提高预算编制质量，严格执行预算</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基本保障了单位行政人员的日常运转，提高了机关运行效率。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按时保障单位日常运转，提高机关运行效率。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59.20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7.43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7.43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59.20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7.43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7.43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预算编制准确率（计算方法为：∣（执行数－预算数）/预算数∣）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bookmarkStart w:id="0" w:name="_GoBack"/>
            <w:bookmarkEnd w:id="0"/>
            <w:r>
              <w:rPr>
                <w:rFonts w:hint="eastAsia" w:ascii="宋体" w:hAnsi="宋体" w:eastAsia="宋体" w:cs="宋体"/>
                <w:color w:val="000000"/>
                <w:sz w:val="18"/>
                <w:szCs w:val="18"/>
                <w:lang w:val="en-US" w:eastAsia="zh-CN" w:bidi="ar"/>
              </w:rPr>
              <w:t>“三公”经费控制率[计算方法为：（三公经费实际支出数/预算安排数]×100%）</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运转保障率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基本保障了单位日常运转，提高机关运行效率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tbl>
      <w:tblPr>
        <w:tblStyle w:val="10"/>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760"/>
        <w:gridCol w:w="890"/>
        <w:gridCol w:w="1206"/>
        <w:gridCol w:w="453"/>
        <w:gridCol w:w="846"/>
        <w:gridCol w:w="756"/>
        <w:gridCol w:w="846"/>
        <w:gridCol w:w="576"/>
        <w:gridCol w:w="576"/>
        <w:gridCol w:w="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51041121Y000000068024－离退休公用经费（行政）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保障退休人员日常运转，提高预算编制质量，严格执行预算</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保障了退休人员日常运转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按规定报销退休人员公用经费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5.06</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1.38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1.38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5.06</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1.38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1.38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预算编制准确率（计算方法为：∣（执行数－预算数）/预算数∣）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运转保障率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“三公”经费控制率[计算方法为：（三公经费实际支出数/预算安排数]×100%）</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基本保障退休人员公用支出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宋体" w:eastAsia="黑体" w:cs="黑体"/>
                <w:b/>
                <w:color w:val="000000"/>
                <w:sz w:val="30"/>
                <w:szCs w:val="30"/>
              </w:rPr>
            </w:pPr>
            <w:r>
              <w:br w:type="page"/>
            </w: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51041122R000000308742-应休未休年休假报酬（行政）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严格执行相关政策，保障职工年休假报酬及时发放、足额发放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保障了行政人员年休假报酬及时发放、足额发放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按规定按时审核完成后及时发放。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38.48</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38.48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38.48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38.48</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38.48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38.48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基本保障了全局行政人员年休假报酬发放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51041122R000000308745-应休未休年休假报酬（事业）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严格执行相关政策，保障职工年休假报酬及时发放、足额发放，预算编制科学合理，减少结余资金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保障了事业人员年休假报酬及时发放、足额发放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按规定按时审核完成后及时发放。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2.60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2.19</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2.19</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2.60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2.19</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2.19</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w:t>
            </w:r>
            <w:r>
              <w:rPr>
                <w:rFonts w:hint="eastAsia" w:ascii="宋体" w:hAnsi="宋体" w:eastAsia="宋体" w:cs="宋体"/>
                <w:color w:val="000000"/>
                <w:sz w:val="18"/>
                <w:szCs w:val="18"/>
                <w:lang w:val="en-US" w:eastAsia="zh-CN" w:bidi="ar"/>
              </w:rPr>
              <w:br w:type="textWrapping"/>
            </w:r>
            <w:r>
              <w:rPr>
                <w:rFonts w:hint="eastAsia" w:ascii="宋体" w:hAnsi="宋体" w:eastAsia="宋体" w:cs="宋体"/>
                <w:color w:val="000000"/>
                <w:sz w:val="18"/>
                <w:szCs w:val="18"/>
                <w:lang w:val="en-US" w:eastAsia="zh-CN" w:bidi="ar"/>
              </w:rPr>
              <w:t>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基本保障了全局事业人员年休假报酬发放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51041122R000005556086－医保个人账户补充（行政）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严格执行相关政策，保障医保个人补充及时发放、足额发放，预算编制科学合理，减少结余资金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保障了医保个人补充及时发放、足额发放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按医保局的要求审核发放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34.44</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34.44</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34.44</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34.44</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基本保障了全局行政人员医保个人补充发放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51041122R000005556506－医保个人账户补充（事业）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严格执行相关政策，保障医保个人补充及时发放、足额发放</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保障了医保个人补充及时发放、足额发放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按医保局的要求审核发放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2.40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2.17</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2.17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2.40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2.17</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2.17</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基本保障了全局事业人员医保个人补充发放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51041122R000005556709－退休医保个人账户补充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严格执行相关政策，保障退休人员医保个人补充及时发放、足额发放，预算编制科学合理，减少结余资金</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保障了退休人员医保个人补充及时发放、足额发放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按医保局的要求审核发放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15.12</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15.12</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15.12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15.12</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15.12</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15.12</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足额保障率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按时发放率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经济效益指标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结余率（计算方法为：结余数/预算数）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22.5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基本保障了全局退休人员医保个人补充发放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51041122R000005907431－职业年金记实登记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保障全局退休人员及调出人员职业年金记实登记</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保障全局退休人员及调出人员职业年金记实登记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按规定缴纳退休人员及调出人员职业年金记实登记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7.03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7.03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7.03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7.03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黑体" w:hAnsi="黑体" w:eastAsia="黑体" w:cs="黑体"/>
                <w:i/>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保障了全局退休人员职业年金记实登记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宋体" w:eastAsia="黑体" w:cs="黑体"/>
                <w:b/>
                <w:color w:val="000000"/>
                <w:sz w:val="30"/>
                <w:szCs w:val="30"/>
              </w:rPr>
            </w:pPr>
            <w:r>
              <w:br w:type="page"/>
            </w: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51041122T000000333374－援藏干部补助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援藏1人各项补助</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保障了援藏人才经费，推进了木里县脱贫攻坚工作完成。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按规定审核并及时发放援藏人才补助，保障木里县脱贫攻坚工作完成。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6.24</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3.40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3.40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6.24</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3.40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3.40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按文件各项补助</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62400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元/人·次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62400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70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保障援藏工作</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定性</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元/人·次</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优良中低差</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满意度指标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帮扶对象满意度指标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援藏人员</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定性</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好坏</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保障援藏人才工作，保障木里县脱贫攻坚工作完成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51041122T000004949984－有机产业扶持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深入实施质量强区战略，加快我区有机产业发展</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贯彻落实了《中共四川省委关于全面推动高质量发展的决定》、深入实施质量强区战略，加快了推进我区有机产业发展。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按规定支付有机产业扶持资金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nil"/>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nil"/>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ign w:val="center"/>
          </w:tcPr>
          <w:p>
            <w:pPr>
              <w:spacing w:beforeLines="0" w:afterLines="0"/>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nil"/>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奖补企业数</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4</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元/户</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项目完成</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定性</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元/月</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成本指标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奖补标准</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25000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元/户</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满意度指标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企业满意度</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人/户</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righ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按规定按时足额支付了4家有机产业扶持资金，保证了有机产业的发展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黑体" w:hAnsi="宋体" w:eastAsia="黑体" w:cs="黑体"/>
                <w:b/>
                <w:color w:val="000000"/>
                <w:sz w:val="30"/>
                <w:szCs w:val="30"/>
              </w:rPr>
            </w:pP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51041122T000005583824－省级市场监管专项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保障仁和区市场监督管理各项工作顺利开展</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维护正常的市场经济秩序。保证全局网络正常运行。保障全局档案规范，加强了知识产权保护等。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立足市场监管部门职能职责，打击不正当竞争行为，强化价格监管和收费行为治理，整治网络购物环境和助力放心舒心消费，着力构建统一开放、竞争有序的市场体系，推动市场健康有序发展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62.60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23.83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23.83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省级资金项目中有些明年才全部完成，调整预算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62.60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23.83</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23.83</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产出指标</w:t>
            </w:r>
          </w:p>
        </w:tc>
        <w:tc>
          <w:tcPr>
            <w:tcW w:w="89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数量指标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聘请临时工</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市场监管局网络运行等</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万</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30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质量指标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保障全局监管工作，执法工作</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定性</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好坏</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案件数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好坏</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时效指标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完成时间</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2022</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2022</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成本指标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项目实施成本</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62.6</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62.6</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效益指标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社会效益指标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市场监管工作完成效益</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定性</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优良中低差</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优良中低差</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满意度指标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服务对象满意度指标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监管对象满意度</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保障了我局市场监管专项工作更好更优地开展。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28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pPr>
              <w:rPr>
                <w:rFonts w:hint="eastAsia" w:ascii="黑体" w:hAnsi="宋体" w:eastAsia="黑体" w:cs="黑体"/>
                <w:b/>
                <w:color w:val="000000"/>
                <w:sz w:val="30"/>
                <w:szCs w:val="30"/>
              </w:rPr>
            </w:pPr>
            <w:r>
              <w:br w:type="page"/>
            </w:r>
            <w:r>
              <w:rPr>
                <w:rFonts w:hint="eastAsia" w:ascii="黑体" w:hAnsi="宋体" w:eastAsia="黑体" w:cs="黑体"/>
                <w:b/>
                <w:color w:val="000000"/>
                <w:sz w:val="30"/>
                <w:szCs w:val="30"/>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项目名称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51041122T000007342865－车辆购置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3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主管部门</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攀枝花市仁和区市场监督管理局部门</w:t>
            </w:r>
          </w:p>
        </w:tc>
        <w:tc>
          <w:tcPr>
            <w:tcW w:w="846" w:type="dxa"/>
            <w:tcBorders>
              <w:top w:val="nil"/>
              <w:left w:val="nil"/>
              <w:bottom w:val="nil"/>
              <w:right w:val="nil"/>
              <w:tl2br w:val="nil"/>
              <w:tr2bl w:val="nil"/>
            </w:tcBorders>
            <w:noWrap w:val="0"/>
            <w:vAlign w:val="center"/>
          </w:tcPr>
          <w:p>
            <w:pPr>
              <w:widowControl/>
              <w:spacing w:beforeLines="0" w:afterLines="0"/>
              <w:textAlignment w:val="center"/>
              <w:rPr>
                <w:rFonts w:hint="eastAsia" w:ascii="黑体" w:hAnsi="黑体" w:eastAsia="黑体" w:cs="黑体"/>
                <w:color w:val="000000"/>
                <w:sz w:val="16"/>
                <w:szCs w:val="16"/>
              </w:rPr>
            </w:pPr>
            <w:r>
              <w:rPr>
                <w:rFonts w:hint="eastAsia" w:ascii="黑体" w:hAnsi="黑体" w:eastAsia="黑体" w:cs="黑体"/>
                <w:color w:val="000000"/>
                <w:sz w:val="16"/>
                <w:szCs w:val="16"/>
                <w:lang w:val="en-US" w:eastAsia="zh-CN" w:bidi="ar"/>
              </w:rPr>
              <w:t>实施单位 （盖章）</w:t>
            </w:r>
          </w:p>
        </w:tc>
        <w:tc>
          <w:tcPr>
            <w:tcW w:w="19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攀枝花市仁和区市场监督管理局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项目基本情况</w:t>
            </w:r>
          </w:p>
        </w:tc>
        <w:tc>
          <w:tcPr>
            <w:tcW w:w="7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1.项目年度目标完成情况</w:t>
            </w: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项目年度目标</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4151"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保障市场监管执法工作顺利开展</w:t>
            </w:r>
          </w:p>
        </w:tc>
        <w:tc>
          <w:tcPr>
            <w:tcW w:w="278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更好保障了市场执法工作的开展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2.项目实施内容及过程概述</w:t>
            </w:r>
          </w:p>
        </w:tc>
        <w:tc>
          <w:tcPr>
            <w:tcW w:w="6934"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在通过层层审批后，同意购置4辆执法执勤车。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预算执行情况（10分）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年度预算数（万元）</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年初预算</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总额</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18.78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18.78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w:t>
            </w:r>
          </w:p>
        </w:tc>
        <w:tc>
          <w:tcPr>
            <w:tcW w:w="7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受疫情影响，财政紧张，无法全额支付出去.调整预算争取明年支付完成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其中：财政资金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18.78</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18.78</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财政专户管理资金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单位资金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0.00%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其他资金</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20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w:t>
            </w:r>
          </w:p>
        </w:tc>
        <w:tc>
          <w:tcPr>
            <w:tcW w:w="7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8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绩效指标（90分）</w:t>
            </w: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一级指标</w:t>
            </w: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二级指标</w:t>
            </w: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指标性质</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得分</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8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宋体" w:hAnsi="宋体" w:eastAsia="宋体" w:cs="宋体"/>
                <w:color w:val="000000"/>
                <w:sz w:val="18"/>
                <w:szCs w:val="18"/>
              </w:rPr>
            </w:pP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90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jc w:val="center"/>
              <w:rPr>
                <w:rFonts w:hint="eastAsia" w:ascii="微软雅黑" w:hAnsi="微软雅黑" w:eastAsia="微软雅黑" w:cs="微软雅黑"/>
                <w:i/>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343"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5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100</w:t>
            </w:r>
          </w:p>
        </w:tc>
        <w:tc>
          <w:tcPr>
            <w:tcW w:w="7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beforeLines="0" w:afterLines="0"/>
              <w:rPr>
                <w:rFonts w:hint="eastAsia" w:ascii="宋体" w:hAnsi="宋体" w:eastAsia="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评价结论</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更好保障了市场执法工作的开展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存在问题</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8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jc w:val="center"/>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改进措施</w:t>
            </w:r>
          </w:p>
        </w:tc>
        <w:tc>
          <w:tcPr>
            <w:tcW w:w="7694"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beforeLines="0" w:afterLines="0"/>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bidi="ar"/>
              </w:rPr>
              <w:t>无</w:t>
            </w:r>
          </w:p>
        </w:tc>
      </w:tr>
    </w:tbl>
    <w:p>
      <w:pPr>
        <w:pStyle w:val="13"/>
        <w:spacing w:beforeLines="0" w:afterLines="0"/>
        <w:rPr>
          <w:rFonts w:hint="eastAsia" w:ascii="仿宋_GB2312" w:hAnsi="仿宋_GB2312" w:eastAsia="仿宋_GB2312"/>
          <w:color w:val="auto"/>
          <w:sz w:val="32"/>
          <w:szCs w:val="24"/>
          <w:lang w:val="zh-CN"/>
        </w:rPr>
      </w:pPr>
    </w:p>
    <w:p>
      <w:pPr>
        <w:pStyle w:val="6"/>
        <w:spacing w:line="600" w:lineRule="exact"/>
        <w:ind w:firstLine="720" w:firstLineChars="200"/>
        <w:jc w:val="center"/>
        <w:rPr>
          <w:rFonts w:hint="eastAsia" w:ascii="华文中宋" w:hAnsi="华文中宋" w:eastAsia="华文中宋" w:cs="黑体"/>
          <w:sz w:val="36"/>
          <w:szCs w:val="36"/>
        </w:rPr>
      </w:pPr>
    </w:p>
    <w:p>
      <w:pPr>
        <w:pStyle w:val="6"/>
        <w:spacing w:line="600" w:lineRule="exact"/>
        <w:jc w:val="left"/>
        <w:rPr>
          <w:rFonts w:hint="eastAsia" w:ascii="华文中宋" w:hAnsi="华文中宋" w:eastAsia="华文中宋" w:cs="黑体"/>
          <w:sz w:val="28"/>
          <w:szCs w:val="28"/>
          <w:lang w:val="en-US" w:eastAsia="zh-CN"/>
        </w:rPr>
      </w:pPr>
    </w:p>
    <w:p>
      <w:pPr>
        <w:pStyle w:val="6"/>
        <w:spacing w:line="600" w:lineRule="exact"/>
        <w:jc w:val="left"/>
        <w:rPr>
          <w:rFonts w:hint="eastAsia" w:ascii="华文中宋" w:hAnsi="华文中宋" w:eastAsia="华文中宋" w:cs="黑体"/>
          <w:sz w:val="28"/>
          <w:szCs w:val="28"/>
          <w:lang w:val="en-US" w:eastAsia="zh-CN"/>
        </w:rPr>
      </w:pPr>
    </w:p>
    <w:p>
      <w:pPr>
        <w:pStyle w:val="6"/>
        <w:spacing w:line="600" w:lineRule="exact"/>
        <w:jc w:val="left"/>
        <w:rPr>
          <w:rFonts w:hint="eastAsia" w:ascii="华文中宋" w:hAnsi="华文中宋" w:eastAsia="华文中宋" w:cs="黑体"/>
          <w:sz w:val="28"/>
          <w:szCs w:val="28"/>
          <w:lang w:val="en-US" w:eastAsia="zh-CN"/>
        </w:rPr>
      </w:pPr>
    </w:p>
    <w:p>
      <w:pPr>
        <w:pStyle w:val="6"/>
        <w:spacing w:line="600" w:lineRule="exact"/>
        <w:jc w:val="left"/>
        <w:rPr>
          <w:rFonts w:hint="eastAsia" w:ascii="华文中宋" w:hAnsi="华文中宋" w:eastAsia="华文中宋" w:cs="黑体"/>
          <w:sz w:val="28"/>
          <w:szCs w:val="28"/>
          <w:lang w:val="en-US" w:eastAsia="zh-CN"/>
        </w:rPr>
      </w:pPr>
    </w:p>
    <w:p>
      <w:pPr>
        <w:pStyle w:val="6"/>
        <w:spacing w:line="600" w:lineRule="exact"/>
        <w:jc w:val="left"/>
        <w:rPr>
          <w:rFonts w:hint="eastAsia" w:ascii="华文中宋" w:hAnsi="华文中宋" w:eastAsia="华文中宋" w:cs="黑体"/>
          <w:sz w:val="28"/>
          <w:szCs w:val="28"/>
          <w:lang w:val="en-US" w:eastAsia="zh-CN"/>
        </w:rPr>
      </w:pPr>
    </w:p>
    <w:p>
      <w:pPr>
        <w:pStyle w:val="6"/>
        <w:spacing w:line="600" w:lineRule="exact"/>
        <w:jc w:val="left"/>
        <w:rPr>
          <w:rFonts w:hint="eastAsia" w:ascii="华文中宋" w:hAnsi="华文中宋" w:eastAsia="华文中宋" w:cs="黑体"/>
          <w:sz w:val="28"/>
          <w:szCs w:val="28"/>
          <w:lang w:val="en-US" w:eastAsia="zh-CN"/>
        </w:rPr>
      </w:pPr>
    </w:p>
    <w:p>
      <w:pPr>
        <w:pStyle w:val="6"/>
        <w:spacing w:line="600" w:lineRule="exact"/>
        <w:jc w:val="left"/>
        <w:rPr>
          <w:rFonts w:hint="default" w:ascii="华文中宋" w:hAnsi="华文中宋" w:eastAsia="华文中宋" w:cs="黑体"/>
          <w:sz w:val="28"/>
          <w:szCs w:val="28"/>
          <w:lang w:val="en-US" w:eastAsia="zh-CN"/>
        </w:rPr>
      </w:pPr>
      <w:r>
        <w:rPr>
          <w:rFonts w:hint="eastAsia" w:ascii="华文中宋" w:hAnsi="华文中宋" w:eastAsia="华文中宋" w:cs="黑体"/>
          <w:sz w:val="28"/>
          <w:szCs w:val="28"/>
          <w:lang w:val="en-US" w:eastAsia="zh-CN"/>
        </w:rPr>
        <w:t>附件2</w:t>
      </w:r>
    </w:p>
    <w:p>
      <w:pPr>
        <w:pStyle w:val="6"/>
        <w:spacing w:line="600" w:lineRule="exact"/>
        <w:ind w:firstLine="720" w:firstLineChars="200"/>
        <w:jc w:val="center"/>
        <w:rPr>
          <w:rFonts w:hint="eastAsia" w:ascii="华文中宋" w:hAnsi="华文中宋" w:eastAsia="华文中宋" w:cs="黑体"/>
          <w:sz w:val="36"/>
          <w:szCs w:val="36"/>
        </w:rPr>
      </w:pPr>
      <w:r>
        <w:rPr>
          <w:rFonts w:hint="eastAsia" w:ascii="华文中宋" w:hAnsi="华文中宋" w:eastAsia="华文中宋" w:cs="黑体"/>
          <w:sz w:val="36"/>
          <w:szCs w:val="36"/>
        </w:rPr>
        <w:t>攀枝花市仁和区市场监督管理局</w:t>
      </w:r>
    </w:p>
    <w:p>
      <w:pPr>
        <w:pStyle w:val="6"/>
        <w:spacing w:line="600" w:lineRule="exact"/>
        <w:ind w:firstLine="720" w:firstLineChars="200"/>
        <w:jc w:val="center"/>
        <w:rPr>
          <w:rFonts w:hint="eastAsia" w:ascii="华文中宋" w:hAnsi="华文中宋" w:eastAsia="华文中宋" w:cs="黑体"/>
          <w:sz w:val="36"/>
          <w:szCs w:val="36"/>
        </w:rPr>
      </w:pPr>
      <w:r>
        <w:rPr>
          <w:rFonts w:hint="eastAsia" w:ascii="华文中宋" w:hAnsi="华文中宋" w:eastAsia="华文中宋" w:cs="黑体"/>
          <w:sz w:val="36"/>
          <w:szCs w:val="36"/>
        </w:rPr>
        <w:t>202</w:t>
      </w:r>
      <w:r>
        <w:rPr>
          <w:rFonts w:ascii="华文中宋" w:hAnsi="华文中宋" w:eastAsia="华文中宋" w:cs="黑体"/>
          <w:sz w:val="36"/>
          <w:szCs w:val="36"/>
        </w:rPr>
        <w:t>2</w:t>
      </w:r>
      <w:r>
        <w:rPr>
          <w:rFonts w:hint="eastAsia" w:ascii="华文中宋" w:hAnsi="华文中宋" w:eastAsia="华文中宋" w:cs="黑体"/>
          <w:sz w:val="36"/>
          <w:szCs w:val="36"/>
        </w:rPr>
        <w:t>年度部门预算项目支出绩效自评报告</w:t>
      </w:r>
    </w:p>
    <w:p>
      <w:pPr>
        <w:pStyle w:val="6"/>
        <w:spacing w:line="600" w:lineRule="exact"/>
        <w:ind w:firstLine="720" w:firstLineChars="200"/>
        <w:jc w:val="center"/>
        <w:rPr>
          <w:rFonts w:hint="eastAsia" w:ascii="华文中宋" w:hAnsi="华文中宋" w:eastAsia="华文中宋" w:cs="黑体"/>
          <w:sz w:val="36"/>
          <w:szCs w:val="36"/>
        </w:rPr>
      </w:pPr>
      <w:r>
        <w:rPr>
          <w:rFonts w:hint="eastAsia" w:ascii="华文中宋" w:hAnsi="华文中宋" w:eastAsia="华文中宋" w:cs="黑体"/>
          <w:sz w:val="36"/>
          <w:szCs w:val="36"/>
        </w:rPr>
        <w:t>（有机</w:t>
      </w:r>
      <w:r>
        <w:rPr>
          <w:rFonts w:hint="eastAsia" w:ascii="华文中宋" w:hAnsi="华文中宋" w:eastAsia="华文中宋" w:cs="黑体"/>
          <w:sz w:val="36"/>
          <w:szCs w:val="36"/>
          <w:lang w:eastAsia="zh-CN"/>
        </w:rPr>
        <w:t>产业</w:t>
      </w:r>
      <w:r>
        <w:rPr>
          <w:rFonts w:hint="eastAsia" w:ascii="华文中宋" w:hAnsi="华文中宋" w:eastAsia="华文中宋" w:cs="黑体"/>
          <w:sz w:val="36"/>
          <w:szCs w:val="36"/>
        </w:rPr>
        <w:t>扶持专项）</w:t>
      </w:r>
    </w:p>
    <w:p>
      <w:pPr>
        <w:pStyle w:val="6"/>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360" w:lineRule="auto"/>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一、项目概况</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（一）项目基本情况。</w:t>
      </w:r>
    </w:p>
    <w:p>
      <w:pPr>
        <w:autoSpaceDE w:val="0"/>
        <w:autoSpaceDN w:val="0"/>
        <w:adjustRightInd w:val="0"/>
        <w:spacing w:line="360" w:lineRule="auto"/>
        <w:ind w:firstLine="640" w:firstLineChars="200"/>
        <w:jc w:val="left"/>
        <w:rPr>
          <w:rFonts w:hint="eastAsia" w:ascii="仿宋_GB2312" w:eastAsia="仿宋_GB2312" w:cs="仿宋_GB2312"/>
          <w:sz w:val="32"/>
          <w:szCs w:val="32"/>
        </w:rPr>
      </w:pPr>
      <w:r>
        <w:rPr>
          <w:rFonts w:ascii="Times New Roman" w:hAnsi="Times New Roman" w:eastAsia="仿宋_GB2312"/>
          <w:kern w:val="0"/>
          <w:sz w:val="32"/>
          <w:szCs w:val="32"/>
        </w:rPr>
        <w:t>1</w:t>
      </w:r>
      <w:r>
        <w:rPr>
          <w:rFonts w:ascii="仿宋_GB2312" w:eastAsia="仿宋_GB2312" w:cs="仿宋_GB2312"/>
          <w:sz w:val="32"/>
          <w:szCs w:val="32"/>
        </w:rPr>
        <w:t>．项目主管部门（单位）在该项目管理中的职能。</w:t>
      </w:r>
      <w:r>
        <w:rPr>
          <w:rFonts w:hint="eastAsia" w:ascii="仿宋_GB2312" w:eastAsia="仿宋_GB2312" w:cs="仿宋_GB2312"/>
          <w:sz w:val="32"/>
          <w:szCs w:val="32"/>
        </w:rPr>
        <w:t>仁和区市场监督管理局为</w:t>
      </w:r>
      <w:r>
        <w:rPr>
          <w:rFonts w:hint="eastAsia" w:ascii="仿宋_GB2312" w:eastAsia="仿宋_GB2312" w:cs="仿宋_GB2312"/>
          <w:sz w:val="32"/>
          <w:szCs w:val="32"/>
          <w:lang w:eastAsia="zh-CN"/>
        </w:rPr>
        <w:t>该项目</w:t>
      </w:r>
      <w:r>
        <w:rPr>
          <w:rFonts w:hint="eastAsia" w:ascii="仿宋_GB2312" w:eastAsia="仿宋_GB2312" w:cs="仿宋_GB2312"/>
          <w:sz w:val="32"/>
          <w:szCs w:val="32"/>
        </w:rPr>
        <w:t>主管执行部门。</w:t>
      </w:r>
    </w:p>
    <w:p>
      <w:pPr>
        <w:autoSpaceDE w:val="0"/>
        <w:autoSpaceDN w:val="0"/>
        <w:adjustRightInd w:val="0"/>
        <w:spacing w:line="360" w:lineRule="auto"/>
        <w:ind w:firstLine="640" w:firstLineChars="200"/>
        <w:jc w:val="left"/>
        <w:rPr>
          <w:rFonts w:hint="eastAsia" w:ascii="仿宋_GB2312" w:eastAsia="仿宋_GB2312" w:cs="仿宋_GB2312"/>
          <w:sz w:val="32"/>
          <w:szCs w:val="32"/>
        </w:rPr>
      </w:pPr>
      <w:r>
        <w:rPr>
          <w:rFonts w:ascii="仿宋_GB2312" w:eastAsia="仿宋_GB2312" w:cs="仿宋_GB2312"/>
          <w:sz w:val="32"/>
          <w:szCs w:val="32"/>
        </w:rPr>
        <w:t>2．项目立项、资金申报的依据。</w:t>
      </w:r>
      <w:r>
        <w:rPr>
          <w:rFonts w:hint="eastAsia" w:ascii="仿宋_GB2312" w:eastAsia="仿宋_GB2312" w:cs="仿宋_GB2312"/>
          <w:sz w:val="32"/>
          <w:szCs w:val="32"/>
        </w:rPr>
        <w:t>根据单位职能</w:t>
      </w:r>
      <w:r>
        <w:rPr>
          <w:rFonts w:hint="eastAsia" w:ascii="仿宋_GB2312" w:eastAsia="仿宋_GB2312" w:cs="仿宋_GB2312"/>
          <w:sz w:val="32"/>
          <w:szCs w:val="32"/>
          <w:lang w:eastAsia="zh-CN"/>
        </w:rPr>
        <w:t>职责</w:t>
      </w:r>
      <w:r>
        <w:rPr>
          <w:rFonts w:hint="eastAsia" w:ascii="仿宋_GB2312" w:eastAsia="仿宋_GB2312" w:cs="仿宋_GB2312"/>
          <w:sz w:val="32"/>
          <w:szCs w:val="32"/>
        </w:rPr>
        <w:t>立项。</w:t>
      </w:r>
    </w:p>
    <w:p>
      <w:pPr>
        <w:tabs>
          <w:tab w:val="left" w:pos="6425"/>
        </w:tabs>
        <w:spacing w:line="360" w:lineRule="auto"/>
        <w:ind w:firstLine="640" w:firstLineChars="200"/>
        <w:outlineLvl w:val="0"/>
        <w:rPr>
          <w:rFonts w:ascii="仿宋_GB2312" w:eastAsia="仿宋_GB2312" w:cs="仿宋_GB2312"/>
          <w:sz w:val="32"/>
          <w:szCs w:val="32"/>
        </w:rPr>
      </w:pPr>
      <w:r>
        <w:rPr>
          <w:rFonts w:ascii="仿宋_GB2312" w:eastAsia="仿宋_GB2312" w:cs="仿宋_GB2312"/>
          <w:sz w:val="32"/>
          <w:szCs w:val="32"/>
        </w:rPr>
        <w:t>3．资金管理办法制定情况，资金支持具体项目的条件、范围与支持方式概况。</w:t>
      </w:r>
      <w:r>
        <w:rPr>
          <w:rFonts w:hint="eastAsia" w:ascii="仿宋_GB2312" w:eastAsia="仿宋_GB2312" w:cs="仿宋_GB2312"/>
          <w:sz w:val="32"/>
          <w:szCs w:val="32"/>
        </w:rPr>
        <w:t>我局一直按照专项资金管理办法，保障了全区有机认证产业发展；该笔资金全部用于有机认证企业发生的各项业务支出。</w:t>
      </w:r>
      <w:r>
        <w:rPr>
          <w:rFonts w:ascii="仿宋_GB2312" w:eastAsia="仿宋_GB2312" w:cs="仿宋_GB2312"/>
          <w:sz w:val="32"/>
          <w:szCs w:val="32"/>
        </w:rPr>
        <w:tab/>
      </w:r>
    </w:p>
    <w:p>
      <w:pPr>
        <w:autoSpaceDE w:val="0"/>
        <w:autoSpaceDN w:val="0"/>
        <w:adjustRightInd w:val="0"/>
        <w:spacing w:line="360" w:lineRule="auto"/>
        <w:ind w:firstLine="640" w:firstLineChars="200"/>
        <w:jc w:val="left"/>
        <w:rPr>
          <w:rFonts w:ascii="仿宋_GB2312" w:eastAsia="仿宋_GB2312" w:cs="仿宋_GB2312"/>
          <w:sz w:val="32"/>
          <w:szCs w:val="32"/>
        </w:rPr>
      </w:pPr>
      <w:r>
        <w:rPr>
          <w:rFonts w:ascii="仿宋_GB2312" w:eastAsia="仿宋_GB2312" w:cs="仿宋_GB2312"/>
          <w:sz w:val="32"/>
          <w:szCs w:val="32"/>
        </w:rPr>
        <w:t>4．资金分配的原则及考虑因素。</w:t>
      </w:r>
      <w:r>
        <w:rPr>
          <w:rFonts w:hint="eastAsia" w:ascii="仿宋_GB2312" w:eastAsia="仿宋_GB2312" w:cs="仿宋_GB2312"/>
          <w:sz w:val="32"/>
          <w:szCs w:val="32"/>
        </w:rPr>
        <w:t>本着公平竞争、公开透明原则</w:t>
      </w:r>
      <w:r>
        <w:rPr>
          <w:rFonts w:hint="eastAsia" w:ascii="仿宋_GB2312" w:eastAsia="仿宋_GB2312" w:cs="仿宋_GB2312"/>
          <w:sz w:val="32"/>
          <w:szCs w:val="32"/>
          <w:lang w:eastAsia="zh-CN"/>
        </w:rPr>
        <w:t>，</w:t>
      </w:r>
      <w:r>
        <w:rPr>
          <w:rFonts w:hint="eastAsia" w:ascii="仿宋_GB2312" w:eastAsia="仿宋_GB2312" w:cs="仿宋_GB2312"/>
          <w:sz w:val="32"/>
          <w:szCs w:val="32"/>
        </w:rPr>
        <w:t>确保每一分钱发挥最大的用处。</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（二）项目绩效目标。</w:t>
      </w:r>
    </w:p>
    <w:p>
      <w:pPr>
        <w:spacing w:line="360" w:lineRule="auto"/>
        <w:ind w:firstLine="627" w:firstLineChars="196"/>
        <w:rPr>
          <w:rFonts w:hint="eastAsia" w:ascii="Times New Roman" w:hAnsi="Times New Roman" w:eastAsia="仿宋_GB2312"/>
          <w:kern w:val="0"/>
          <w:sz w:val="32"/>
          <w:szCs w:val="32"/>
        </w:rPr>
      </w:pPr>
      <w:r>
        <w:rPr>
          <w:rFonts w:ascii="Times New Roman" w:hAnsi="Times New Roman" w:eastAsia="仿宋_GB2312"/>
          <w:kern w:val="0"/>
          <w:sz w:val="32"/>
          <w:szCs w:val="32"/>
        </w:rPr>
        <w:t>1．项目主要内容。</w:t>
      </w:r>
      <w:r>
        <w:rPr>
          <w:rFonts w:hint="eastAsia" w:ascii="仿宋_GB2312" w:hAnsi="仿宋" w:eastAsia="仿宋_GB2312" w:cs="仿宋"/>
          <w:bCs/>
          <w:color w:val="000000"/>
          <w:kern w:val="0"/>
          <w:sz w:val="32"/>
          <w:szCs w:val="32"/>
          <w:shd w:val="clear" w:color="auto" w:fill="FFFFFF"/>
        </w:rPr>
        <w:t>对全区符合有机认证扶持补助条件的5家</w:t>
      </w:r>
      <w:r>
        <w:rPr>
          <w:rFonts w:ascii="仿宋_GB2312" w:hAnsi="仿宋" w:eastAsia="仿宋_GB2312" w:cs="仿宋"/>
          <w:bCs/>
          <w:color w:val="000000"/>
          <w:kern w:val="0"/>
          <w:sz w:val="32"/>
          <w:szCs w:val="32"/>
          <w:shd w:val="clear" w:color="auto" w:fill="FFFFFF"/>
        </w:rPr>
        <w:t>企业</w:t>
      </w:r>
      <w:r>
        <w:rPr>
          <w:rFonts w:hint="eastAsia" w:ascii="仿宋_GB2312" w:hAnsi="仿宋" w:eastAsia="仿宋_GB2312" w:cs="仿宋"/>
          <w:bCs/>
          <w:color w:val="000000"/>
          <w:kern w:val="0"/>
          <w:sz w:val="32"/>
          <w:szCs w:val="32"/>
          <w:shd w:val="clear" w:color="auto" w:fill="FFFFFF"/>
        </w:rPr>
        <w:t>兑现奖补资金。</w:t>
      </w:r>
    </w:p>
    <w:p>
      <w:pPr>
        <w:spacing w:line="360" w:lineRule="auto"/>
        <w:ind w:firstLine="640" w:firstLineChars="200"/>
        <w:rPr>
          <w:rFonts w:hint="eastAsia" w:ascii="Times New Roman" w:hAnsi="Times New Roman" w:eastAsia="仿宋_GB2312"/>
          <w:kern w:val="0"/>
          <w:sz w:val="32"/>
          <w:szCs w:val="32"/>
        </w:rPr>
      </w:pPr>
      <w:r>
        <w:rPr>
          <w:rFonts w:ascii="Times New Roman" w:hAnsi="Times New Roman" w:eastAsia="仿宋_GB2312"/>
          <w:kern w:val="0"/>
          <w:sz w:val="32"/>
          <w:szCs w:val="32"/>
        </w:rPr>
        <w:t>2．项目应实现的具体绩效目标</w:t>
      </w:r>
      <w:r>
        <w:rPr>
          <w:rFonts w:hint="eastAsia" w:ascii="Times New Roman" w:hAnsi="Times New Roman" w:eastAsia="仿宋_GB2312"/>
          <w:kern w:val="0"/>
          <w:sz w:val="32"/>
          <w:szCs w:val="32"/>
        </w:rPr>
        <w:t>，</w:t>
      </w:r>
      <w:r>
        <w:rPr>
          <w:rFonts w:ascii="Times New Roman" w:hAnsi="Times New Roman" w:eastAsia="仿宋_GB2312"/>
          <w:kern w:val="0"/>
          <w:sz w:val="32"/>
          <w:szCs w:val="32"/>
        </w:rPr>
        <w:t>包括目标的量化、细化情况以及项目实施进度计划等。</w:t>
      </w:r>
      <w:r>
        <w:rPr>
          <w:rFonts w:hint="eastAsia" w:ascii="仿宋_GB2312" w:hAnsi="仿宋" w:eastAsia="仿宋_GB2312" w:cs="仿宋"/>
          <w:bCs/>
          <w:color w:val="000000"/>
          <w:kern w:val="0"/>
          <w:sz w:val="32"/>
          <w:szCs w:val="32"/>
          <w:shd w:val="clear" w:color="auto" w:fill="FFFFFF"/>
        </w:rPr>
        <w:t>推进</w:t>
      </w:r>
      <w:r>
        <w:rPr>
          <w:rFonts w:ascii="仿宋_GB2312" w:hAnsi="仿宋" w:eastAsia="仿宋_GB2312" w:cs="仿宋"/>
          <w:bCs/>
          <w:color w:val="000000"/>
          <w:kern w:val="0"/>
          <w:sz w:val="32"/>
          <w:szCs w:val="32"/>
          <w:shd w:val="clear" w:color="auto" w:fill="FFFFFF"/>
        </w:rPr>
        <w:t>有机产业</w:t>
      </w:r>
      <w:r>
        <w:rPr>
          <w:rFonts w:hint="eastAsia" w:ascii="仿宋_GB2312" w:hAnsi="仿宋" w:eastAsia="仿宋_GB2312" w:cs="仿宋"/>
          <w:bCs/>
          <w:color w:val="000000"/>
          <w:kern w:val="0"/>
          <w:sz w:val="32"/>
          <w:szCs w:val="32"/>
          <w:shd w:val="clear" w:color="auto" w:fill="FFFFFF"/>
        </w:rPr>
        <w:t>健康有序发展，</w:t>
      </w:r>
      <w:r>
        <w:rPr>
          <w:rFonts w:hint="eastAsia" w:ascii="仿宋_GB2312" w:hAnsi="仿宋" w:eastAsia="仿宋_GB2312" w:cs="仿宋"/>
          <w:bCs/>
          <w:color w:val="000000"/>
          <w:kern w:val="0"/>
          <w:sz w:val="32"/>
          <w:szCs w:val="32"/>
          <w:shd w:val="clear" w:color="auto" w:fill="FFFFFF"/>
          <w:lang w:eastAsia="zh-CN"/>
        </w:rPr>
        <w:t>对</w:t>
      </w:r>
      <w:r>
        <w:rPr>
          <w:rFonts w:hint="eastAsia" w:ascii="仿宋_GB2312" w:hAnsi="仿宋" w:eastAsia="仿宋_GB2312" w:cs="仿宋"/>
          <w:bCs/>
          <w:color w:val="000000"/>
          <w:kern w:val="0"/>
          <w:sz w:val="32"/>
          <w:szCs w:val="32"/>
          <w:shd w:val="clear" w:color="auto" w:fill="FFFFFF"/>
        </w:rPr>
        <w:t>全区符合有机认证扶持补助条件的5家</w:t>
      </w:r>
      <w:r>
        <w:rPr>
          <w:rFonts w:ascii="仿宋_GB2312" w:hAnsi="仿宋" w:eastAsia="仿宋_GB2312" w:cs="仿宋"/>
          <w:bCs/>
          <w:color w:val="000000"/>
          <w:kern w:val="0"/>
          <w:sz w:val="32"/>
          <w:szCs w:val="32"/>
          <w:shd w:val="clear" w:color="auto" w:fill="FFFFFF"/>
        </w:rPr>
        <w:t>企业</w:t>
      </w:r>
      <w:r>
        <w:rPr>
          <w:rFonts w:hint="eastAsia" w:ascii="仿宋_GB2312" w:hAnsi="仿宋" w:eastAsia="仿宋_GB2312" w:cs="仿宋"/>
          <w:bCs/>
          <w:color w:val="000000"/>
          <w:kern w:val="0"/>
          <w:sz w:val="32"/>
          <w:szCs w:val="32"/>
          <w:shd w:val="clear" w:color="auto" w:fill="FFFFFF"/>
        </w:rPr>
        <w:t>进行了核查</w:t>
      </w:r>
      <w:r>
        <w:rPr>
          <w:rFonts w:hint="eastAsia" w:ascii="仿宋_GB2312" w:hAnsi="仿宋" w:eastAsia="仿宋_GB2312" w:cs="仿宋"/>
          <w:bCs/>
          <w:color w:val="000000"/>
          <w:kern w:val="0"/>
          <w:sz w:val="32"/>
          <w:szCs w:val="32"/>
          <w:shd w:val="clear" w:color="auto" w:fill="FFFFFF"/>
          <w:lang w:eastAsia="zh-CN"/>
        </w:rPr>
        <w:t>，</w:t>
      </w:r>
      <w:r>
        <w:rPr>
          <w:rFonts w:hint="eastAsia" w:ascii="Times New Roman" w:hAnsi="Times New Roman" w:eastAsia="仿宋_GB2312"/>
          <w:kern w:val="0"/>
          <w:sz w:val="32"/>
          <w:szCs w:val="32"/>
        </w:rPr>
        <w:t>最大化地实现了有机认证补助专项资金的绩效目标。</w:t>
      </w:r>
    </w:p>
    <w:p>
      <w:pPr>
        <w:spacing w:line="360" w:lineRule="auto"/>
        <w:ind w:firstLine="640" w:firstLineChars="200"/>
        <w:rPr>
          <w:rFonts w:hint="eastAsia" w:ascii="仿宋_GB2312" w:eastAsia="仿宋_GB2312"/>
          <w:sz w:val="28"/>
          <w:szCs w:val="28"/>
        </w:rPr>
      </w:pPr>
      <w:r>
        <w:rPr>
          <w:rFonts w:ascii="Times New Roman" w:hAnsi="Times New Roman" w:eastAsia="仿宋_GB2312"/>
          <w:kern w:val="0"/>
          <w:sz w:val="32"/>
          <w:szCs w:val="32"/>
        </w:rPr>
        <w:t>3．评价申报内容是否与实际相符，申报目标是否合理可行。</w:t>
      </w:r>
      <w:r>
        <w:rPr>
          <w:rFonts w:hint="eastAsia" w:ascii="Times New Roman" w:hAnsi="Times New Roman" w:eastAsia="仿宋_GB2312"/>
          <w:kern w:val="0"/>
          <w:sz w:val="32"/>
          <w:szCs w:val="32"/>
        </w:rPr>
        <w:t>申报内容与实际完全相符，申报目标合理可行。</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黑体"/>
          <w:kern w:val="0"/>
          <w:sz w:val="32"/>
          <w:szCs w:val="32"/>
        </w:rPr>
        <w:t>二、项目资金申报及使用情况</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（一）项目资金申报及批复情况。</w:t>
      </w:r>
    </w:p>
    <w:p>
      <w:pPr>
        <w:autoSpaceDE w:val="0"/>
        <w:autoSpaceDN w:val="0"/>
        <w:adjustRightIn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说明项目资金申报、批复及预算调整等程序的相关情况。</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（二）资金计划、到位及使用情况。</w:t>
      </w:r>
    </w:p>
    <w:p>
      <w:pPr>
        <w:autoSpaceDE w:val="0"/>
        <w:autoSpaceDN w:val="0"/>
        <w:adjustRightInd w:val="0"/>
        <w:spacing w:line="360" w:lineRule="auto"/>
        <w:ind w:firstLine="640" w:firstLineChars="200"/>
        <w:jc w:val="left"/>
        <w:rPr>
          <w:rFonts w:hint="eastAsia" w:ascii="Times New Roman" w:hAnsi="Times New Roman" w:eastAsia="仿宋_GB2312"/>
          <w:kern w:val="0"/>
          <w:sz w:val="32"/>
          <w:szCs w:val="32"/>
        </w:rPr>
      </w:pPr>
      <w:r>
        <w:rPr>
          <w:rFonts w:ascii="Times New Roman" w:hAnsi="Times New Roman" w:eastAsia="仿宋_GB2312"/>
          <w:kern w:val="0"/>
          <w:sz w:val="32"/>
          <w:szCs w:val="32"/>
        </w:rPr>
        <w:t>1．资金计划。</w:t>
      </w:r>
    </w:p>
    <w:p>
      <w:pPr>
        <w:autoSpaceDE w:val="0"/>
        <w:autoSpaceDN w:val="0"/>
        <w:adjustRightInd w:val="0"/>
        <w:spacing w:line="360" w:lineRule="auto"/>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区财政全额划拨。</w:t>
      </w:r>
    </w:p>
    <w:p>
      <w:pPr>
        <w:autoSpaceDE w:val="0"/>
        <w:autoSpaceDN w:val="0"/>
        <w:adjustRightIn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2．资金到位。</w:t>
      </w:r>
    </w:p>
    <w:p>
      <w:pPr>
        <w:autoSpaceDE w:val="0"/>
        <w:autoSpaceDN w:val="0"/>
        <w:adjustRightInd w:val="0"/>
        <w:spacing w:line="360" w:lineRule="auto"/>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仁和区财政审核通过后上到我们单位平台</w:t>
      </w:r>
      <w:r>
        <w:rPr>
          <w:rFonts w:hint="eastAsia" w:ascii="Times New Roman" w:hAnsi="Times New Roman" w:eastAsia="仿宋_GB2312"/>
          <w:kern w:val="0"/>
          <w:sz w:val="32"/>
          <w:szCs w:val="32"/>
          <w:lang w:eastAsia="zh-CN"/>
        </w:rPr>
        <w:t>再使用</w:t>
      </w:r>
      <w:r>
        <w:rPr>
          <w:rFonts w:hint="eastAsia" w:ascii="Times New Roman" w:hAnsi="Times New Roman" w:eastAsia="仿宋_GB2312"/>
          <w:kern w:val="0"/>
          <w:sz w:val="32"/>
          <w:szCs w:val="32"/>
        </w:rPr>
        <w:t>。</w:t>
      </w:r>
    </w:p>
    <w:p>
      <w:pPr>
        <w:autoSpaceDE w:val="0"/>
        <w:autoSpaceDN w:val="0"/>
        <w:adjustRightIn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3．资金使用。</w:t>
      </w:r>
    </w:p>
    <w:p>
      <w:pPr>
        <w:autoSpaceDE w:val="0"/>
        <w:autoSpaceDN w:val="0"/>
        <w:adjustRightInd w:val="0"/>
        <w:spacing w:line="360" w:lineRule="auto"/>
        <w:ind w:firstLine="640" w:firstLineChars="200"/>
        <w:jc w:val="left"/>
        <w:rPr>
          <w:rFonts w:hint="eastAsia" w:ascii="Times New Roman" w:hAnsi="Times New Roman" w:eastAsia="仿宋_GB2312"/>
          <w:kern w:val="0"/>
          <w:sz w:val="32"/>
          <w:szCs w:val="32"/>
        </w:rPr>
      </w:pPr>
      <w:r>
        <w:rPr>
          <w:rFonts w:ascii="Times New Roman" w:hAnsi="Times New Roman" w:eastAsia="仿宋_GB2312"/>
          <w:kern w:val="0"/>
          <w:sz w:val="32"/>
          <w:szCs w:val="32"/>
        </w:rPr>
        <w:t>资金</w:t>
      </w:r>
      <w:r>
        <w:rPr>
          <w:rFonts w:hint="eastAsia" w:ascii="Times New Roman" w:hAnsi="Times New Roman" w:eastAsia="仿宋_GB2312"/>
          <w:kern w:val="0"/>
          <w:sz w:val="32"/>
          <w:szCs w:val="32"/>
          <w:lang w:eastAsia="zh-CN"/>
        </w:rPr>
        <w:t>共</w:t>
      </w:r>
      <w:r>
        <w:rPr>
          <w:rFonts w:ascii="Times New Roman" w:hAnsi="Times New Roman" w:eastAsia="仿宋_GB2312"/>
          <w:kern w:val="0"/>
          <w:sz w:val="32"/>
          <w:szCs w:val="32"/>
        </w:rPr>
        <w:t>支付15</w:t>
      </w:r>
      <w:r>
        <w:rPr>
          <w:rFonts w:hint="eastAsia" w:ascii="Times New Roman" w:hAnsi="Times New Roman" w:eastAsia="仿宋_GB2312"/>
          <w:kern w:val="0"/>
          <w:sz w:val="32"/>
          <w:szCs w:val="32"/>
        </w:rPr>
        <w:t>万元，做到</w:t>
      </w:r>
      <w:r>
        <w:rPr>
          <w:rFonts w:hint="eastAsia" w:ascii="Times New Roman" w:hAnsi="Times New Roman" w:eastAsia="仿宋_GB2312"/>
          <w:kern w:val="0"/>
          <w:sz w:val="32"/>
          <w:szCs w:val="32"/>
          <w:lang w:eastAsia="zh-CN"/>
        </w:rPr>
        <w:t>专款专用、</w:t>
      </w:r>
      <w:r>
        <w:rPr>
          <w:rFonts w:ascii="Times New Roman" w:hAnsi="Times New Roman" w:eastAsia="仿宋_GB2312"/>
          <w:kern w:val="0"/>
          <w:sz w:val="32"/>
          <w:szCs w:val="32"/>
        </w:rPr>
        <w:t>合规合法、与预算</w:t>
      </w:r>
      <w:r>
        <w:rPr>
          <w:rFonts w:hint="eastAsia" w:ascii="Times New Roman" w:hAnsi="Times New Roman" w:eastAsia="仿宋_GB2312"/>
          <w:kern w:val="0"/>
          <w:sz w:val="32"/>
          <w:szCs w:val="32"/>
          <w:lang w:eastAsia="zh-CN"/>
        </w:rPr>
        <w:t>完全</w:t>
      </w:r>
      <w:r>
        <w:rPr>
          <w:rFonts w:ascii="Times New Roman" w:hAnsi="Times New Roman" w:eastAsia="仿宋_GB2312"/>
          <w:kern w:val="0"/>
          <w:sz w:val="32"/>
          <w:szCs w:val="32"/>
        </w:rPr>
        <w:t>相符</w:t>
      </w:r>
      <w:r>
        <w:rPr>
          <w:rFonts w:hint="eastAsia" w:ascii="Times New Roman" w:hAnsi="Times New Roman" w:eastAsia="仿宋_GB2312"/>
          <w:kern w:val="0"/>
          <w:sz w:val="32"/>
          <w:szCs w:val="32"/>
        </w:rPr>
        <w:t>。</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（三）项目财务管理情况。</w:t>
      </w:r>
    </w:p>
    <w:p>
      <w:pPr>
        <w:autoSpaceDE w:val="0"/>
        <w:autoSpaceDN w:val="0"/>
        <w:adjustRightIn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单位财务管理制度健全，账务处理及时，会计核算规范。</w:t>
      </w:r>
    </w:p>
    <w:p>
      <w:pPr>
        <w:autoSpaceDE w:val="0"/>
        <w:autoSpaceDN w:val="0"/>
        <w:adjustRightInd w:val="0"/>
        <w:spacing w:line="360" w:lineRule="auto"/>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三、项目实施及管理情况</w:t>
      </w:r>
    </w:p>
    <w:p>
      <w:pPr>
        <w:autoSpaceDE w:val="0"/>
        <w:autoSpaceDN w:val="0"/>
        <w:adjustRightIn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结合项目组织实施管理办法，重点围绕以下内容进行分析评价，并对自评中发现的问题分析说明。</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（一）项目组织架构及实施流程。</w:t>
      </w:r>
    </w:p>
    <w:p>
      <w:pPr>
        <w:autoSpaceDE w:val="0"/>
        <w:autoSpaceDN w:val="0"/>
        <w:adjustRightInd w:val="0"/>
        <w:spacing w:line="360" w:lineRule="auto"/>
        <w:ind w:firstLine="640" w:firstLineChars="200"/>
        <w:jc w:val="left"/>
        <w:rPr>
          <w:rFonts w:hint="eastAsia" w:ascii="Times New Roman" w:hAnsi="Times New Roman" w:eastAsia="仿宋_GB2312"/>
          <w:kern w:val="0"/>
          <w:sz w:val="32"/>
          <w:szCs w:val="32"/>
        </w:rPr>
      </w:pPr>
      <w:r>
        <w:rPr>
          <w:rFonts w:ascii="Times New Roman" w:hAnsi="Times New Roman" w:eastAsia="楷体_GB2312"/>
          <w:kern w:val="0"/>
          <w:sz w:val="32"/>
          <w:szCs w:val="32"/>
        </w:rPr>
        <w:t>（二）项目管理情况。</w:t>
      </w:r>
      <w:r>
        <w:rPr>
          <w:rFonts w:hint="eastAsia" w:ascii="Times New Roman" w:hAnsi="Times New Roman" w:eastAsia="楷体_GB2312"/>
          <w:kern w:val="0"/>
          <w:sz w:val="32"/>
          <w:szCs w:val="32"/>
        </w:rPr>
        <w:t>区财政全额划拨。</w:t>
      </w:r>
    </w:p>
    <w:p>
      <w:pPr>
        <w:autoSpaceDE w:val="0"/>
        <w:autoSpaceDN w:val="0"/>
        <w:adjustRightInd w:val="0"/>
        <w:spacing w:line="360" w:lineRule="auto"/>
        <w:ind w:firstLine="640" w:firstLineChars="200"/>
        <w:jc w:val="left"/>
        <w:rPr>
          <w:rFonts w:hint="eastAsia" w:ascii="Times New Roman" w:hAnsi="Times New Roman" w:eastAsia="楷体_GB2312"/>
          <w:kern w:val="0"/>
          <w:sz w:val="32"/>
          <w:szCs w:val="32"/>
        </w:rPr>
      </w:pPr>
      <w:r>
        <w:rPr>
          <w:rFonts w:ascii="Times New Roman" w:hAnsi="Times New Roman" w:eastAsia="楷体_GB2312"/>
          <w:kern w:val="0"/>
          <w:sz w:val="32"/>
          <w:szCs w:val="32"/>
        </w:rPr>
        <w:t>（三）项目监管情况。</w:t>
      </w:r>
    </w:p>
    <w:p>
      <w:pPr>
        <w:autoSpaceDE w:val="0"/>
        <w:autoSpaceDN w:val="0"/>
        <w:adjustRightInd w:val="0"/>
        <w:spacing w:line="360" w:lineRule="auto"/>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项目主管部门为加强项目管理所采取的监管手段、监管程序、监管工作开展情况及实现的效果。</w:t>
      </w:r>
    </w:p>
    <w:p>
      <w:pPr>
        <w:autoSpaceDE w:val="0"/>
        <w:autoSpaceDN w:val="0"/>
        <w:adjustRightInd w:val="0"/>
        <w:spacing w:line="360" w:lineRule="auto"/>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四、项目绩效情况</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（一）项目完成情况。</w:t>
      </w:r>
    </w:p>
    <w:p>
      <w:pPr>
        <w:spacing w:line="360" w:lineRule="auto"/>
        <w:ind w:firstLine="640" w:firstLineChars="200"/>
        <w:rPr>
          <w:rFonts w:hint="eastAsia" w:ascii="仿宋_GB2312" w:eastAsia="仿宋_GB2312" w:cs="仿宋_GB2312"/>
          <w:sz w:val="32"/>
          <w:szCs w:val="32"/>
        </w:rPr>
      </w:pPr>
      <w:r>
        <w:rPr>
          <w:rFonts w:hint="eastAsia" w:ascii="仿宋_GB2312" w:hAnsi="仿宋" w:eastAsia="仿宋_GB2312" w:cs="仿宋"/>
          <w:bCs/>
          <w:color w:val="000000"/>
          <w:kern w:val="0"/>
          <w:sz w:val="32"/>
          <w:szCs w:val="32"/>
          <w:shd w:val="clear" w:color="auto" w:fill="FFFFFF"/>
        </w:rPr>
        <w:t>区有机办组织相关部门对全区符合有机认证扶持补助条件的5家</w:t>
      </w:r>
      <w:r>
        <w:rPr>
          <w:rFonts w:ascii="仿宋_GB2312" w:hAnsi="仿宋" w:eastAsia="仿宋_GB2312" w:cs="仿宋"/>
          <w:bCs/>
          <w:color w:val="000000"/>
          <w:kern w:val="0"/>
          <w:sz w:val="32"/>
          <w:szCs w:val="32"/>
          <w:shd w:val="clear" w:color="auto" w:fill="FFFFFF"/>
        </w:rPr>
        <w:t>企业</w:t>
      </w:r>
      <w:r>
        <w:rPr>
          <w:rFonts w:hint="eastAsia" w:ascii="仿宋_GB2312" w:hAnsi="仿宋" w:eastAsia="仿宋_GB2312" w:cs="仿宋"/>
          <w:bCs/>
          <w:color w:val="000000"/>
          <w:kern w:val="0"/>
          <w:sz w:val="32"/>
          <w:szCs w:val="32"/>
          <w:shd w:val="clear" w:color="auto" w:fill="FFFFFF"/>
        </w:rPr>
        <w:t>进行了核查。扶持资金包括获得有机产品认证证书奖补资金1</w:t>
      </w:r>
      <w:r>
        <w:rPr>
          <w:rFonts w:ascii="仿宋_GB2312" w:hAnsi="仿宋" w:eastAsia="仿宋_GB2312" w:cs="仿宋"/>
          <w:bCs/>
          <w:color w:val="000000"/>
          <w:kern w:val="0"/>
          <w:sz w:val="32"/>
          <w:szCs w:val="32"/>
          <w:shd w:val="clear" w:color="auto" w:fill="FFFFFF"/>
        </w:rPr>
        <w:t>0万元，转换期补助</w:t>
      </w:r>
      <w:r>
        <w:rPr>
          <w:rFonts w:hint="eastAsia" w:ascii="仿宋_GB2312" w:hAnsi="仿宋" w:eastAsia="仿宋_GB2312" w:cs="仿宋"/>
          <w:bCs/>
          <w:color w:val="000000"/>
          <w:kern w:val="0"/>
          <w:sz w:val="32"/>
          <w:szCs w:val="32"/>
          <w:shd w:val="clear" w:color="auto" w:fill="FFFFFF"/>
        </w:rPr>
        <w:t>5万元，合计1</w:t>
      </w:r>
      <w:r>
        <w:rPr>
          <w:rFonts w:ascii="仿宋_GB2312" w:hAnsi="仿宋" w:eastAsia="仿宋_GB2312" w:cs="仿宋"/>
          <w:bCs/>
          <w:color w:val="000000"/>
          <w:kern w:val="0"/>
          <w:sz w:val="32"/>
          <w:szCs w:val="32"/>
          <w:shd w:val="clear" w:color="auto" w:fill="FFFFFF"/>
        </w:rPr>
        <w:t>5万元，相关扶持资金已经全部兑现</w:t>
      </w:r>
      <w:r>
        <w:rPr>
          <w:rFonts w:hint="eastAsia" w:ascii="仿宋_GB2312" w:hAnsi="仿宋" w:eastAsia="仿宋_GB2312" w:cs="仿宋"/>
          <w:bCs/>
          <w:color w:val="000000"/>
          <w:kern w:val="0"/>
          <w:sz w:val="32"/>
          <w:szCs w:val="32"/>
          <w:shd w:val="clear" w:color="auto" w:fill="FFFFFF"/>
        </w:rPr>
        <w:t>到位</w:t>
      </w:r>
      <w:r>
        <w:rPr>
          <w:rFonts w:ascii="仿宋_GB2312" w:hAnsi="仿宋" w:eastAsia="仿宋_GB2312" w:cs="仿宋"/>
          <w:bCs/>
          <w:color w:val="000000"/>
          <w:kern w:val="0"/>
          <w:sz w:val="32"/>
          <w:szCs w:val="32"/>
          <w:shd w:val="clear" w:color="auto" w:fill="FFFFFF"/>
        </w:rPr>
        <w:t>。</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（二）项目效益情况。</w:t>
      </w:r>
    </w:p>
    <w:p>
      <w:pPr>
        <w:tabs>
          <w:tab w:val="left" w:pos="6425"/>
        </w:tabs>
        <w:spacing w:line="360" w:lineRule="auto"/>
        <w:ind w:firstLine="640" w:firstLineChars="200"/>
        <w:outlineLvl w:val="0"/>
        <w:rPr>
          <w:rFonts w:hint="eastAsia" w:ascii="Times New Roman" w:hAnsi="Times New Roman" w:eastAsia="仿宋_GB2312" w:cs="Times New Roman"/>
          <w:kern w:val="0"/>
          <w:sz w:val="32"/>
          <w:szCs w:val="32"/>
        </w:rPr>
      </w:pPr>
      <w:r>
        <w:rPr>
          <w:rFonts w:ascii="Times New Roman" w:hAnsi="Times New Roman" w:eastAsia="仿宋_GB2312"/>
          <w:kern w:val="0"/>
          <w:sz w:val="32"/>
          <w:szCs w:val="32"/>
        </w:rPr>
        <w:t>从项目经济效益、社会效益、生态效益、可持续效益以及服务对象满意度等方面对项目效益进行全面分析评价。</w:t>
      </w:r>
      <w:r>
        <w:rPr>
          <w:rFonts w:hint="eastAsia" w:ascii="Times New Roman" w:hAnsi="Times New Roman" w:eastAsia="仿宋_GB2312" w:cs="Times New Roman"/>
          <w:kern w:val="0"/>
          <w:sz w:val="32"/>
          <w:szCs w:val="32"/>
        </w:rPr>
        <w:t>一是有机认证产品质量水平逐步提高；二是让更多人民群众对有机认证产品知识有所认识。</w:t>
      </w:r>
      <w:r>
        <w:rPr>
          <w:rFonts w:hint="eastAsia" w:ascii="Times New Roman" w:hAnsi="Times New Roman" w:eastAsia="仿宋_GB2312" w:cs="Times New Roman"/>
          <w:kern w:val="0"/>
          <w:sz w:val="32"/>
          <w:szCs w:val="32"/>
          <w:lang w:eastAsia="zh-CN"/>
        </w:rPr>
        <w:t>三是</w:t>
      </w:r>
      <w:r>
        <w:rPr>
          <w:rFonts w:hint="eastAsia" w:ascii="Times New Roman" w:hAnsi="Times New Roman" w:eastAsia="仿宋_GB2312" w:cs="Times New Roman"/>
          <w:kern w:val="0"/>
          <w:sz w:val="32"/>
          <w:szCs w:val="32"/>
        </w:rPr>
        <w:t>公众对有机认证产品整体满意度大于85%。</w:t>
      </w:r>
    </w:p>
    <w:p>
      <w:pPr>
        <w:autoSpaceDE w:val="0"/>
        <w:autoSpaceDN w:val="0"/>
        <w:adjustRightInd w:val="0"/>
        <w:spacing w:line="360" w:lineRule="auto"/>
        <w:ind w:firstLine="640" w:firstLineChars="200"/>
        <w:jc w:val="left"/>
        <w:rPr>
          <w:rFonts w:ascii="Times New Roman" w:hAnsi="Times New Roman" w:eastAsia="黑体"/>
          <w:kern w:val="0"/>
          <w:sz w:val="32"/>
          <w:szCs w:val="32"/>
        </w:rPr>
      </w:pPr>
      <w:r>
        <w:rPr>
          <w:rFonts w:ascii="Times New Roman" w:hAnsi="Times New Roman" w:eastAsia="黑体"/>
          <w:kern w:val="0"/>
          <w:sz w:val="32"/>
          <w:szCs w:val="32"/>
        </w:rPr>
        <w:t>五、评价结论及建议</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（一）评价结论。</w:t>
      </w:r>
    </w:p>
    <w:p>
      <w:pPr>
        <w:spacing w:line="360" w:lineRule="auto"/>
        <w:ind w:firstLine="64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202</w:t>
      </w:r>
      <w:r>
        <w:rPr>
          <w:rFonts w:ascii="Times New Roman" w:hAnsi="Times New Roman" w:eastAsia="仿宋_GB2312"/>
          <w:kern w:val="0"/>
          <w:sz w:val="32"/>
          <w:szCs w:val="32"/>
        </w:rPr>
        <w:t>2</w:t>
      </w:r>
      <w:r>
        <w:rPr>
          <w:rFonts w:hint="eastAsia" w:ascii="Times New Roman" w:hAnsi="Times New Roman" w:eastAsia="仿宋_GB2312"/>
          <w:kern w:val="0"/>
          <w:sz w:val="32"/>
          <w:szCs w:val="32"/>
        </w:rPr>
        <w:t>年仁和区市场监管局通过</w:t>
      </w:r>
      <w:r>
        <w:rPr>
          <w:rFonts w:hint="eastAsia" w:ascii="Times New Roman" w:hAnsi="Times New Roman" w:eastAsia="仿宋_GB2312"/>
          <w:kern w:val="0"/>
          <w:sz w:val="32"/>
          <w:szCs w:val="32"/>
          <w:lang w:eastAsia="zh-CN"/>
        </w:rPr>
        <w:t>对有机产业的补助</w:t>
      </w:r>
      <w:r>
        <w:rPr>
          <w:rFonts w:hint="eastAsia" w:ascii="Times New Roman" w:hAnsi="Times New Roman" w:eastAsia="仿宋_GB2312"/>
          <w:kern w:val="0"/>
          <w:sz w:val="32"/>
          <w:szCs w:val="32"/>
        </w:rPr>
        <w:t>，保障了全区有机认证产品安全，充分履行了行政职责。有机产业规模扩大，最大化地实现了有机认证产品补助专项资金的绩效目标，</w:t>
      </w:r>
      <w:r>
        <w:rPr>
          <w:rFonts w:hint="eastAsia" w:ascii="Times New Roman" w:hAnsi="Times New Roman" w:eastAsia="仿宋_GB2312"/>
          <w:kern w:val="0"/>
          <w:sz w:val="32"/>
          <w:szCs w:val="32"/>
          <w:lang w:eastAsia="zh-CN"/>
        </w:rPr>
        <w:t>并</w:t>
      </w:r>
      <w:r>
        <w:rPr>
          <w:rFonts w:hint="eastAsia" w:ascii="Times New Roman" w:hAnsi="Times New Roman" w:eastAsia="仿宋_GB2312"/>
          <w:kern w:val="0"/>
          <w:sz w:val="32"/>
          <w:szCs w:val="32"/>
        </w:rPr>
        <w:t>加快了推进</w:t>
      </w:r>
      <w:r>
        <w:rPr>
          <w:rFonts w:hint="eastAsia" w:ascii="Times New Roman" w:hAnsi="Times New Roman" w:eastAsia="仿宋_GB2312"/>
          <w:kern w:val="0"/>
          <w:sz w:val="32"/>
          <w:szCs w:val="32"/>
          <w:lang w:eastAsia="zh-CN"/>
        </w:rPr>
        <w:t>了</w:t>
      </w:r>
      <w:r>
        <w:rPr>
          <w:rFonts w:hint="eastAsia" w:ascii="Times New Roman" w:hAnsi="Times New Roman" w:eastAsia="仿宋_GB2312"/>
          <w:kern w:val="0"/>
          <w:sz w:val="32"/>
          <w:szCs w:val="32"/>
        </w:rPr>
        <w:t>我区有机产业发展。</w:t>
      </w:r>
    </w:p>
    <w:p>
      <w:pPr>
        <w:autoSpaceDE w:val="0"/>
        <w:autoSpaceDN w:val="0"/>
        <w:adjustRightInd w:val="0"/>
        <w:spacing w:line="360" w:lineRule="auto"/>
        <w:ind w:firstLine="640" w:firstLineChars="200"/>
        <w:jc w:val="left"/>
        <w:rPr>
          <w:rFonts w:ascii="Times New Roman" w:hAnsi="Times New Roman" w:eastAsia="楷体_GB2312"/>
          <w:kern w:val="0"/>
          <w:sz w:val="32"/>
          <w:szCs w:val="32"/>
        </w:rPr>
      </w:pPr>
      <w:r>
        <w:rPr>
          <w:rFonts w:ascii="Times New Roman" w:hAnsi="Times New Roman" w:eastAsia="楷体_GB2312"/>
          <w:kern w:val="0"/>
          <w:sz w:val="32"/>
          <w:szCs w:val="32"/>
        </w:rPr>
        <w:t>（二）存在的问题。</w:t>
      </w:r>
    </w:p>
    <w:p>
      <w:pPr>
        <w:adjustRightInd w:val="0"/>
        <w:snapToGrid w:val="0"/>
        <w:spacing w:line="360" w:lineRule="auto"/>
        <w:ind w:firstLine="72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一是进一步理清职能职责，强化工作绩效管理，在强化市场监管保障有机产品安全，促进经济社会发展上下功夫，努力实现专项资金的使用效益最大化。二是积极完善内控管理，严格执行财经制度和财经纪律，管好用好专项资金。</w:t>
      </w:r>
    </w:p>
    <w:p>
      <w:pPr>
        <w:autoSpaceDE w:val="0"/>
        <w:autoSpaceDN w:val="0"/>
        <w:adjustRightInd w:val="0"/>
        <w:spacing w:line="360" w:lineRule="auto"/>
        <w:ind w:firstLine="640" w:firstLineChars="200"/>
        <w:jc w:val="left"/>
        <w:rPr>
          <w:rFonts w:hint="eastAsia" w:ascii="Times New Roman" w:hAnsi="Times New Roman" w:eastAsia="楷体_GB2312"/>
          <w:kern w:val="0"/>
          <w:sz w:val="32"/>
          <w:szCs w:val="32"/>
        </w:rPr>
      </w:pPr>
      <w:r>
        <w:rPr>
          <w:rFonts w:ascii="Times New Roman" w:hAnsi="Times New Roman" w:eastAsia="楷体_GB2312"/>
          <w:kern w:val="0"/>
          <w:sz w:val="32"/>
          <w:szCs w:val="32"/>
        </w:rPr>
        <w:t>（三）相关建议。</w:t>
      </w:r>
      <w:r>
        <w:rPr>
          <w:rFonts w:hint="eastAsia" w:ascii="Times New Roman" w:hAnsi="Times New Roman" w:eastAsia="楷体_GB2312"/>
          <w:kern w:val="0"/>
          <w:sz w:val="32"/>
          <w:szCs w:val="32"/>
        </w:rPr>
        <w:t>无。</w:t>
      </w: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pStyle w:val="13"/>
        <w:spacing w:beforeLines="0" w:afterLines="0"/>
        <w:rPr>
          <w:rFonts w:hint="eastAsia" w:ascii="仿宋_GB2312" w:hAnsi="仿宋_GB2312" w:eastAsia="仿宋_GB2312"/>
          <w:color w:val="auto"/>
          <w:sz w:val="32"/>
          <w:szCs w:val="24"/>
          <w:lang w:val="zh-CN"/>
        </w:rPr>
      </w:pPr>
    </w:p>
    <w:p>
      <w:pPr>
        <w:numPr>
          <w:ilvl w:val="0"/>
          <w:numId w:val="3"/>
        </w:numPr>
        <w:spacing w:beforeLines="0" w:afterLines="0" w:line="600" w:lineRule="exact"/>
        <w:jc w:val="center"/>
        <w:rPr>
          <w:rFonts w:hint="eastAsia" w:ascii="仿宋" w:hAnsi="仿宋" w:eastAsia="仿宋"/>
          <w:b/>
          <w:color w:val="auto"/>
          <w:kern w:val="2"/>
          <w:sz w:val="32"/>
          <w:szCs w:val="24"/>
          <w:lang w:val="en-US"/>
        </w:rPr>
      </w:pPr>
      <w:r>
        <w:rPr>
          <w:rFonts w:hint="eastAsia" w:ascii="黑体" w:hAnsi="黑体" w:eastAsia="黑体"/>
          <w:color w:val="auto"/>
          <w:kern w:val="44"/>
          <w:sz w:val="44"/>
          <w:szCs w:val="24"/>
          <w:lang w:val="en-US"/>
        </w:rPr>
        <w:t>附表</w:t>
      </w:r>
    </w:p>
    <w:p>
      <w:pPr>
        <w:numPr>
          <w:ilvl w:val="0"/>
          <w:numId w:val="4"/>
        </w:numPr>
        <w:spacing w:beforeLines="0" w:afterLines="0" w:line="60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收入支出决算总表</w:t>
      </w:r>
    </w:p>
    <w:p>
      <w:pPr>
        <w:numPr>
          <w:ilvl w:val="0"/>
          <w:numId w:val="0"/>
        </w:numPr>
        <w:spacing w:beforeLines="0" w:afterLines="0" w:line="600" w:lineRule="exact"/>
        <w:jc w:val="both"/>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二、收入决算表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三、支出决算表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四、财政拨款收入支出决算总表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五、财政拨款支出决算明细表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六、一般公共预算财政拨款支出决算表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七、一般公共预算财政拨款支出决算明细表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八、一般公共预算财政拨款基本支出决算表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九、一般公共预算财政拨款项目支出决算表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十、政府性基金预算财政拨款收入支出决算表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十一、国有资本经营预算财政拨款收入支出决算表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十二、国有资本经营预算财政拨款支出决算表</w:t>
      </w:r>
    </w:p>
    <w:p>
      <w:pPr>
        <w:numPr>
          <w:ilvl w:val="0"/>
          <w:numId w:val="0"/>
        </w:numPr>
        <w:spacing w:beforeLines="0" w:afterLines="0" w:line="600" w:lineRule="exact"/>
        <w:jc w:val="both"/>
        <w:rPr>
          <w:rFonts w:hint="eastAsia" w:ascii="仿宋" w:hAnsi="仿宋" w:eastAsia="仿宋" w:cs="Times New Roman"/>
          <w:color w:val="auto"/>
          <w:kern w:val="2"/>
          <w:sz w:val="32"/>
          <w:szCs w:val="24"/>
          <w:lang w:val="en-US"/>
        </w:rPr>
      </w:pPr>
      <w:r>
        <w:rPr>
          <w:rFonts w:hint="eastAsia" w:ascii="仿宋" w:hAnsi="仿宋" w:eastAsia="仿宋" w:cs="Times New Roman"/>
          <w:color w:val="auto"/>
          <w:kern w:val="2"/>
          <w:sz w:val="32"/>
          <w:szCs w:val="24"/>
          <w:lang w:val="en-US"/>
        </w:rPr>
        <w:t>十三、财政拨款“三公”经费支出决算表</w:t>
      </w:r>
    </w:p>
    <w:sectPr>
      <w:footerReference r:id="rId4" w:type="default"/>
      <w:pgSz w:w="12240" w:h="15840"/>
      <w:pgMar w:top="1440" w:right="1800" w:bottom="1440" w:left="1800"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80226"/>
    <w:multiLevelType w:val="singleLevel"/>
    <w:tmpl w:val="97380226"/>
    <w:lvl w:ilvl="0" w:tentative="0">
      <w:start w:val="4"/>
      <w:numFmt w:val="chineseCounting"/>
      <w:suff w:val="space"/>
      <w:lvlText w:val="第%1部分"/>
      <w:lvlJc w:val="left"/>
      <w:rPr>
        <w:rFonts w:hint="eastAsia"/>
      </w:rPr>
    </w:lvl>
  </w:abstractNum>
  <w:abstractNum w:abstractNumId="1">
    <w:nsid w:val="BF62C75E"/>
    <w:multiLevelType w:val="multilevel"/>
    <w:tmpl w:val="BF62C75E"/>
    <w:lvl w:ilvl="0" w:tentative="0">
      <w:start w:val="5"/>
      <w:numFmt w:val="chineseCounting"/>
      <w:suff w:val="space"/>
      <w:lvlText w:val="第%1部分"/>
      <w:lvlJc w:val="left"/>
      <w:rPr>
        <w:rFonts w:hint="eastAsia" w:ascii="黑体" w:hAnsi="黑体" w:eastAsia="黑体" w:cs="黑体"/>
        <w:sz w:val="44"/>
        <w:szCs w:val="44"/>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2">
    <w:nsid w:val="6C87E34F"/>
    <w:multiLevelType w:val="multilevel"/>
    <w:tmpl w:val="6C87E34F"/>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3">
    <w:nsid w:val="79A3F2A0"/>
    <w:multiLevelType w:val="multilevel"/>
    <w:tmpl w:val="79A3F2A0"/>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ZDYzOTdlNjM5NmQ2M2YxMjYwZmI3ZTg2Yjk4ZGQifQ=="/>
  </w:docVars>
  <w:rsids>
    <w:rsidRoot w:val="00172A27"/>
    <w:rsid w:val="00BF280C"/>
    <w:rsid w:val="043C5FBB"/>
    <w:rsid w:val="048B04DD"/>
    <w:rsid w:val="07C16671"/>
    <w:rsid w:val="117836EB"/>
    <w:rsid w:val="19C96A6D"/>
    <w:rsid w:val="2097213A"/>
    <w:rsid w:val="27320042"/>
    <w:rsid w:val="27794A42"/>
    <w:rsid w:val="348A1792"/>
    <w:rsid w:val="37983E80"/>
    <w:rsid w:val="39386D6D"/>
    <w:rsid w:val="39766145"/>
    <w:rsid w:val="54A7663E"/>
    <w:rsid w:val="68394457"/>
    <w:rsid w:val="68751CE8"/>
    <w:rsid w:val="777276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spacing w:beforeLines="0" w:afterLines="0"/>
    </w:pPr>
    <w:rPr>
      <w:rFonts w:hint="default"/>
      <w:sz w:val="24"/>
      <w:szCs w:val="24"/>
    </w:rPr>
  </w:style>
  <w:style w:type="paragraph" w:styleId="3">
    <w:name w:val="heading 1"/>
    <w:unhideWhenUsed/>
    <w:uiPriority w:val="99"/>
    <w:pPr>
      <w:widowControl w:val="0"/>
      <w:autoSpaceDE w:val="0"/>
      <w:autoSpaceDN w:val="0"/>
      <w:adjustRightInd w:val="0"/>
      <w:spacing w:beforeLines="0" w:afterLines="0"/>
      <w:outlineLvl w:val="0"/>
    </w:pPr>
    <w:rPr>
      <w:rFonts w:hint="default"/>
      <w:sz w:val="24"/>
      <w:szCs w:val="24"/>
    </w:rPr>
  </w:style>
  <w:style w:type="paragraph" w:styleId="4">
    <w:name w:val="heading 2"/>
    <w:unhideWhenUsed/>
    <w:uiPriority w:val="99"/>
    <w:pPr>
      <w:widowControl w:val="0"/>
      <w:autoSpaceDE w:val="0"/>
      <w:autoSpaceDN w:val="0"/>
      <w:adjustRightInd w:val="0"/>
      <w:spacing w:beforeLines="0" w:afterLines="0"/>
      <w:outlineLvl w:val="1"/>
    </w:pPr>
    <w:rPr>
      <w:rFonts w:hint="default"/>
      <w:sz w:val="24"/>
      <w:szCs w:val="24"/>
    </w:rPr>
  </w:style>
  <w:style w:type="character" w:default="1" w:styleId="11">
    <w:name w:val="Default Paragraph Font"/>
    <w:unhideWhenUsed/>
    <w:uiPriority w:val="99"/>
    <w:rPr>
      <w:rFonts w:hint="default"/>
      <w:sz w:val="24"/>
      <w:szCs w:val="24"/>
    </w:rPr>
  </w:style>
  <w:style w:type="table" w:default="1" w:styleId="10">
    <w:name w:val="Normal Table"/>
    <w:qFormat/>
    <w:uiPriority w:val="99"/>
    <w:tblPr>
      <w:tblStyle w:val="10"/>
      <w:tblCellMar>
        <w:top w:w="0" w:type="dxa"/>
        <w:left w:w="108" w:type="dxa"/>
        <w:bottom w:w="0" w:type="dxa"/>
        <w:right w:w="108" w:type="dxa"/>
      </w:tblCellMar>
    </w:tblPr>
  </w:style>
  <w:style w:type="paragraph" w:styleId="2">
    <w:name w:val="Body Text"/>
    <w:basedOn w:val="1"/>
    <w:unhideWhenUsed/>
    <w:qFormat/>
    <w:uiPriority w:val="99"/>
    <w:pPr>
      <w:spacing w:beforeLines="30" w:afterLines="0"/>
    </w:pPr>
    <w:rPr>
      <w:rFonts w:hint="eastAsia" w:ascii="仿宋_GB2312" w:hAnsi="Times New Roman" w:eastAsia="仿宋_GB2312"/>
      <w:sz w:val="30"/>
      <w:szCs w:val="24"/>
    </w:rPr>
  </w:style>
  <w:style w:type="paragraph" w:styleId="5">
    <w:name w:val="Body Text Indent"/>
    <w:basedOn w:val="1"/>
    <w:unhideWhenUsed/>
    <w:qFormat/>
    <w:uiPriority w:val="0"/>
    <w:pPr>
      <w:spacing w:beforeLines="0" w:after="120" w:afterLines="0"/>
      <w:ind w:leftChars="200"/>
    </w:pPr>
    <w:rPr>
      <w:rFonts w:hint="eastAsia" w:ascii="仿宋_GB2312" w:hAnsi="Times New Roman" w:eastAsia="仿宋_GB2312"/>
      <w:sz w:val="24"/>
      <w:szCs w:val="24"/>
    </w:rPr>
  </w:style>
  <w:style w:type="paragraph" w:styleId="6">
    <w:name w:val="Plain Text"/>
    <w:basedOn w:val="1"/>
    <w:unhideWhenUsed/>
    <w:qFormat/>
    <w:uiPriority w:val="0"/>
    <w:pPr>
      <w:spacing w:beforeLines="0" w:afterLines="0"/>
    </w:pPr>
    <w:rPr>
      <w:rFonts w:hint="eastAsia" w:ascii="宋体" w:hAnsi="Courier New" w:eastAsia="宋体"/>
      <w:sz w:val="24"/>
      <w:szCs w:val="24"/>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5"/>
    <w:unhideWhenUsed/>
    <w:qFormat/>
    <w:uiPriority w:val="99"/>
    <w:pPr>
      <w:spacing w:beforeLines="0" w:afterLines="0"/>
      <w:ind w:firstLine="420" w:firstLineChars="200"/>
    </w:pPr>
    <w:rPr>
      <w:rFonts w:hint="eastAsia"/>
      <w:sz w:val="24"/>
      <w:szCs w:val="24"/>
    </w:rPr>
  </w:style>
  <w:style w:type="character" w:styleId="12">
    <w:name w:val="Strong"/>
    <w:basedOn w:val="11"/>
    <w:unhideWhenUsed/>
    <w:qFormat/>
    <w:uiPriority w:val="99"/>
    <w:rPr>
      <w:rFonts w:hint="default" w:cs="Times New Roman"/>
      <w:b/>
      <w:sz w:val="24"/>
      <w:szCs w:val="24"/>
    </w:rPr>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2023-09-22T02:03:12Z</dcterms:created>
  <dc:creator>HUAWEI</dc:creator>
  <cp:lastModifiedBy>苗春艳</cp:lastModifiedBy>
  <dcterms:modified xsi:type="dcterms:W3CDTF">2024-12-25T02:59:01Z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9E31F0CADE7C45CAA8B45AC98F420AAC</vt:lpwstr>
  </property>
</Properties>
</file>