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3-2</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default" w:ascii="Times New Roman" w:hAnsi="Times New Roman" w:eastAsia="方正小标宋简体" w:cs="Times New Roman"/>
          <w:sz w:val="44"/>
          <w:szCs w:val="44"/>
          <w:lang w:val="en-US"/>
        </w:rPr>
        <w:t>2023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托管及洗涤费用财政补助</w:t>
      </w:r>
      <w:r>
        <w:rPr>
          <w:rFonts w:hint="eastAsia" w:ascii="方正小标宋简体" w:hAnsi="宋体" w:eastAsia="方正小标宋简体"/>
          <w:sz w:val="44"/>
          <w:szCs w:val="44"/>
        </w:rPr>
        <w:t>项目</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支出绩效自评</w:t>
      </w:r>
    </w:p>
    <w:p>
      <w:pPr>
        <w:pStyle w:val="4"/>
        <w:spacing w:line="560" w:lineRule="exact"/>
        <w:jc w:val="both"/>
        <w:rPr>
          <w:rFonts w:hint="default" w:ascii="宋体" w:hAnsi="宋体" w:eastAsia="宋体"/>
          <w:color w:val="auto"/>
          <w:kern w:val="2"/>
          <w:sz w:val="32"/>
          <w:szCs w:val="32"/>
          <w:lang w:val="en-US" w:eastAsia="zh-CN"/>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根据攀枝花市仁和区人民政府委托市中心医院管理仁和区人民医院协议书承诺，区财政每年向我院投入经费50万元。区财政承担我院每年实际产生的布制品洗涤费。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lang w:val="en-US" w:eastAsia="zh-CN"/>
        </w:rPr>
      </w:pPr>
      <w:r>
        <w:rPr>
          <w:rFonts w:hint="eastAsia" w:ascii="方正仿宋_GB2312" w:hAnsi="方正仿宋_GB2312" w:eastAsia="方正仿宋_GB2312" w:cs="方正仿宋_GB2312"/>
          <w:b w:val="0"/>
          <w:bCs/>
          <w:lang w:val="en-US" w:eastAsia="zh-CN"/>
        </w:rPr>
        <w:t>计划实现的定性目标为推动公立医院改革，改善就医环境，满足每年约</w:t>
      </w:r>
      <w:r>
        <w:rPr>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b w:val="0"/>
          <w:bCs/>
          <w:lang w:val="en-US" w:eastAsia="zh-CN"/>
        </w:rPr>
        <w:t>.</w:t>
      </w:r>
      <w:r>
        <w:rPr>
          <w:rFonts w:hint="eastAsia" w:ascii="方正仿宋_GB2312" w:hAnsi="方正仿宋_GB2312" w:eastAsia="方正仿宋_GB2312" w:cs="方正仿宋_GB2312"/>
          <w:b w:val="0"/>
          <w:bCs/>
          <w:sz w:val="32"/>
          <w:szCs w:val="32"/>
          <w:lang w:val="en-US" w:eastAsia="zh-CN"/>
        </w:rPr>
        <w:t>5</w:t>
      </w:r>
      <w:r>
        <w:rPr>
          <w:rFonts w:hint="eastAsia" w:ascii="方正仿宋_GB2312" w:hAnsi="方正仿宋_GB2312" w:eastAsia="方正仿宋_GB2312" w:cs="方正仿宋_GB2312"/>
          <w:b w:val="0"/>
          <w:bCs/>
          <w:lang w:val="en-US" w:eastAsia="zh-CN"/>
        </w:rPr>
        <w:t>万名住院患者就医；定量目标为每年计划送洗布制品</w:t>
      </w:r>
      <w:r>
        <w:rPr>
          <w:rFonts w:hint="eastAsia" w:ascii="方正仿宋_GB2312" w:hAnsi="方正仿宋_GB2312" w:eastAsia="方正仿宋_GB2312" w:cs="方正仿宋_GB2312"/>
          <w:b w:val="0"/>
          <w:bCs/>
          <w:sz w:val="32"/>
          <w:szCs w:val="32"/>
          <w:lang w:val="en-US" w:eastAsia="zh-CN"/>
        </w:rPr>
        <w:t>23</w:t>
      </w:r>
      <w:r>
        <w:rPr>
          <w:rFonts w:hint="eastAsia" w:ascii="方正仿宋_GB2312" w:hAnsi="方正仿宋_GB2312" w:eastAsia="方正仿宋_GB2312" w:cs="方正仿宋_GB2312"/>
          <w:b w:val="0"/>
          <w:bCs/>
          <w:lang w:val="en-US" w:eastAsia="zh-CN"/>
        </w:rPr>
        <w:t>.</w:t>
      </w:r>
      <w:r>
        <w:rPr>
          <w:rFonts w:hint="eastAsia" w:ascii="方正仿宋_GB2312" w:hAnsi="方正仿宋_GB2312" w:eastAsia="方正仿宋_GB2312" w:cs="方正仿宋_GB2312"/>
          <w:b w:val="0"/>
          <w:bCs/>
          <w:sz w:val="32"/>
          <w:szCs w:val="32"/>
          <w:lang w:val="en-US" w:eastAsia="zh-CN"/>
        </w:rPr>
        <w:t>5</w:t>
      </w:r>
      <w:r>
        <w:rPr>
          <w:rFonts w:hint="eastAsia" w:ascii="方正仿宋_GB2312" w:hAnsi="方正仿宋_GB2312" w:eastAsia="方正仿宋_GB2312" w:cs="方正仿宋_GB2312"/>
          <w:b w:val="0"/>
          <w:bCs/>
          <w:lang w:val="en-US" w:eastAsia="zh-CN"/>
        </w:rPr>
        <w:t>万件，用托管资金购置临床用专用设备≥</w:t>
      </w:r>
      <w:r>
        <w:rPr>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b w:val="0"/>
          <w:bCs/>
          <w:lang w:val="en-US" w:eastAsia="zh-CN"/>
        </w:rPr>
        <w:t>件。项目按照年初计划进行。</w:t>
      </w:r>
    </w:p>
    <w:p>
      <w:pPr>
        <w:numPr>
          <w:ilvl w:val="0"/>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w:t>
      </w:r>
      <w:r>
        <w:rPr>
          <w:rFonts w:hint="eastAsia" w:ascii="楷体_GB2312" w:hAnsi="宋体" w:eastAsia="楷体_GB2312"/>
          <w:b/>
          <w:lang w:val="en-US" w:eastAsia="zh-CN"/>
        </w:rPr>
        <w:t>三</w:t>
      </w:r>
      <w:r>
        <w:rPr>
          <w:rFonts w:hint="eastAsia" w:ascii="楷体_GB2312" w:hAnsi="宋体" w:eastAsia="楷体_GB2312"/>
          <w:b/>
          <w:lang w:val="zh-CN"/>
        </w:rPr>
        <w:t>）项目资金申报相符性。</w:t>
      </w:r>
    </w:p>
    <w:p>
      <w:pPr>
        <w:numPr>
          <w:ilvl w:val="0"/>
          <w:numId w:val="0"/>
        </w:numPr>
        <w:adjustRightInd w:val="0"/>
        <w:snapToGrid w:val="0"/>
        <w:spacing w:line="560" w:lineRule="exact"/>
        <w:ind w:left="720" w:leftChars="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default" w:ascii="Times New Roman" w:hAnsi="Times New Roman" w:eastAsia="楷体_GB2312" w:cs="Times New Roman"/>
          <w:sz w:val="32"/>
          <w:szCs w:val="32"/>
          <w:lang w:val="zh-CN"/>
        </w:rPr>
        <w:t>1</w:t>
      </w:r>
      <w:r>
        <w:rPr>
          <w:rFonts w:hint="eastAsia" w:ascii="楷体_GB2312" w:hAnsi="宋体" w:eastAsia="楷体_GB2312"/>
          <w:lang w:val="zh-CN"/>
        </w:rPr>
        <w:t>．资金计划及到位。</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根据攀枝花市仁和区财政局《关于批复</w:t>
      </w:r>
      <w:r>
        <w:rPr>
          <w:rFonts w:hint="eastAsia" w:ascii="方正仿宋_GB2312" w:hAnsi="方正仿宋_GB2312" w:eastAsia="方正仿宋_GB2312" w:cs="方正仿宋_GB2312"/>
          <w:sz w:val="32"/>
          <w:szCs w:val="32"/>
          <w:lang w:val="en-US" w:eastAsia="zh-CN"/>
        </w:rPr>
        <w:t>2022</w:t>
      </w:r>
      <w:r>
        <w:rPr>
          <w:rFonts w:hint="eastAsia" w:ascii="方正仿宋_GB2312" w:hAnsi="方正仿宋_GB2312" w:eastAsia="方正仿宋_GB2312" w:cs="方正仿宋_GB2312"/>
          <w:lang w:val="en-US" w:eastAsia="zh-CN"/>
        </w:rPr>
        <w:t>年部门预算的通知》，我院收到区级托管及洗涤费项目资金</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lang w:val="en-US" w:eastAsia="zh-CN"/>
        </w:rPr>
        <w:t>万元。资金计划均足额下达。</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资金使用。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截止</w:t>
      </w:r>
      <w:r>
        <w:rPr>
          <w:rFonts w:hint="default" w:ascii="Times New Roman" w:hAnsi="Times New Roman" w:eastAsia="方正仿宋_GB2312" w:cs="Times New Roman"/>
          <w:sz w:val="32"/>
          <w:szCs w:val="32"/>
          <w:lang w:val="en-US" w:eastAsia="zh-CN"/>
        </w:rPr>
        <w:t>2022</w:t>
      </w:r>
      <w:r>
        <w:rPr>
          <w:rFonts w:hint="eastAsia" w:ascii="方正仿宋_GB2312" w:hAnsi="方正仿宋_GB2312" w:eastAsia="方正仿宋_GB2312" w:cs="方正仿宋_GB2312"/>
          <w:sz w:val="32"/>
          <w:szCs w:val="32"/>
          <w:lang w:val="en-US" w:eastAsia="zh-CN"/>
        </w:rPr>
        <w:t>年底支付了三折病床、高速气涡轮手机等专用设备购置及信息系统建设质保金共</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万元；支付布制品洗涤费</w:t>
      </w:r>
      <w:r>
        <w:rPr>
          <w:rFonts w:hint="default" w:ascii="Times New Roman" w:hAnsi="Times New Roman" w:eastAsia="方正仿宋_GB2312" w:cs="Times New Roman"/>
          <w:sz w:val="32"/>
          <w:szCs w:val="32"/>
          <w:lang w:val="en-US" w:eastAsia="zh-CN"/>
        </w:rPr>
        <w:t>12</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32</w:t>
      </w:r>
      <w:r>
        <w:rPr>
          <w:rFonts w:hint="eastAsia" w:ascii="方正仿宋_GB2312" w:hAnsi="方正仿宋_GB2312" w:eastAsia="方正仿宋_GB2312" w:cs="方正仿宋_GB2312"/>
          <w:sz w:val="32"/>
          <w:szCs w:val="32"/>
          <w:lang w:val="en-US" w:eastAsia="zh-CN"/>
        </w:rPr>
        <w:t>万元，此项目资金支付率为</w:t>
      </w:r>
      <w:r>
        <w:rPr>
          <w:rFonts w:hint="default" w:ascii="Times New Roman" w:hAnsi="Times New Roman" w:eastAsia="方正仿宋_GB2312" w:cs="Times New Roman"/>
          <w:sz w:val="32"/>
          <w:szCs w:val="32"/>
          <w:lang w:val="en-US" w:eastAsia="zh-CN"/>
        </w:rPr>
        <w:t>15</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26</w:t>
      </w:r>
      <w:r>
        <w:rPr>
          <w:rFonts w:hint="eastAsia" w:ascii="方正仿宋_GB2312" w:hAnsi="方正仿宋_GB2312" w:eastAsia="方正仿宋_GB2312" w:cs="方正仿宋_GB2312"/>
          <w:sz w:val="32"/>
          <w:szCs w:val="32"/>
          <w:lang w:val="en-US" w:eastAsia="zh-CN"/>
        </w:rPr>
        <w:t>%。支付依据合规合法，资金支付与年初部门支出经济分类科目批复完全相符。资金使用率较低的原因为我院已录支付计划但财政未审核支付。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托管及洗涤费用财政补助项目严格执行财务管理制度，通过实际发生金额向供货单位及市四医院对公户拨付项目资金。按照业务发生月份进行账务处理，财务处理及时规范。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项目由医院财务科根据年初预算批复进行资金使用计划。</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洗涤费用于支付医院约</w:t>
      </w:r>
      <w:r>
        <w:rPr>
          <w:rFonts w:hint="default" w:ascii="Times New Roman" w:hAnsi="Times New Roman" w:cs="Times New Roman"/>
          <w:sz w:val="32"/>
          <w:szCs w:val="32"/>
          <w:lang w:val="en-US" w:eastAsia="zh-CN"/>
        </w:rPr>
        <w:t>6</w:t>
      </w:r>
      <w:r>
        <w:rPr>
          <w:rFonts w:hint="eastAsia" w:ascii="仿宋_GB2312" w:hAnsi="宋体"/>
          <w:lang w:val="en-US" w:eastAsia="zh-CN"/>
        </w:rPr>
        <w:t>万件布制品的洗涤费用共</w:t>
      </w:r>
      <w:r>
        <w:rPr>
          <w:rFonts w:hint="default" w:ascii="Times New Roman" w:hAnsi="Times New Roman" w:cs="Times New Roman"/>
          <w:sz w:val="32"/>
          <w:szCs w:val="32"/>
          <w:lang w:val="en-US" w:eastAsia="zh-CN"/>
        </w:rPr>
        <w:t>12</w:t>
      </w:r>
      <w:r>
        <w:rPr>
          <w:rFonts w:hint="eastAsia" w:ascii="仿宋_GB2312" w:hAnsi="宋体"/>
          <w:lang w:val="en-US" w:eastAsia="zh-CN"/>
        </w:rPr>
        <w:t>.</w:t>
      </w:r>
      <w:r>
        <w:rPr>
          <w:rFonts w:hint="default" w:ascii="Times New Roman" w:hAnsi="Times New Roman" w:cs="Times New Roman"/>
          <w:sz w:val="32"/>
          <w:szCs w:val="32"/>
          <w:lang w:val="en-US" w:eastAsia="zh-CN"/>
        </w:rPr>
        <w:t>32</w:t>
      </w:r>
      <w:r>
        <w:rPr>
          <w:rFonts w:hint="eastAsia" w:ascii="仿宋_GB2312" w:hAnsi="宋体"/>
          <w:lang w:val="en-US" w:eastAsia="zh-CN"/>
        </w:rPr>
        <w:t>万元；托管费用于购置了</w:t>
      </w:r>
      <w:r>
        <w:rPr>
          <w:rFonts w:hint="eastAsia" w:ascii="方正仿宋_GB2312" w:hAnsi="方正仿宋_GB2312" w:eastAsia="方正仿宋_GB2312" w:cs="方正仿宋_GB2312"/>
          <w:sz w:val="30"/>
          <w:szCs w:val="30"/>
          <w:lang w:val="en-US" w:eastAsia="zh-CN"/>
        </w:rPr>
        <w:t>三折病床、高速气涡轮手机等专用设备购置及支付信息系统建设质保金共</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0"/>
          <w:szCs w:val="30"/>
          <w:lang w:val="en-US" w:eastAsia="zh-CN"/>
        </w:rPr>
        <w:t>万元，目标绩效完成率为</w:t>
      </w:r>
      <w:r>
        <w:rPr>
          <w:rFonts w:hint="default" w:ascii="Times New Roman" w:hAnsi="Times New Roman" w:eastAsia="方正仿宋_GB2312" w:cs="Times New Roman"/>
          <w:sz w:val="32"/>
          <w:szCs w:val="32"/>
          <w:lang w:val="en-US" w:eastAsia="zh-CN"/>
        </w:rPr>
        <w:t>15</w:t>
      </w:r>
      <w:r>
        <w:rPr>
          <w:rFonts w:hint="eastAsia" w:ascii="方正仿宋_GB2312" w:hAnsi="方正仿宋_GB2312" w:eastAsia="方正仿宋_GB2312" w:cs="方正仿宋_GB2312"/>
          <w:sz w:val="30"/>
          <w:szCs w:val="30"/>
          <w:lang w:val="en-US" w:eastAsia="zh-CN"/>
        </w:rPr>
        <w:t>.</w:t>
      </w:r>
      <w:r>
        <w:rPr>
          <w:rFonts w:hint="default" w:ascii="Times New Roman" w:hAnsi="Times New Roman" w:eastAsia="方正仿宋_GB2312" w:cs="Times New Roman"/>
          <w:sz w:val="32"/>
          <w:szCs w:val="32"/>
          <w:lang w:val="en-US" w:eastAsia="zh-CN"/>
        </w:rPr>
        <w:t>26</w:t>
      </w:r>
      <w:r>
        <w:rPr>
          <w:rFonts w:hint="eastAsia" w:ascii="方正仿宋_GB2312" w:hAnsi="方正仿宋_GB2312" w:eastAsia="方正仿宋_GB2312" w:cs="方正仿宋_GB2312"/>
          <w:sz w:val="30"/>
          <w:szCs w:val="30"/>
          <w:lang w:val="en-US" w:eastAsia="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区财政每年定额托管补助</w:t>
      </w:r>
      <w:r>
        <w:rPr>
          <w:rFonts w:hint="eastAsia" w:ascii="方正仿宋_GB2312" w:hAnsi="方正仿宋_GB2312" w:eastAsia="方正仿宋_GB2312" w:cs="方正仿宋_GB2312"/>
          <w:sz w:val="32"/>
          <w:szCs w:val="32"/>
          <w:lang w:val="en-US" w:eastAsia="zh-CN"/>
        </w:rPr>
        <w:t>50</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lang w:val="en-US" w:eastAsia="zh-CN"/>
        </w:rPr>
        <w:t>万元，不仅推动了医院各方面建设，促进了公立医院改革，改善了就医环境，更提高了职工和患者的满意度，推动了医院的可持续发展。</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区财政承担医院实际发生的洗涤费，满足了住院患者及医护的就医和工作需求，提高了服务对象满意度。如图所示：</w:t>
      </w:r>
    </w:p>
    <w:p>
      <w:pPr>
        <w:adjustRightInd w:val="0"/>
        <w:snapToGrid w:val="0"/>
        <w:spacing w:line="560" w:lineRule="exact"/>
        <w:ind w:firstLine="720"/>
        <w:rPr>
          <w:rFonts w:hint="default" w:ascii="仿宋_GB2312" w:hAnsi="宋体"/>
          <w:lang w:val="en-US" w:eastAsia="zh-CN"/>
        </w:rPr>
      </w:pPr>
    </w:p>
    <w:tbl>
      <w:tblPr>
        <w:tblStyle w:val="2"/>
        <w:tblW w:w="8379" w:type="dxa"/>
        <w:tblInd w:w="93" w:type="dxa"/>
        <w:tblLayout w:type="autofit"/>
        <w:tblCellMar>
          <w:top w:w="0" w:type="dxa"/>
          <w:left w:w="108" w:type="dxa"/>
          <w:bottom w:w="0" w:type="dxa"/>
          <w:right w:w="108" w:type="dxa"/>
        </w:tblCellMar>
      </w:tblPr>
      <w:tblGrid>
        <w:gridCol w:w="1000"/>
        <w:gridCol w:w="840"/>
        <w:gridCol w:w="1040"/>
        <w:gridCol w:w="1020"/>
        <w:gridCol w:w="2352"/>
        <w:gridCol w:w="2127"/>
      </w:tblGrid>
      <w:tr>
        <w:tblPrEx>
          <w:tblCellMar>
            <w:top w:w="0" w:type="dxa"/>
            <w:left w:w="108" w:type="dxa"/>
            <w:bottom w:w="0" w:type="dxa"/>
            <w:right w:w="108" w:type="dxa"/>
          </w:tblCellMar>
        </w:tblPrEx>
        <w:trPr>
          <w:trHeight w:val="57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年度总体目标</w:t>
            </w:r>
          </w:p>
        </w:tc>
        <w:tc>
          <w:tcPr>
            <w:tcW w:w="290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预期目标</w:t>
            </w:r>
          </w:p>
        </w:tc>
        <w:tc>
          <w:tcPr>
            <w:tcW w:w="447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目标实际完成情况</w:t>
            </w:r>
          </w:p>
        </w:tc>
      </w:tr>
      <w:tr>
        <w:tblPrEx>
          <w:tblCellMar>
            <w:top w:w="0" w:type="dxa"/>
            <w:left w:w="108" w:type="dxa"/>
            <w:bottom w:w="0" w:type="dxa"/>
            <w:right w:w="108" w:type="dxa"/>
          </w:tblCellMar>
        </w:tblPrEx>
        <w:trPr>
          <w:trHeight w:val="213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完成情况</w:t>
            </w:r>
          </w:p>
        </w:tc>
        <w:tc>
          <w:tcPr>
            <w:tcW w:w="2900" w:type="dxa"/>
            <w:gridSpan w:val="3"/>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根据攀枝花市仁和</w:t>
            </w:r>
            <w:r>
              <w:rPr>
                <w:rFonts w:hint="eastAsia" w:ascii="方正仿宋_GB2312" w:hAnsi="方正仿宋_GB2312" w:eastAsia="方正仿宋_GB2312" w:cs="方正仿宋_GB2312"/>
                <w:b w:val="0"/>
                <w:bCs w:val="0"/>
                <w:color w:val="000000"/>
                <w:kern w:val="0"/>
                <w:sz w:val="21"/>
                <w:szCs w:val="21"/>
                <w:lang w:eastAsia="zh-CN"/>
              </w:rPr>
              <w:t>区人民政府</w:t>
            </w:r>
            <w:r>
              <w:rPr>
                <w:rFonts w:hint="eastAsia" w:ascii="方正仿宋_GB2312" w:hAnsi="方正仿宋_GB2312" w:eastAsia="方正仿宋_GB2312" w:cs="方正仿宋_GB2312"/>
                <w:b w:val="0"/>
                <w:bCs w:val="0"/>
                <w:color w:val="000000"/>
                <w:kern w:val="0"/>
                <w:sz w:val="21"/>
                <w:szCs w:val="21"/>
              </w:rPr>
              <w:t>委托市中心医院管理仁和区人民医院协议书规定区政府向区人民医院固定投入经费50万元用于改善就医环境，购买设备满足患者就医需求；洗涤费用根据2022年预计使用布制品消毒费用核算，提高患者就医满意度</w:t>
            </w:r>
          </w:p>
        </w:tc>
        <w:tc>
          <w:tcPr>
            <w:tcW w:w="4479" w:type="dxa"/>
            <w:gridSpan w:val="2"/>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未完成，预</w:t>
            </w:r>
            <w:bookmarkStart w:id="0" w:name="_GoBack"/>
            <w:bookmarkEnd w:id="0"/>
            <w:r>
              <w:rPr>
                <w:rFonts w:hint="eastAsia" w:ascii="方正仿宋_GB2312" w:hAnsi="方正仿宋_GB2312" w:eastAsia="方正仿宋_GB2312" w:cs="方正仿宋_GB2312"/>
                <w:b w:val="0"/>
                <w:bCs w:val="0"/>
                <w:color w:val="000000"/>
                <w:kern w:val="0"/>
                <w:sz w:val="21"/>
                <w:szCs w:val="21"/>
              </w:rPr>
              <w:t>算执行率15.26%</w:t>
            </w:r>
          </w:p>
        </w:tc>
      </w:tr>
      <w:tr>
        <w:tblPrEx>
          <w:tblCellMar>
            <w:top w:w="0" w:type="dxa"/>
            <w:left w:w="108" w:type="dxa"/>
            <w:bottom w:w="0" w:type="dxa"/>
            <w:right w:w="108" w:type="dxa"/>
          </w:tblCellMar>
        </w:tblPrEx>
        <w:trPr>
          <w:trHeight w:val="312" w:hRule="atLeast"/>
        </w:trPr>
        <w:tc>
          <w:tcPr>
            <w:tcW w:w="100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年度绩效指标完成情况</w:t>
            </w:r>
          </w:p>
        </w:tc>
        <w:tc>
          <w:tcPr>
            <w:tcW w:w="8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一级      指标</w:t>
            </w:r>
          </w:p>
        </w:tc>
        <w:tc>
          <w:tcPr>
            <w:tcW w:w="10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二级          指标</w:t>
            </w:r>
          </w:p>
        </w:tc>
        <w:tc>
          <w:tcPr>
            <w:tcW w:w="102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三级       指标</w:t>
            </w:r>
          </w:p>
        </w:tc>
        <w:tc>
          <w:tcPr>
            <w:tcW w:w="2352"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预期指标值</w:t>
            </w:r>
          </w:p>
        </w:tc>
        <w:tc>
          <w:tcPr>
            <w:tcW w:w="2127"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实际完成指标值</w:t>
            </w:r>
          </w:p>
        </w:tc>
      </w:tr>
      <w:tr>
        <w:tblPrEx>
          <w:tblCellMar>
            <w:top w:w="0" w:type="dxa"/>
            <w:left w:w="108" w:type="dxa"/>
            <w:bottom w:w="0" w:type="dxa"/>
            <w:right w:w="108" w:type="dxa"/>
          </w:tblCellMar>
        </w:tblPrEx>
        <w:trPr>
          <w:trHeight w:val="499"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235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21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r>
      <w:tr>
        <w:tblPrEx>
          <w:tblCellMar>
            <w:top w:w="0" w:type="dxa"/>
            <w:left w:w="108" w:type="dxa"/>
            <w:bottom w:w="0" w:type="dxa"/>
            <w:right w:w="108" w:type="dxa"/>
          </w:tblCellMar>
        </w:tblPrEx>
        <w:trPr>
          <w:trHeight w:val="84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完成     指标</w:t>
            </w: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数量指标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洗涤消毒布制品、托管协议定额补助购买设备</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洗涤消毒布制品6万件购买设备2.43万元</w:t>
            </w:r>
          </w:p>
        </w:tc>
      </w:tr>
      <w:tr>
        <w:tblPrEx>
          <w:tblCellMar>
            <w:top w:w="0" w:type="dxa"/>
            <w:left w:w="108" w:type="dxa"/>
            <w:bottom w:w="0" w:type="dxa"/>
            <w:right w:w="108" w:type="dxa"/>
          </w:tblCellMar>
        </w:tblPrEx>
        <w:trPr>
          <w:trHeight w:val="499"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质量指标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按要求对布制品洗涤</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布制品消毒质量100%满足卫生要求</w:t>
            </w:r>
          </w:p>
        </w:tc>
      </w:tr>
      <w:tr>
        <w:tblPrEx>
          <w:tblCellMar>
            <w:top w:w="0" w:type="dxa"/>
            <w:left w:w="108" w:type="dxa"/>
            <w:bottom w:w="0" w:type="dxa"/>
            <w:right w:w="108" w:type="dxa"/>
          </w:tblCellMar>
        </w:tblPrEx>
        <w:trPr>
          <w:trHeight w:val="499"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时效指标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bottom"/>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2022年末完成资金使用</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2022年末预算执行率15.26%</w:t>
            </w:r>
          </w:p>
        </w:tc>
      </w:tr>
      <w:tr>
        <w:tblPrEx>
          <w:tblCellMar>
            <w:top w:w="0" w:type="dxa"/>
            <w:left w:w="108" w:type="dxa"/>
            <w:bottom w:w="0" w:type="dxa"/>
            <w:right w:w="108" w:type="dxa"/>
          </w:tblCellMar>
        </w:tblPrEx>
        <w:trPr>
          <w:trHeight w:val="915"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成本指标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洗涤消毒布制品金额额51.40万元，托管定额补助50万元</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洗涤消毒布制品12.32万元，定额补助使用3.0万元</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效益     指标</w:t>
            </w: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经济效益  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127"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r>
      <w:tr>
        <w:tblPrEx>
          <w:tblCellMar>
            <w:top w:w="0" w:type="dxa"/>
            <w:left w:w="108" w:type="dxa"/>
            <w:bottom w:w="0" w:type="dxa"/>
            <w:right w:w="108" w:type="dxa"/>
          </w:tblCellMar>
        </w:tblPrEx>
        <w:trPr>
          <w:trHeight w:val="87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社会效益  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bottom"/>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推进公立医院综合改革，满足2万余名住院患者就医环境</w:t>
            </w:r>
          </w:p>
        </w:tc>
        <w:tc>
          <w:tcPr>
            <w:tcW w:w="2127"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未完成</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生态效益  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127"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可持续影响 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b w:val="0"/>
                <w:bCs w:val="0"/>
                <w:color w:val="000000"/>
                <w:kern w:val="0"/>
                <w:sz w:val="21"/>
                <w:szCs w:val="21"/>
              </w:rPr>
            </w:pPr>
          </w:p>
        </w:tc>
        <w:tc>
          <w:tcPr>
            <w:tcW w:w="8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满意度指标</w:t>
            </w:r>
          </w:p>
        </w:tc>
        <w:tc>
          <w:tcPr>
            <w:tcW w:w="104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满意度指标</w:t>
            </w:r>
          </w:p>
        </w:tc>
        <w:tc>
          <w:tcPr>
            <w:tcW w:w="1020"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c>
          <w:tcPr>
            <w:tcW w:w="2352"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满意度≥90%</w:t>
            </w:r>
          </w:p>
        </w:tc>
        <w:tc>
          <w:tcPr>
            <w:tcW w:w="2127"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方正仿宋_GB2312" w:hAnsi="方正仿宋_GB2312" w:eastAsia="方正仿宋_GB2312" w:cs="方正仿宋_GB2312"/>
                <w:b w:val="0"/>
                <w:bCs w:val="0"/>
                <w:color w:val="000000"/>
                <w:kern w:val="0"/>
                <w:sz w:val="21"/>
                <w:szCs w:val="21"/>
              </w:rPr>
            </w:pPr>
            <w:r>
              <w:rPr>
                <w:rFonts w:hint="eastAsia" w:ascii="方正仿宋_GB2312" w:hAnsi="方正仿宋_GB2312" w:eastAsia="方正仿宋_GB2312" w:cs="方正仿宋_GB2312"/>
                <w:b w:val="0"/>
                <w:bCs w:val="0"/>
                <w:color w:val="000000"/>
                <w:kern w:val="0"/>
                <w:sz w:val="21"/>
                <w:szCs w:val="21"/>
              </w:rPr>
              <w:t>　</w:t>
            </w:r>
          </w:p>
        </w:tc>
      </w:tr>
    </w:tbl>
    <w:p>
      <w:pPr>
        <w:adjustRightInd w:val="0"/>
        <w:snapToGrid w:val="0"/>
        <w:spacing w:line="560" w:lineRule="exact"/>
        <w:rPr>
          <w:rFonts w:hint="eastAsia" w:ascii="方正仿宋_GB2312" w:hAnsi="方正仿宋_GB2312" w:eastAsia="方正仿宋_GB2312" w:cs="方正仿宋_GB2312"/>
          <w:sz w:val="18"/>
          <w:szCs w:val="18"/>
          <w:lang w:val="en-US" w:eastAsia="zh-CN"/>
        </w:rPr>
      </w:pP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方正仿宋_GB2312" w:hAnsi="方正仿宋_GB2312" w:eastAsia="方正仿宋_GB2312" w:cs="方正仿宋_GB2312"/>
          <w:b w:val="0"/>
          <w:bCs/>
          <w:lang w:val="en-US" w:eastAsia="zh-CN"/>
        </w:rPr>
      </w:pPr>
      <w:r>
        <w:rPr>
          <w:rFonts w:hint="eastAsia" w:ascii="方正仿宋_GB2312" w:hAnsi="方正仿宋_GB2312" w:eastAsia="方正仿宋_GB2312" w:cs="方正仿宋_GB2312"/>
          <w:b w:val="0"/>
          <w:bCs/>
          <w:lang w:val="en-US" w:eastAsia="zh-CN"/>
        </w:rPr>
        <w:t>资金支付率太低。</w:t>
      </w:r>
    </w:p>
    <w:p>
      <w:pPr>
        <w:numPr>
          <w:ilvl w:val="0"/>
          <w:numId w:val="0"/>
        </w:numPr>
        <w:adjustRightInd w:val="0"/>
        <w:snapToGrid w:val="0"/>
        <w:spacing w:line="560" w:lineRule="exact"/>
        <w:ind w:left="720" w:leftChars="0"/>
        <w:rPr>
          <w:rFonts w:hint="eastAsia" w:ascii="方正仿宋_GB2312" w:hAnsi="方正仿宋_GB2312" w:eastAsia="方正仿宋_GB2312" w:cs="方正仿宋_GB2312"/>
          <w:b w:val="0"/>
          <w:bCs/>
          <w:lang w:val="en-US" w:eastAsia="zh-CN"/>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lang w:val="en-US" w:eastAsia="zh-CN"/>
        </w:rPr>
      </w:pPr>
      <w:r>
        <w:rPr>
          <w:rFonts w:hint="eastAsia" w:ascii="方正仿宋_GB2312" w:hAnsi="方正仿宋_GB2312" w:eastAsia="方正仿宋_GB2312" w:cs="方正仿宋_GB2312"/>
          <w:b w:val="0"/>
          <w:bCs/>
          <w:lang w:val="en-US" w:eastAsia="zh-CN"/>
        </w:rPr>
        <w:t>建议区财政局根据贵单位的业务发展需求，按医院用款计划审核支付项目资金。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CB9791-4A1B-48FD-AB93-B28E37DCF9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A1A5BBE-0CB0-43AE-9F4C-2E47011DF10F}"/>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08AD979F-37A7-4D4C-A105-0F8FB937CE51}"/>
  </w:font>
  <w:font w:name="楷体_GB2312">
    <w:panose1 w:val="02010609030101010101"/>
    <w:charset w:val="86"/>
    <w:family w:val="modern"/>
    <w:pitch w:val="default"/>
    <w:sig w:usb0="00000001" w:usb1="080E0000" w:usb2="00000000" w:usb3="00000000" w:csb0="00040000" w:csb1="00000000"/>
    <w:embedRegular r:id="rId4" w:fontKey="{1A2722E0-6A4B-4158-8B09-FC1DBA5A636B}"/>
  </w:font>
  <w:font w:name="方正仿宋_GB2312">
    <w:altName w:val="仿宋"/>
    <w:panose1 w:val="02000000000000000000"/>
    <w:charset w:val="86"/>
    <w:family w:val="auto"/>
    <w:pitch w:val="default"/>
    <w:sig w:usb0="00000000" w:usb1="00000000" w:usb2="00000012" w:usb3="00000000" w:csb0="00040001" w:csb1="00000000"/>
    <w:embedRegular r:id="rId5" w:fontKey="{13C5843A-B71F-4250-8A24-D1389B6604A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AF2A3"/>
    <w:multiLevelType w:val="singleLevel"/>
    <w:tmpl w:val="4E6AF2A3"/>
    <w:lvl w:ilvl="0" w:tentative="0">
      <w:start w:val="2"/>
      <w:numFmt w:val="chineseCounting"/>
      <w:suff w:val="nothing"/>
      <w:lvlText w:val="（%1）"/>
      <w:lvlJc w:val="left"/>
      <w:rPr>
        <w:rFonts w:hint="eastAsia"/>
      </w:rPr>
    </w:lvl>
  </w:abstractNum>
  <w:abstractNum w:abstractNumId="1">
    <w:nsid w:val="7E56B2C3"/>
    <w:multiLevelType w:val="singleLevel"/>
    <w:tmpl w:val="7E56B2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jFjNTE5YTY0NjUzOWY2NjU5ZmJmMWIzYmYyNjcifQ=="/>
  </w:docVars>
  <w:rsids>
    <w:rsidRoot w:val="291C455A"/>
    <w:rsid w:val="003414A3"/>
    <w:rsid w:val="00515A0C"/>
    <w:rsid w:val="00866E99"/>
    <w:rsid w:val="08CD0928"/>
    <w:rsid w:val="0EAA117E"/>
    <w:rsid w:val="0EDB478C"/>
    <w:rsid w:val="21415B4F"/>
    <w:rsid w:val="26E72AF1"/>
    <w:rsid w:val="291C455A"/>
    <w:rsid w:val="36926D0C"/>
    <w:rsid w:val="3A0A1C3C"/>
    <w:rsid w:val="3C487939"/>
    <w:rsid w:val="3C650449"/>
    <w:rsid w:val="3DB86D41"/>
    <w:rsid w:val="400C03D9"/>
    <w:rsid w:val="4DAF2BCF"/>
    <w:rsid w:val="4DDB6F66"/>
    <w:rsid w:val="4FD10728"/>
    <w:rsid w:val="56813763"/>
    <w:rsid w:val="5D7F2B9C"/>
    <w:rsid w:val="69986017"/>
    <w:rsid w:val="727F3CDD"/>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1284</Words>
  <Characters>1364</Characters>
  <Lines>6</Lines>
  <Paragraphs>1</Paragraphs>
  <TotalTime>7</TotalTime>
  <ScaleCrop>false</ScaleCrop>
  <LinksUpToDate>false</LinksUpToDate>
  <CharactersWithSpaces>1422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2024-12-25T02:28:10Z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BDF8F2F2D672435C8599BF3D2EF57527</vt:lpwstr>
  </property>
</Properties>
</file>