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918" w:type="pct"/>
        <w:tblInd w:w="-7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823"/>
        <w:gridCol w:w="1053"/>
        <w:gridCol w:w="3139"/>
        <w:gridCol w:w="4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4"/>
                <w:rFonts w:eastAsia="宋体"/>
                <w:lang w:val="en-US" w:eastAsia="zh-CN" w:bidi="ar"/>
              </w:rPr>
              <w:t>2024</w:t>
            </w:r>
            <w:r>
              <w:rPr>
                <w:rStyle w:val="5"/>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138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13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目标1： 深化公立医院综合改革，建立健全现代医院管理制度，协调推进医疗价格、人事薪酬、药品流通、医保支付改革，提高医疗卫生服务质量。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目标2：推动落实各项公立医院综合改革任务，引导公立医院持续提升医疗服务能力，不断强化医疗服务质量，补齐专业专科短板，构建优质高效整合型医疗卫生服务系统。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目标3：减轻群众经济负担，满足群众医疗卫生服务需求，改善就医环境，巩固等级医院的建设，服务质量持续改进。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满足全院职工工资及绩效工资的发放</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全院职工426人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满足卫材、药品及时支付</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欠款约2000.00万元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为患者提供优质医疗服务</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年门诊量≥31万人；年住院量≥1.8万人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按时发放工资及绩效工资，缴纳各种保险及公积金</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职工工资发放率=100%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卫材、药品支付率</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满足群众就医需求</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患者及时就医率≥95%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医疗运转经费</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5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推进公立医院综合改革，改善就医环境</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降低患者医药费用负担，承担起公益性机构应尽的社会责任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p/>
    <w:p/>
    <w:tbl>
      <w:tblPr>
        <w:tblStyle w:val="2"/>
        <w:tblW w:w="51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539"/>
        <w:gridCol w:w="1096"/>
        <w:gridCol w:w="3268"/>
        <w:gridCol w:w="3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6"/>
                <w:rFonts w:eastAsia="宋体"/>
                <w:lang w:val="en-US" w:eastAsia="zh-CN" w:bidi="ar"/>
              </w:rPr>
              <w:t>2024</w:t>
            </w:r>
            <w:r>
              <w:rPr>
                <w:rStyle w:val="7"/>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23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仁和医院中医药特色专科发展补助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3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23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5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2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2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6"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加紧特色专科发展建设，提升医疗服务水平。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购置科室专用设备</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用于支持医院发展日常开支</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支付物业管理费用、设备质保金等日常费用，确保医院正常运转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特色专科开展率</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特色专科发展补助资金</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6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加强区级特色专科发展建设</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为辖区居民提供更加优质的医疗服务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r>
        <w:br w:type="page"/>
      </w:r>
    </w:p>
    <w:tbl>
      <w:tblPr>
        <w:tblStyle w:val="2"/>
        <w:tblW w:w="52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549"/>
        <w:gridCol w:w="1110"/>
        <w:gridCol w:w="3321"/>
        <w:gridCol w:w="3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27"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27"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2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民医院向攀枝花农商行仁和支行贷款2850万元，贷款利息由区财政贴息。此笔贷款用于支付药品耗材欠款、推进公立医院综合改革，满足患者就医需求，改善患者就医环境，转变服务理念，提高医疗水平，不断完善医疗服务功能，进一步提升医院形象，提高医院信誉，加快对供应商的付款进度，促进医院可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贷款本金</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贷款利息按期支付率</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根据2023年底贷款本金2620万元，预计2024年贷款利息</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6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推进公立医院综合改革，改善患者就医环境，让辖区27万余居民享受更加优质便利的医疗服务</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受益群众≥33万人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p/>
    <w:p/>
    <w:tbl>
      <w:tblPr>
        <w:tblStyle w:val="2"/>
        <w:tblW w:w="5511" w:type="pct"/>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518"/>
        <w:gridCol w:w="1056"/>
        <w:gridCol w:w="3143"/>
        <w:gridCol w:w="3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区级公立医院取消药品加成财政补助资金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7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贯彻四川省发展和改革委员会 四川省财政厅 四川省卫生厅 四川省人力资源和社会保障厅 四川省中医药管理局《关于印发四川省县级公立医院取消药品加成经费补偿办法的通知》 （川发改价格[2013]937号）及关于转发《关于引发四川省县级公里医院取消药品加成经费补偿办法的通知》的通知（攀发改价格[2013]116号）通过落实政府办医责任、调整医疗服务价格、改革收费方式以加强公立医院成本管理等综合措施和联动政策，破除“以药补医”机制，切实做好降低患者医药费用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27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6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降低患者医药费用负担，满足患者就医需求</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年门诊量≥31</w:t>
            </w:r>
            <w:r>
              <w:rPr>
                <w:rFonts w:hint="eastAsia" w:ascii="宋体" w:hAnsi="宋体" w:eastAsia="宋体" w:cs="宋体"/>
                <w:i w:val="0"/>
                <w:iCs w:val="0"/>
                <w:color w:val="000000"/>
                <w:kern w:val="0"/>
                <w:sz w:val="24"/>
                <w:szCs w:val="24"/>
                <w:u w:val="none"/>
                <w:lang w:val="en-US" w:eastAsia="zh-CN" w:bidi="ar"/>
              </w:rPr>
              <w:t>万人；年住院量</w:t>
            </w:r>
            <w:r>
              <w:rPr>
                <w:rStyle w:val="8"/>
                <w:lang w:val="en-US" w:eastAsia="zh-CN" w:bidi="ar"/>
              </w:rPr>
              <w:t>≥1.8万人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多个科室使用加成补助费用</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科室量≥8个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销售药品符合国家食品药品监督管理总局规定</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按规定落实药品加成政策，药品质量合格率达100%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药品存储保管坚持安全储存、保证质量、降低损耗、避免事故的基本工作原则</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药品完好率100%，中药饮片95%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区级取消药品加成财政补助资金</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56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节约患者就医成本，承担公益性医疗机构应尽的社会责任</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降低我区患者就医负担效果显著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提升医生医疗服务水平</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医疗服务水平逐步提升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bookmarkStart w:id="0" w:name="_GoBack"/>
    </w:p>
    <w:bookmarkEnd w:id="0"/>
    <w:tbl>
      <w:tblPr>
        <w:tblStyle w:val="2"/>
        <w:tblW w:w="5614" w:type="pct"/>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561"/>
        <w:gridCol w:w="1143"/>
        <w:gridCol w:w="3399"/>
        <w:gridCol w:w="3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36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托管定额财政补助资金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36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36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77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3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3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1"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2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根据攀枝花市仁和区人民政府委托市中心医院管理仁和区人民医院协议书规定，区政府向攀枝华市仁和区人民医院固定投入经费50万元用于改善就医环境，完善公立医院服务体系。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29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托管协议定额补助购置专用设备</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推进分级诊疗，优化医疗资源配置</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提升仁和医院医疗机构技术水平和服务能力，优化医院运营效率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托管协议定额补助金额</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5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解决患者看病难题，提高患者满意度，提升患者医疗服务获得感</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满足患者就医检查治疗需求，促进公立医院高质量发展，强化专科能力建设，提升医疗服务质量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p/>
    <w:p>
      <w:r>
        <w:br w:type="page"/>
      </w:r>
    </w:p>
    <w:tbl>
      <w:tblPr>
        <w:tblStyle w:val="2"/>
        <w:tblW w:w="51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537"/>
        <w:gridCol w:w="1099"/>
        <w:gridCol w:w="3265"/>
        <w:gridCol w:w="3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2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洗涤费用财政补助资金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2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2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2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2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根据2023年预计使用布制品消毒费用核算，且根据医用被服物品特点，明确工艺标准，科学安排洗涤工序，保证洗涤质量，确保患者和职工的健康安全。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2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洗涤消毒布制品</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布制品洗涤达到理想洁净度，合理安全使用洗涤设备有效降低感染风险</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设置清洁区和污染区，采用全封闭式隔断，严格执行：消毒-预洗-主洗-漂洗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清洁布置品按标准储存，对已达到预定洗涤次数或者其他特殊原因须要报废织处理的布制品及时执行报废操作</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储存干燥、洁净周转库，严格遵守“密闭隔离，先入先出”储存原则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洗涤消毒布制品经费</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根据2023年1-9月洗涤布制品费用预计2024年将完成洗涤费用245000件*2.14元/件=5243000元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62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为患者和职工提供优质、高效、低耗的工作和生活保障服务</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满足1.8万住院人次就诊需求，满足医生服务患者医疗卫生标准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44502"/>
    <w:rsid w:val="2D60004E"/>
    <w:rsid w:val="43315F4E"/>
    <w:rsid w:val="4B2C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uiPriority w:val="0"/>
    <w:rPr>
      <w:rFonts w:hint="default" w:ascii="Times New Roman" w:hAnsi="Times New Roman" w:cs="Times New Roman"/>
      <w:color w:val="000000"/>
      <w:sz w:val="24"/>
      <w:szCs w:val="24"/>
      <w:u w:val="none"/>
    </w:rPr>
  </w:style>
  <w:style w:type="character" w:customStyle="1" w:styleId="5">
    <w:name w:val="font11"/>
    <w:basedOn w:val="3"/>
    <w:uiPriority w:val="0"/>
    <w:rPr>
      <w:rFonts w:hint="eastAsia" w:ascii="宋体" w:hAnsi="宋体" w:eastAsia="宋体" w:cs="宋体"/>
      <w:color w:val="000000"/>
      <w:sz w:val="24"/>
      <w:szCs w:val="24"/>
      <w:u w:val="none"/>
    </w:rPr>
  </w:style>
  <w:style w:type="character" w:customStyle="1" w:styleId="6">
    <w:name w:val="font51"/>
    <w:basedOn w:val="3"/>
    <w:uiPriority w:val="0"/>
    <w:rPr>
      <w:rFonts w:hint="default" w:ascii="Times New Roman" w:hAnsi="Times New Roman" w:cs="Times New Roman"/>
      <w:color w:val="000000"/>
      <w:sz w:val="24"/>
      <w:szCs w:val="24"/>
      <w:u w:val="none"/>
    </w:rPr>
  </w:style>
  <w:style w:type="character" w:customStyle="1" w:styleId="7">
    <w:name w:val="font21"/>
    <w:basedOn w:val="3"/>
    <w:uiPriority w:val="0"/>
    <w:rPr>
      <w:rFonts w:hint="eastAsia" w:ascii="宋体" w:hAnsi="宋体" w:eastAsia="宋体" w:cs="宋体"/>
      <w:color w:val="000000"/>
      <w:sz w:val="24"/>
      <w:szCs w:val="24"/>
      <w:u w:val="none"/>
    </w:rPr>
  </w:style>
  <w:style w:type="character" w:customStyle="1" w:styleId="8">
    <w:name w:val="font61"/>
    <w:basedOn w:val="3"/>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2024-01-31T07:20:00Z</dcterms:created>
  <dc:creator>Administrator</dc:creator>
  <cp:lastModifiedBy>Administrator</cp:lastModifiedBy>
  <dcterms:modified xsi:type="dcterms:W3CDTF">2024-12-25T02:06:41Z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18E781E58C074B4CBD012AF98DADAB8F</vt:lpwstr>
  </property>
</Properties>
</file>