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  <w:t>攀枝花市仁和区人民医院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eastAsia="宋体"/>
          <w:b/>
          <w:sz w:val="44"/>
          <w:szCs w:val="44"/>
          <w:shd w:val="clear" w:color="auto" w:fill="FFFFFF"/>
        </w:rPr>
        <w:t>整体支出绩效</w:t>
      </w:r>
      <w:r>
        <w:rPr>
          <w:rFonts w:hint="eastAsia" w:eastAsia="宋体"/>
          <w:b/>
          <w:sz w:val="44"/>
          <w:szCs w:val="44"/>
          <w:shd w:val="clear" w:color="auto" w:fill="FFFFFF"/>
        </w:rPr>
        <w:t>自评报告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部门概况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攀枝花市仁和区人民医院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占地面积29795.65平方米，其中一期建设项目14999平方米，二期建设项目14796.65平方米。总建筑面积38020.02平方米，其中一期门诊医技楼及住院部33611平方米，二期综合楼3649.95平方米，发热门诊、肠道门诊706.59平方米，医疗废物暂存间52.48平方米。门诊部设17个临床科室、7个医技科室；住院部设有10个病区；设16个职能科室，编制床位400张，实际开放床位400张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机构职能。</w:t>
      </w:r>
    </w:p>
    <w:p>
      <w:pPr>
        <w:tabs>
          <w:tab w:val="left" w:pos="540"/>
        </w:tabs>
        <w:spacing w:line="64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攀枝花市仁和区人民医院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成立于1978年2月，是一所政府举办的非营利性国家二级甲等综合医院、爱婴医院，全市急救中心网络医院，医疗保险、社会保险、伤残鉴定、民政救助定点医院。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人员概况。</w:t>
      </w:r>
    </w:p>
    <w:p>
      <w:pPr>
        <w:tabs>
          <w:tab w:val="left" w:pos="2805"/>
        </w:tabs>
        <w:spacing w:line="64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截止2023年底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院在岗职工426人，其中：正式在编人员150人,非编聘用人员270人、攀枝花市中心医院委派院长1人、攀枝花市仁和区纪委委派书记1人、见习试用4人。在岗职工中卫生专业技术人员380人，其中正高职称19人，副高职称60人，中级职称107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2023年我院部门决算收入总额为15680.39万元，其中：一般公共预算财政拨款收入1029.02万元，占比6.56%。事业收入14500.05万元，占比92.47%。其他收入151.31万元，占比0.96%。2023年财政拨款收入决算数1,029.02 万元，与2022年5,802.57 万元相比减少4773.55万元，减幅82.27%，主要原因是财政未拨付公立医院改革资金，使财政拨款收入减少。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财政拨款收入按资金的来源分：中央资金15.25万元，占财政拨款收入的1.48%；省级资金21.07万元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占财政拨款收入的2.05%；区级资金992.7万元，占财政拨款收入的96.47%。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财政拨款收入按支出功能分类分：事业单位离退休82.88万元，机关事业单位基本养老保险缴费支出413.94万元，综合医院479.35万元，其他公立医院支出21.07万元，基本公共卫生服务0.26万元，重大公共卫生服务22.07万元，公务员医疗补助9.37万元，其他卫生健康支出0.08万元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（二）部门财政资金支出情况。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2023年我院财政拨款支出总决算数1,032.0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万元，与2022年5,802.57 万元相比减少4770.5万元，减幅82.21%，主要原因是未拨付公立医院改革资金。</w:t>
      </w:r>
    </w:p>
    <w:p>
      <w:pPr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本年度财政基本预算拨款支出627.27万元，其中退休职工费用98.13万元，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基本预算拨款支出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占财政总预算拨款支出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60.78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%；项目预算拨款支出404.8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万元，占财政总预算拨款支出39.22%。</w:t>
      </w:r>
    </w:p>
    <w:p>
      <w:pPr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支出按经济分类：(1)工资福利费627.27万元，占财政拨款总支出60.78%，主要用于</w:t>
      </w:r>
      <w:r>
        <w:rPr>
          <w:rFonts w:hint="default" w:ascii="Times New Roman" w:hAnsi="Times New Roman" w:eastAsia="仿宋" w:cs="Times New Roman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在编在职职工养老保险及职业年金413.94万元；</w:t>
      </w:r>
      <w:r>
        <w:rPr>
          <w:rFonts w:hint="default" w:ascii="Times New Roman" w:hAnsi="Times New Roman" w:eastAsia="仿宋" w:cs="Times New Roman"/>
          <w:sz w:val="32"/>
          <w:szCs w:val="32"/>
        </w:rPr>
        <w:t>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休职工目标绩效、公务员医疗补助及抚恤金98.13万元；</w:t>
      </w:r>
      <w:r>
        <w:rPr>
          <w:rFonts w:hint="default" w:ascii="Times New Roman" w:hAnsi="Times New Roman" w:eastAsia="仿宋" w:cs="Times New Roman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在编在职职工核增一次性绩效工资115.2万元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(2)商品和服务支出223.12万元，</w:t>
      </w:r>
      <w:r>
        <w:rPr>
          <w:rFonts w:hint="eastAsia" w:cs="Times New Roman"/>
          <w:sz w:val="32"/>
          <w:szCs w:val="32"/>
          <w:lang w:val="en-US" w:eastAsia="zh-CN"/>
        </w:rPr>
        <w:t>占财政拨款总支出21.62%，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主要用于劳务费、差旅费、培训费、专用材料费等支出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(3)资本性支出70.1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cs="Times New Roman"/>
          <w:sz w:val="32"/>
          <w:szCs w:val="32"/>
          <w:lang w:val="en-US" w:eastAsia="zh-CN"/>
        </w:rPr>
        <w:t>财政拨款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总支出6.79%。资本性支出中专用设备购置支出67.2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万元，办公设备购置2.84万元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（4）国内债务付息111.57万元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占财政拨款总支出10.81%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2023年根据区级部门要求，我院组织财务、采购及涉及支出的部门工作人员学习，完善了预算绩效管理制度，贯穿了预算管理事前、事中、事后闭环的全过程预算绩效管理链条。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院绩效目标人员类年初预算505.58万元，全年实现支出627.27万元；特定目标类项目4个，涉及预算金额464.66万元，其中实现支出358.28万元，预算执行率为77.11%。包含托管及洗涤费用财政补助104.05万元，用于支付医院布制品洗涤费54.05万元，卫生材料费50.0万元；贷款利息111.57万元用于支付医院在农商行仁和支行2022年贷款利息；区级公立医院取消药品加成资金49.04万元用于支付卫生材料费；仁和医院中医药等特色专科发展补助资金预算200.0万元，支付设备质保金及物业管理服务费等93.62万元，此项目预算执行率为46.8%，其原因为财政资金紧张，未拨付余下金额款项，资金结余率为53.2%。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专项项目支出及2022年结转结余资金36.32万元，已全部安排使用。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运转类项目年初预算15500.0万元，因2023年财政未拨付医疗运转经费，因此此项目预算执行率为0。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按照川委厅[2022]5号文件精神，我院将预算绩效结果纳入部门内部绩效考核体系，与院部绩效考核挂钩，加强对本部门预算资金的统筹平衡，严格部门项目库管理，强化绩效源头管控。预算安排按轻重缓急进行排序。从数量、质量、时效、成本及效益等方面，综合衡量政策和项目预算资金使用效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严格落实公示制度。我院每年在规定时间节点按通知要求公示部门预决算及“三公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经费，公示内容完整、属实，无逾期未公示或未按要求公示的情况。</w:t>
      </w:r>
      <w:bookmarkStart w:id="0" w:name="_GoBack"/>
      <w:bookmarkEnd w:id="0"/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自评质量。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因2023年财政未拨付医疗管理经费，我院只对人员类及4个特定目标类进行评价。因财务人员专业水平的局限性，我院自评分与上级部门评价得分差异在5%以内。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2023年部门整体支出绩效评价9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分。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2023年除去运转类未拨付医疗运转经费外，利息费用、托管及洗涤费用财政补助、区级公立医院取消药品加成预算执行率为100%。仁和医院中医药等特色专科发展补助资金预算执行率为46.8%。因我院每年为完成特定任务而预算的项目，财政若不能按时拨付款项，则将影响医院的发展及业务水平的提高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改进建议。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我院将继续完善预算执行监管制度，建立健全预算执行监控机制，改进预算执行监控措施，抓好财政资金的拨、用、结，并进一步加强对预算执行的管理，提高预算资金的使用效率。同时，强化对预算资金的绩效管理，对受客观因素影响的预算项目及时做出调整，科学合理使用，促进预算资金的使用发挥其最大的效能。最后希望财政部门按照各单位预算项目计划金额拨款，同时多举办各种业务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   攀枝花市仁和区人民医院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       2024年5月17日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3BE9"/>
    <w:multiLevelType w:val="singleLevel"/>
    <w:tmpl w:val="06A23B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B27F7C"/>
    <w:multiLevelType w:val="singleLevel"/>
    <w:tmpl w:val="28B27F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TBlNmQwYjA3MTEyNDBmZjZlY2JmZTZmZTMyZmY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8B92242"/>
    <w:rsid w:val="0DC31556"/>
    <w:rsid w:val="0F1F2680"/>
    <w:rsid w:val="14440D24"/>
    <w:rsid w:val="152D594D"/>
    <w:rsid w:val="16946B78"/>
    <w:rsid w:val="1A3D6143"/>
    <w:rsid w:val="1C013801"/>
    <w:rsid w:val="1FE72727"/>
    <w:rsid w:val="20084133"/>
    <w:rsid w:val="214D3DFF"/>
    <w:rsid w:val="296A19BB"/>
    <w:rsid w:val="2D527252"/>
    <w:rsid w:val="2EAE55F2"/>
    <w:rsid w:val="2EDF4302"/>
    <w:rsid w:val="30913CD1"/>
    <w:rsid w:val="34D57C6A"/>
    <w:rsid w:val="41C010A9"/>
    <w:rsid w:val="47550EBA"/>
    <w:rsid w:val="4C495EA4"/>
    <w:rsid w:val="510D2AA8"/>
    <w:rsid w:val="51600B40"/>
    <w:rsid w:val="5366240C"/>
    <w:rsid w:val="53785121"/>
    <w:rsid w:val="655F5512"/>
    <w:rsid w:val="6636451A"/>
    <w:rsid w:val="676A6106"/>
    <w:rsid w:val="6EF65E9C"/>
    <w:rsid w:val="6F5D19F3"/>
    <w:rsid w:val="712B2DAA"/>
    <w:rsid w:val="71397E03"/>
    <w:rsid w:val="77FFA8F9"/>
    <w:rsid w:val="7A9314AC"/>
    <w:rsid w:val="7C631402"/>
    <w:rsid w:val="7DEE3196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3</Pages>
  <Words>891</Words>
  <Characters>1084</Characters>
  <Lines>2</Lines>
  <Paragraphs>1</Paragraphs>
  <TotalTime>15</TotalTime>
  <ScaleCrop>false</ScaleCrop>
  <LinksUpToDate>false</LinksUpToDate>
  <CharactersWithSpaces>1092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2024-12-25T01:48:11Z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BFE204847F754B9B9F76FEFCA2B83E32</vt:lpwstr>
  </property>
</Properties>
</file>