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8193E">
      <w:pPr>
        <w:spacing w:line="600" w:lineRule="exact"/>
        <w:jc w:val="center"/>
        <w:outlineLvl w:val="0"/>
        <w:rPr>
          <w:rFonts w:hint="default" w:ascii="Times New Roman" w:hAnsi="Times New Roman" w:eastAsia="方正小标宋简体" w:cs="Times New Roman"/>
          <w:color w:val="auto"/>
          <w:sz w:val="72"/>
          <w:szCs w:val="72"/>
          <w:highlight w:val="none"/>
        </w:rPr>
      </w:pPr>
      <w:bookmarkStart w:id="0" w:name="_Toc15396475"/>
      <w:bookmarkStart w:id="1" w:name="_Toc15378441"/>
      <w:bookmarkStart w:id="2" w:name="_Toc15396597"/>
      <w:bookmarkStart w:id="3" w:name="_Toc15377425"/>
      <w:bookmarkStart w:id="4" w:name="_Toc15377193"/>
      <w:bookmarkStart w:id="5" w:name="_Toc15306267"/>
    </w:p>
    <w:p w14:paraId="201B3D28">
      <w:pPr>
        <w:spacing w:line="600" w:lineRule="exact"/>
        <w:jc w:val="center"/>
        <w:outlineLvl w:val="0"/>
        <w:rPr>
          <w:rFonts w:hint="default" w:ascii="Times New Roman" w:hAnsi="Times New Roman" w:eastAsia="方正小标宋简体" w:cs="Times New Roman"/>
          <w:color w:val="auto"/>
          <w:sz w:val="72"/>
          <w:szCs w:val="72"/>
          <w:highlight w:val="none"/>
        </w:rPr>
      </w:pPr>
    </w:p>
    <w:p w14:paraId="10BBDE5B">
      <w:pPr>
        <w:spacing w:line="600" w:lineRule="exact"/>
        <w:jc w:val="center"/>
        <w:outlineLvl w:val="0"/>
        <w:rPr>
          <w:rFonts w:hint="default" w:ascii="Times New Roman" w:hAnsi="Times New Roman" w:eastAsia="方正小标宋简体" w:cs="Times New Roman"/>
          <w:color w:val="auto"/>
          <w:sz w:val="72"/>
          <w:szCs w:val="72"/>
          <w:highlight w:val="none"/>
        </w:rPr>
      </w:pPr>
    </w:p>
    <w:p w14:paraId="45710A0C">
      <w:pPr>
        <w:adjustRightInd w:val="0"/>
        <w:snapToGrid w:val="0"/>
        <w:spacing w:line="360" w:lineRule="auto"/>
        <w:jc w:val="center"/>
        <w:outlineLvl w:val="0"/>
        <w:rPr>
          <w:rFonts w:hint="default" w:ascii="Times New Roman" w:hAnsi="Times New Roman" w:eastAsia="方正小标宋简体" w:cs="Times New Roman"/>
          <w:color w:val="auto"/>
          <w:sz w:val="72"/>
          <w:szCs w:val="72"/>
          <w:highlight w:val="none"/>
        </w:rPr>
      </w:pPr>
      <w:r>
        <w:rPr>
          <w:rFonts w:hint="default" w:ascii="Times New Roman" w:hAnsi="Times New Roman" w:eastAsia="方正小标宋简体" w:cs="Times New Roman"/>
          <w:color w:val="auto"/>
          <w:sz w:val="72"/>
          <w:szCs w:val="72"/>
          <w:highlight w:val="none"/>
        </w:rPr>
        <w:t>20</w:t>
      </w:r>
      <w:r>
        <w:rPr>
          <w:rFonts w:hint="default" w:ascii="Times New Roman" w:hAnsi="Times New Roman" w:eastAsia="方正小标宋简体" w:cs="Times New Roman"/>
          <w:color w:val="auto"/>
          <w:sz w:val="72"/>
          <w:szCs w:val="72"/>
          <w:highlight w:val="none"/>
          <w:lang w:val="en-US" w:eastAsia="zh-CN"/>
        </w:rPr>
        <w:t>22</w:t>
      </w:r>
      <w:r>
        <w:rPr>
          <w:rFonts w:hint="default" w:ascii="Times New Roman" w:hAnsi="Times New Roman" w:eastAsia="方正小标宋简体" w:cs="Times New Roman"/>
          <w:color w:val="auto"/>
          <w:sz w:val="72"/>
          <w:szCs w:val="72"/>
          <w:highlight w:val="none"/>
        </w:rPr>
        <w:t>年度</w:t>
      </w:r>
      <w:bookmarkEnd w:id="0"/>
      <w:bookmarkEnd w:id="1"/>
      <w:bookmarkEnd w:id="2"/>
      <w:bookmarkEnd w:id="3"/>
      <w:bookmarkEnd w:id="4"/>
    </w:p>
    <w:bookmarkEnd w:id="5"/>
    <w:p w14:paraId="58996F0A">
      <w:pPr>
        <w:adjustRightInd w:val="0"/>
        <w:snapToGrid w:val="0"/>
        <w:spacing w:line="360" w:lineRule="auto"/>
        <w:jc w:val="center"/>
        <w:outlineLvl w:val="0"/>
        <w:rPr>
          <w:rFonts w:hint="default" w:ascii="Times New Roman" w:hAnsi="Times New Roman" w:eastAsia="方正小标宋简体" w:cs="Times New Roman"/>
          <w:color w:val="auto"/>
          <w:sz w:val="72"/>
          <w:szCs w:val="72"/>
          <w:highlight w:val="none"/>
        </w:rPr>
      </w:pPr>
      <w:bookmarkStart w:id="6" w:name="_Toc15396598"/>
      <w:bookmarkStart w:id="7" w:name="_Toc15378442"/>
      <w:bookmarkStart w:id="8" w:name="_Toc15377426"/>
      <w:bookmarkStart w:id="9" w:name="_Toc15306268"/>
      <w:bookmarkStart w:id="10" w:name="_Toc15396476"/>
      <w:bookmarkStart w:id="11" w:name="_Toc15377194"/>
      <w:r>
        <w:rPr>
          <w:rFonts w:hint="default" w:ascii="Times New Roman" w:hAnsi="Times New Roman" w:eastAsia="方正小标宋简体" w:cs="Times New Roman"/>
          <w:color w:val="auto"/>
          <w:sz w:val="72"/>
          <w:szCs w:val="72"/>
          <w:highlight w:val="none"/>
          <w:lang w:eastAsia="zh-CN"/>
        </w:rPr>
        <w:t>仁和区信访局</w:t>
      </w:r>
      <w:r>
        <w:rPr>
          <w:rFonts w:hint="default" w:ascii="Times New Roman" w:hAnsi="Times New Roman" w:eastAsia="方正小标宋简体" w:cs="Times New Roman"/>
          <w:color w:val="auto"/>
          <w:sz w:val="72"/>
          <w:szCs w:val="72"/>
          <w:highlight w:val="none"/>
        </w:rPr>
        <w:t>部门决算</w:t>
      </w:r>
      <w:bookmarkEnd w:id="6"/>
      <w:bookmarkEnd w:id="7"/>
      <w:bookmarkEnd w:id="8"/>
      <w:bookmarkEnd w:id="9"/>
      <w:bookmarkEnd w:id="10"/>
      <w:bookmarkEnd w:id="11"/>
    </w:p>
    <w:p w14:paraId="62301C2E">
      <w:pPr>
        <w:adjustRightInd w:val="0"/>
        <w:snapToGrid w:val="0"/>
        <w:spacing w:line="360" w:lineRule="auto"/>
        <w:jc w:val="center"/>
        <w:outlineLvl w:val="0"/>
        <w:rPr>
          <w:rFonts w:hint="default" w:ascii="Times New Roman" w:hAnsi="Times New Roman" w:eastAsia="方正小标宋简体" w:cs="Times New Roman"/>
          <w:color w:val="auto"/>
          <w:sz w:val="72"/>
          <w:szCs w:val="72"/>
          <w:highlight w:val="none"/>
          <w:lang w:eastAsia="zh-CN"/>
        </w:rPr>
      </w:pPr>
      <w:r>
        <w:rPr>
          <w:rFonts w:hint="default" w:ascii="Times New Roman" w:hAnsi="Times New Roman" w:eastAsia="方正小标宋简体" w:cs="Times New Roman"/>
          <w:color w:val="auto"/>
          <w:sz w:val="72"/>
          <w:szCs w:val="72"/>
          <w:highlight w:val="none"/>
          <w:lang w:eastAsia="zh-CN"/>
        </w:rPr>
        <w:t>编制说明</w:t>
      </w:r>
    </w:p>
    <w:p w14:paraId="5910B7D8">
      <w:pPr>
        <w:widowControl/>
        <w:jc w:val="center"/>
        <w:rPr>
          <w:rFonts w:hint="default" w:ascii="Times New Roman" w:hAnsi="Times New Roman" w:eastAsia="黑体" w:cs="Times New Roman"/>
          <w:color w:val="auto"/>
          <w:sz w:val="48"/>
          <w:szCs w:val="48"/>
          <w:highlight w:val="none"/>
        </w:rPr>
      </w:pPr>
      <w:r>
        <w:rPr>
          <w:rFonts w:hint="default" w:ascii="Times New Roman" w:hAnsi="Times New Roman" w:eastAsia="方正小标宋简体" w:cs="Times New Roman"/>
          <w:color w:val="auto"/>
          <w:sz w:val="36"/>
          <w:szCs w:val="36"/>
          <w:highlight w:val="none"/>
        </w:rPr>
        <w:br w:type="page"/>
      </w:r>
      <w:r>
        <w:rPr>
          <w:rFonts w:hint="default" w:ascii="Times New Roman" w:hAnsi="Times New Roman" w:eastAsia="黑体" w:cs="Times New Roman"/>
          <w:color w:val="auto"/>
          <w:sz w:val="48"/>
          <w:szCs w:val="48"/>
          <w:highlight w:val="none"/>
        </w:rPr>
        <w:t>目</w:t>
      </w:r>
      <w:r>
        <w:rPr>
          <w:rFonts w:hint="default" w:ascii="Times New Roman" w:hAnsi="Times New Roman" w:eastAsia="黑体" w:cs="Times New Roman"/>
          <w:color w:val="auto"/>
          <w:sz w:val="48"/>
          <w:szCs w:val="48"/>
          <w:highlight w:val="none"/>
          <w:lang w:val="en-US" w:eastAsia="zh-CN"/>
        </w:rPr>
        <w:t xml:space="preserve">  </w:t>
      </w:r>
      <w:r>
        <w:rPr>
          <w:rFonts w:hint="default" w:ascii="Times New Roman" w:hAnsi="Times New Roman" w:eastAsia="黑体" w:cs="Times New Roman"/>
          <w:color w:val="auto"/>
          <w:sz w:val="48"/>
          <w:szCs w:val="48"/>
          <w:highlight w:val="none"/>
        </w:rPr>
        <w:t>录</w:t>
      </w:r>
    </w:p>
    <w:p w14:paraId="6F7C5274">
      <w:pPr>
        <w:widowControl/>
        <w:jc w:val="center"/>
        <w:rPr>
          <w:rFonts w:hint="default" w:ascii="Times New Roman" w:hAnsi="Times New Roman" w:eastAsia="黑体" w:cs="Times New Roman"/>
          <w:color w:val="auto"/>
          <w:sz w:val="28"/>
          <w:szCs w:val="28"/>
          <w:highlight w:val="none"/>
        </w:rPr>
      </w:pPr>
    </w:p>
    <w:p w14:paraId="2C78FE6F">
      <w:pPr>
        <w:pStyle w:val="12"/>
        <w:rPr>
          <w:rFonts w:hint="default" w:ascii="Times New Roman" w:hAnsi="Times New Roman" w:cs="Times New Roman"/>
          <w:color w:val="auto"/>
          <w:highlight w:val="none"/>
        </w:rPr>
      </w:pPr>
      <w:r>
        <w:rPr>
          <w:rFonts w:hint="default" w:ascii="Times New Roman" w:hAnsi="Times New Roman" w:cs="Times New Roman"/>
          <w:color w:val="auto"/>
          <w:highlight w:val="none"/>
        </w:rPr>
        <w:t>公开时间：20</w:t>
      </w:r>
      <w:r>
        <w:rPr>
          <w:rFonts w:hint="default" w:ascii="Times New Roman" w:hAnsi="Times New Roman" w:cs="Times New Roman"/>
          <w:color w:val="auto"/>
          <w:highlight w:val="none"/>
          <w:lang w:val="en-US" w:eastAsia="zh-CN"/>
        </w:rPr>
        <w:t>23</w:t>
      </w:r>
      <w:r>
        <w:rPr>
          <w:rFonts w:hint="default"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25</w:t>
      </w:r>
      <w:r>
        <w:rPr>
          <w:rFonts w:hint="default" w:ascii="Times New Roman" w:hAnsi="Times New Roman" w:cs="Times New Roman"/>
          <w:color w:val="auto"/>
          <w:highlight w:val="none"/>
        </w:rPr>
        <w:t>日</w:t>
      </w:r>
    </w:p>
    <w:p w14:paraId="3816118E">
      <w:pPr>
        <w:rPr>
          <w:rFonts w:hint="default" w:ascii="Times New Roman" w:hAnsi="Times New Roman" w:cs="Times New Roman"/>
          <w:color w:val="auto"/>
          <w:highlight w:val="none"/>
        </w:rPr>
      </w:pPr>
    </w:p>
    <w:p w14:paraId="4BF5FFB5">
      <w:pPr>
        <w:pStyle w:val="12"/>
        <w:adjustRightInd w:val="0"/>
        <w:snapToGrid w:val="0"/>
        <w:spacing w:before="0"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第一部分 部门概况</w:t>
      </w:r>
      <w:r>
        <w:rPr>
          <w:rFonts w:hint="default" w:ascii="Times New Roman" w:hAnsi="Times New Roman" w:cs="Times New Roman"/>
          <w:color w:val="auto"/>
          <w:sz w:val="28"/>
          <w:szCs w:val="28"/>
          <w:highlight w:val="none"/>
          <w:lang w:val="en-US" w:eastAsia="zh-CN"/>
        </w:rPr>
        <w:t>..................................................................................4</w:t>
      </w:r>
    </w:p>
    <w:p w14:paraId="530B04AC">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rPr>
      </w:pPr>
      <w:r>
        <w:rPr>
          <w:rFonts w:hint="default" w:ascii="Times New Roman" w:hAnsi="Times New Roman" w:eastAsia="仿宋" w:cs="Times New Roman"/>
          <w:color w:val="auto"/>
          <w:sz w:val="28"/>
          <w:szCs w:val="28"/>
          <w:highlight w:val="none"/>
        </w:rPr>
        <w:t>一、</w:t>
      </w:r>
      <w:r>
        <w:rPr>
          <w:rFonts w:hint="default" w:ascii="Times New Roman" w:hAnsi="Times New Roman" w:eastAsia="仿宋" w:cs="Times New Roman"/>
          <w:color w:val="auto"/>
          <w:sz w:val="28"/>
          <w:szCs w:val="28"/>
          <w:highlight w:val="none"/>
          <w:lang w:eastAsia="zh-CN"/>
        </w:rPr>
        <w:t>部门职责</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4</w:t>
      </w:r>
    </w:p>
    <w:p w14:paraId="14833261">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二、机构设置</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5</w:t>
      </w:r>
    </w:p>
    <w:p w14:paraId="336E5C4B">
      <w:pPr>
        <w:pStyle w:val="12"/>
        <w:adjustRightInd w:val="0"/>
        <w:snapToGrid w:val="0"/>
        <w:spacing w:before="0"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第二部分</w:t>
      </w:r>
      <w:r>
        <w:rPr>
          <w:rFonts w:hint="default" w:ascii="Times New Roman" w:hAnsi="Times New Roman" w:eastAsia="仿宋" w:cs="Times New Roman"/>
          <w:color w:val="auto"/>
          <w:sz w:val="28"/>
          <w:szCs w:val="28"/>
          <w:highlight w:val="none"/>
          <w:lang w:val="en-US" w:eastAsia="zh-CN"/>
        </w:rPr>
        <w:t xml:space="preserve"> 2022年度</w:t>
      </w:r>
      <w:r>
        <w:rPr>
          <w:rFonts w:hint="default" w:ascii="Times New Roman" w:hAnsi="Times New Roman" w:eastAsia="仿宋" w:cs="Times New Roman"/>
          <w:color w:val="auto"/>
          <w:sz w:val="28"/>
          <w:szCs w:val="28"/>
          <w:highlight w:val="none"/>
        </w:rPr>
        <w:t>部门决算情况说明</w:t>
      </w:r>
      <w:r>
        <w:rPr>
          <w:rFonts w:hint="default" w:ascii="Times New Roman" w:hAnsi="Times New Roman" w:cs="Times New Roman"/>
          <w:color w:val="auto"/>
          <w:sz w:val="28"/>
          <w:szCs w:val="28"/>
          <w:highlight w:val="none"/>
          <w:lang w:val="en-US" w:eastAsia="zh-CN"/>
        </w:rPr>
        <w:t>.................................................6</w:t>
      </w:r>
    </w:p>
    <w:p w14:paraId="31CD3193">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一、收入支出决算总体情况说明</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6</w:t>
      </w:r>
    </w:p>
    <w:p w14:paraId="6087B972">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二、收入决算情况说明</w:t>
      </w:r>
      <w:r>
        <w:rPr>
          <w:rFonts w:hint="default" w:ascii="Times New Roman" w:hAnsi="Times New Roman" w:eastAsia="仿宋" w:cs="Times New Roman"/>
          <w:color w:val="auto"/>
          <w:sz w:val="28"/>
          <w:szCs w:val="28"/>
          <w:highlight w:val="none"/>
          <w:lang w:val="en-US" w:eastAsia="zh-CN"/>
        </w:rPr>
        <w:t>......................................................................6</w:t>
      </w:r>
    </w:p>
    <w:p w14:paraId="43488D5A">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三、支出决算情况说明</w:t>
      </w:r>
      <w:r>
        <w:rPr>
          <w:rFonts w:hint="default" w:ascii="Times New Roman" w:hAnsi="Times New Roman" w:eastAsia="仿宋" w:cs="Times New Roman"/>
          <w:color w:val="auto"/>
          <w:sz w:val="28"/>
          <w:szCs w:val="28"/>
          <w:highlight w:val="none"/>
          <w:lang w:val="en-US" w:eastAsia="zh-CN"/>
        </w:rPr>
        <w:t>......................................................................7</w:t>
      </w:r>
    </w:p>
    <w:p w14:paraId="289C517D">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四、财政拨款收入支出决算总体情况说明</w:t>
      </w:r>
      <w:r>
        <w:rPr>
          <w:rFonts w:hint="default" w:ascii="Times New Roman" w:hAnsi="Times New Roman" w:eastAsia="仿宋" w:cs="Times New Roman"/>
          <w:color w:val="auto"/>
          <w:sz w:val="28"/>
          <w:szCs w:val="28"/>
          <w:highlight w:val="none"/>
          <w:lang w:val="en-US" w:eastAsia="zh-CN"/>
        </w:rPr>
        <w:t>......................................7</w:t>
      </w:r>
    </w:p>
    <w:p w14:paraId="314F8F4C">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五、一般公共预算财政拨款支出决算情况说明</w:t>
      </w:r>
      <w:r>
        <w:rPr>
          <w:rFonts w:hint="default" w:ascii="Times New Roman" w:hAnsi="Times New Roman" w:eastAsia="仿宋" w:cs="Times New Roman"/>
          <w:color w:val="auto"/>
          <w:sz w:val="28"/>
          <w:szCs w:val="28"/>
          <w:highlight w:val="none"/>
          <w:lang w:val="en-US" w:eastAsia="zh-CN"/>
        </w:rPr>
        <w:t>..............................8</w:t>
      </w:r>
    </w:p>
    <w:p w14:paraId="473BA8B9">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六、一般公共预算财政拨款基本支出决算情况说明</w:t>
      </w:r>
      <w:r>
        <w:rPr>
          <w:rFonts w:hint="default" w:ascii="Times New Roman" w:hAnsi="Times New Roman" w:eastAsia="仿宋" w:cs="Times New Roman"/>
          <w:color w:val="auto"/>
          <w:sz w:val="28"/>
          <w:szCs w:val="28"/>
          <w:highlight w:val="none"/>
          <w:lang w:val="en-US" w:eastAsia="zh-CN"/>
        </w:rPr>
        <w:t>.....................12</w:t>
      </w:r>
    </w:p>
    <w:p w14:paraId="748F142E">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七、财政拨款</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三公”经费支出决算情况说明</w:t>
      </w:r>
      <w:r>
        <w:rPr>
          <w:rFonts w:hint="default" w:ascii="Times New Roman" w:hAnsi="Times New Roman" w:eastAsia="仿宋" w:cs="Times New Roman"/>
          <w:color w:val="auto"/>
          <w:sz w:val="28"/>
          <w:szCs w:val="28"/>
          <w:highlight w:val="none"/>
          <w:lang w:val="en-US" w:eastAsia="zh-CN"/>
        </w:rPr>
        <w:t>..................................12</w:t>
      </w:r>
    </w:p>
    <w:p w14:paraId="6344929C">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八、政府性基金预算支出决算情况说明</w:t>
      </w:r>
      <w:r>
        <w:rPr>
          <w:rFonts w:hint="default" w:ascii="Times New Roman" w:hAnsi="Times New Roman" w:eastAsia="仿宋" w:cs="Times New Roman"/>
          <w:color w:val="auto"/>
          <w:sz w:val="28"/>
          <w:szCs w:val="28"/>
          <w:highlight w:val="none"/>
          <w:lang w:val="en-US" w:eastAsia="zh-CN"/>
        </w:rPr>
        <w:t>..........................................14</w:t>
      </w:r>
    </w:p>
    <w:p w14:paraId="7886B7B0">
      <w:pPr>
        <w:pStyle w:val="13"/>
        <w:adjustRightInd w:val="0"/>
        <w:snapToGrid w:val="0"/>
        <w:spacing w:line="440" w:lineRule="exact"/>
        <w:ind w:leftChars="0"/>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九、</w:t>
      </w:r>
      <w:r>
        <w:rPr>
          <w:rFonts w:hint="default" w:ascii="Times New Roman" w:hAnsi="Times New Roman" w:eastAsia="仿宋" w:cs="Times New Roman"/>
          <w:color w:val="auto"/>
          <w:sz w:val="28"/>
          <w:szCs w:val="28"/>
          <w:highlight w:val="none"/>
          <w:lang w:eastAsia="zh-CN"/>
        </w:rPr>
        <w:t>国</w:t>
      </w:r>
      <w:r>
        <w:rPr>
          <w:rFonts w:hint="default" w:ascii="Times New Roman" w:hAnsi="Times New Roman" w:eastAsia="仿宋" w:cs="Times New Roman"/>
          <w:color w:val="auto"/>
          <w:sz w:val="28"/>
          <w:szCs w:val="28"/>
          <w:highlight w:val="none"/>
        </w:rPr>
        <w:t>有资本经营预算支出决算情况说明</w:t>
      </w:r>
      <w:r>
        <w:rPr>
          <w:rFonts w:hint="default" w:ascii="Times New Roman" w:hAnsi="Times New Roman" w:eastAsia="仿宋" w:cs="Times New Roman"/>
          <w:color w:val="auto"/>
          <w:sz w:val="28"/>
          <w:szCs w:val="28"/>
          <w:highlight w:val="none"/>
          <w:lang w:val="en-US" w:eastAsia="zh-CN"/>
        </w:rPr>
        <w:t>.....................................14</w:t>
      </w:r>
    </w:p>
    <w:p w14:paraId="677B28E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90" w:firstLineChars="175"/>
        <w:jc w:val="left"/>
        <w:textAlignment w:val="auto"/>
        <w:rPr>
          <w:rFonts w:hint="default" w:ascii="Times New Roman" w:hAnsi="Times New Roman" w:eastAsia="仿宋" w:cs="Times New Roman"/>
          <w:color w:val="auto"/>
          <w:sz w:val="28"/>
          <w:szCs w:val="28"/>
          <w:highlight w:val="none"/>
          <w:lang w:val="en-US" w:eastAsia="zh-CN"/>
        </w:rPr>
      </w:pPr>
      <w:r>
        <w:rPr>
          <w:rStyle w:val="18"/>
          <w:rFonts w:hint="default" w:ascii="Times New Roman" w:hAnsi="Times New Roman" w:eastAsia="仿宋" w:cs="Times New Roman"/>
          <w:color w:val="auto"/>
          <w:sz w:val="28"/>
          <w:szCs w:val="28"/>
          <w:highlight w:val="none"/>
          <w:u w:val="none"/>
          <w:lang w:eastAsia="zh-CN"/>
        </w:rPr>
        <w:t>十</w:t>
      </w:r>
      <w:r>
        <w:rPr>
          <w:rStyle w:val="18"/>
          <w:rFonts w:hint="default" w:ascii="Times New Roman" w:hAnsi="Times New Roman" w:eastAsia="仿宋" w:cs="Times New Roman"/>
          <w:color w:val="auto"/>
          <w:sz w:val="28"/>
          <w:szCs w:val="28"/>
          <w:highlight w:val="none"/>
          <w:u w:val="none"/>
        </w:rPr>
        <w:t>、</w:t>
      </w:r>
      <w:r>
        <w:rPr>
          <w:rFonts w:hint="default" w:ascii="Times New Roman" w:hAnsi="Times New Roman" w:eastAsia="仿宋" w:cs="Times New Roman"/>
          <w:color w:val="auto"/>
          <w:sz w:val="28"/>
          <w:szCs w:val="28"/>
          <w:highlight w:val="none"/>
        </w:rPr>
        <w:t>其他重要事项的情况说明</w:t>
      </w:r>
      <w:r>
        <w:rPr>
          <w:rFonts w:hint="default" w:ascii="Times New Roman" w:hAnsi="Times New Roman" w:eastAsia="仿宋" w:cs="Times New Roman"/>
          <w:color w:val="auto"/>
          <w:sz w:val="28"/>
          <w:szCs w:val="28"/>
          <w:highlight w:val="none"/>
        </w:rPr>
        <w:tab/>
      </w:r>
      <w:r>
        <w:rPr>
          <w:rFonts w:hint="default" w:ascii="Times New Roman" w:hAnsi="Times New Roman" w:eastAsia="仿宋" w:cs="Times New Roman"/>
          <w:color w:val="auto"/>
          <w:sz w:val="28"/>
          <w:szCs w:val="28"/>
          <w:highlight w:val="none"/>
          <w:lang w:val="en-US" w:eastAsia="zh-CN"/>
        </w:rPr>
        <w:t>......................................................14</w:t>
      </w:r>
    </w:p>
    <w:p w14:paraId="0F504485">
      <w:pPr>
        <w:pStyle w:val="12"/>
        <w:adjustRightInd w:val="0"/>
        <w:snapToGrid w:val="0"/>
        <w:spacing w:before="0"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第三部分 名词解释</w:t>
      </w:r>
      <w:r>
        <w:rPr>
          <w:rFonts w:hint="default" w:ascii="Times New Roman" w:hAnsi="Times New Roman"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......................................17</w:t>
      </w:r>
    </w:p>
    <w:p w14:paraId="2DDC0A63">
      <w:pPr>
        <w:pStyle w:val="12"/>
        <w:adjustRightInd w:val="0"/>
        <w:snapToGrid w:val="0"/>
        <w:spacing w:before="0"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第四部分 附件</w:t>
      </w:r>
      <w:r>
        <w:rPr>
          <w:rFonts w:hint="default" w:ascii="Times New Roman" w:hAnsi="Times New Roman"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......................................21</w:t>
      </w:r>
    </w:p>
    <w:p w14:paraId="02F27DEA">
      <w:pPr>
        <w:pStyle w:val="12"/>
        <w:adjustRightInd w:val="0"/>
        <w:snapToGrid w:val="0"/>
        <w:spacing w:before="0"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第五部分 附表</w:t>
      </w:r>
      <w:r>
        <w:rPr>
          <w:rFonts w:hint="default" w:ascii="Times New Roman" w:hAnsi="Times New Roman"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......................................64</w:t>
      </w:r>
    </w:p>
    <w:p w14:paraId="5489BF8E">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一、收入支出决算总表</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64</w:t>
      </w:r>
    </w:p>
    <w:p w14:paraId="43FFE48A">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二、收入决算表</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64</w:t>
      </w:r>
    </w:p>
    <w:p w14:paraId="4CBACB60">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三、支出决算表</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lang w:val="en-US" w:eastAsia="zh-CN"/>
        </w:rPr>
        <w:t>64</w:t>
      </w:r>
    </w:p>
    <w:p w14:paraId="5319CB12">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四、财政拨款收入支出决算总表</w:t>
      </w:r>
      <w:r>
        <w:rPr>
          <w:rFonts w:hint="default" w:ascii="Times New Roman" w:hAnsi="Times New Roman" w:eastAsia="仿宋" w:cs="Times New Roman"/>
          <w:color w:val="auto"/>
          <w:sz w:val="28"/>
          <w:szCs w:val="28"/>
          <w:highlight w:val="none"/>
          <w:lang w:val="en-US" w:eastAsia="zh-CN"/>
        </w:rPr>
        <w:t>......................................................64</w:t>
      </w:r>
    </w:p>
    <w:p w14:paraId="42FE74C6">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五、财政拨款支出决算明细表</w:t>
      </w:r>
      <w:r>
        <w:rPr>
          <w:rFonts w:hint="default" w:ascii="Times New Roman" w:hAnsi="Times New Roman" w:eastAsia="仿宋" w:cs="Times New Roman"/>
          <w:color w:val="auto"/>
          <w:sz w:val="28"/>
          <w:szCs w:val="28"/>
          <w:highlight w:val="none"/>
          <w:lang w:val="en-US" w:eastAsia="zh-CN"/>
        </w:rPr>
        <w:t>..........................................................64</w:t>
      </w:r>
    </w:p>
    <w:p w14:paraId="7387472B">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六、一般公共预算财政拨款支出决算表</w:t>
      </w:r>
      <w:r>
        <w:rPr>
          <w:rFonts w:hint="default" w:ascii="Times New Roman" w:hAnsi="Times New Roman" w:eastAsia="仿宋" w:cs="Times New Roman"/>
          <w:color w:val="auto"/>
          <w:sz w:val="28"/>
          <w:szCs w:val="28"/>
          <w:highlight w:val="none"/>
          <w:lang w:val="en-US" w:eastAsia="zh-CN"/>
        </w:rPr>
        <w:t>..........................................64</w:t>
      </w:r>
    </w:p>
    <w:p w14:paraId="3E91A4DF">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七、一般公共预算财政拨款支出决算明细表</w:t>
      </w:r>
      <w:r>
        <w:rPr>
          <w:rFonts w:hint="default" w:ascii="Times New Roman" w:hAnsi="Times New Roman" w:eastAsia="仿宋" w:cs="Times New Roman"/>
          <w:color w:val="auto"/>
          <w:sz w:val="28"/>
          <w:szCs w:val="28"/>
          <w:highlight w:val="none"/>
          <w:lang w:val="en-US" w:eastAsia="zh-CN"/>
        </w:rPr>
        <w:t>..................................64</w:t>
      </w:r>
    </w:p>
    <w:p w14:paraId="280989A3">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八、一般公共预算财政拨款基本支出决算</w:t>
      </w:r>
      <w:r>
        <w:rPr>
          <w:rFonts w:hint="default" w:ascii="Times New Roman" w:hAnsi="Times New Roman" w:eastAsia="仿宋" w:cs="Times New Roman"/>
          <w:color w:val="auto"/>
          <w:sz w:val="28"/>
          <w:szCs w:val="28"/>
          <w:highlight w:val="none"/>
          <w:lang w:eastAsia="zh-CN"/>
        </w:rPr>
        <w:t>明细</w:t>
      </w:r>
      <w:r>
        <w:rPr>
          <w:rFonts w:hint="default" w:ascii="Times New Roman" w:hAnsi="Times New Roman" w:eastAsia="仿宋" w:cs="Times New Roman"/>
          <w:color w:val="auto"/>
          <w:sz w:val="28"/>
          <w:szCs w:val="28"/>
          <w:highlight w:val="none"/>
        </w:rPr>
        <w:t>表</w:t>
      </w:r>
      <w:r>
        <w:rPr>
          <w:rFonts w:hint="default" w:ascii="Times New Roman" w:hAnsi="Times New Roman" w:eastAsia="仿宋" w:cs="Times New Roman"/>
          <w:color w:val="auto"/>
          <w:sz w:val="28"/>
          <w:szCs w:val="28"/>
          <w:highlight w:val="none"/>
          <w:lang w:val="en-US" w:eastAsia="zh-CN"/>
        </w:rPr>
        <w:t>........................64</w:t>
      </w:r>
    </w:p>
    <w:p w14:paraId="5E7D581B">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九、一般公共预算财政拨款项目支出决算表</w:t>
      </w:r>
      <w:r>
        <w:rPr>
          <w:rFonts w:hint="default" w:ascii="Times New Roman" w:hAnsi="Times New Roman" w:eastAsia="仿宋" w:cs="Times New Roman"/>
          <w:color w:val="auto"/>
          <w:sz w:val="28"/>
          <w:szCs w:val="28"/>
          <w:highlight w:val="none"/>
          <w:lang w:val="en-US" w:eastAsia="zh-CN"/>
        </w:rPr>
        <w:t>................................64</w:t>
      </w:r>
    </w:p>
    <w:p w14:paraId="0F8D3D9C">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十、政府性基金预算财政拨款收入支出决算表</w:t>
      </w:r>
      <w:r>
        <w:rPr>
          <w:rFonts w:hint="default" w:ascii="Times New Roman" w:hAnsi="Times New Roman" w:eastAsia="仿宋" w:cs="Times New Roman"/>
          <w:color w:val="auto"/>
          <w:sz w:val="28"/>
          <w:szCs w:val="28"/>
          <w:highlight w:val="none"/>
          <w:lang w:val="en-US" w:eastAsia="zh-CN"/>
        </w:rPr>
        <w:t>..........................64</w:t>
      </w:r>
    </w:p>
    <w:p w14:paraId="3CB17A8D">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十一、国有资本经营预算财政拨款收入支出决算表</w:t>
      </w:r>
      <w:r>
        <w:rPr>
          <w:rFonts w:hint="default" w:ascii="Times New Roman" w:hAnsi="Times New Roman" w:eastAsia="仿宋" w:cs="Times New Roman"/>
          <w:color w:val="auto"/>
          <w:sz w:val="28"/>
          <w:szCs w:val="28"/>
          <w:highlight w:val="none"/>
          <w:lang w:val="en-US" w:eastAsia="zh-CN"/>
        </w:rPr>
        <w:t>..................64</w:t>
      </w:r>
    </w:p>
    <w:p w14:paraId="2BAD8E10">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rPr>
      </w:pPr>
      <w:r>
        <w:rPr>
          <w:rFonts w:hint="default" w:ascii="Times New Roman" w:hAnsi="Times New Roman" w:eastAsia="仿宋" w:cs="Times New Roman"/>
          <w:color w:val="auto"/>
          <w:sz w:val="28"/>
          <w:szCs w:val="28"/>
          <w:highlight w:val="none"/>
        </w:rPr>
        <w:t>十二、</w:t>
      </w:r>
      <w:r>
        <w:rPr>
          <w:rFonts w:hint="default" w:ascii="Times New Roman" w:hAnsi="Times New Roman" w:eastAsia="仿宋" w:cs="Times New Roman"/>
          <w:color w:val="auto"/>
          <w:sz w:val="28"/>
          <w:szCs w:val="28"/>
          <w:highlight w:val="none"/>
          <w:lang w:val="en-US" w:eastAsia="zh-CN"/>
        </w:rPr>
        <w:t>国有资本经营预算财政拨款支出决算表..........................64</w:t>
      </w:r>
    </w:p>
    <w:p w14:paraId="28E250D1">
      <w:pPr>
        <w:pStyle w:val="13"/>
        <w:adjustRightInd w:val="0"/>
        <w:snapToGrid w:val="0"/>
        <w:spacing w:line="440" w:lineRule="exact"/>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十三、财政拨款“三公”经费支出决算表</w:t>
      </w:r>
      <w:r>
        <w:rPr>
          <w:rFonts w:hint="default" w:ascii="Times New Roman" w:hAnsi="Times New Roman" w:eastAsia="仿宋" w:cs="Times New Roman"/>
          <w:color w:val="auto"/>
          <w:sz w:val="28"/>
          <w:szCs w:val="28"/>
          <w:highlight w:val="none"/>
          <w:lang w:val="en-US" w:eastAsia="zh-CN"/>
        </w:rPr>
        <w:t>.......................................64</w:t>
      </w:r>
    </w:p>
    <w:p w14:paraId="674F36D1">
      <w:pPr>
        <w:widowControl/>
        <w:spacing w:line="440" w:lineRule="exact"/>
        <w:jc w:val="left"/>
        <w:rPr>
          <w:rFonts w:hint="default" w:ascii="Times New Roman" w:hAnsi="Times New Roman" w:eastAsia="仿宋" w:cs="Times New Roman"/>
          <w:bCs/>
          <w:color w:val="auto"/>
          <w:kern w:val="44"/>
          <w:sz w:val="24"/>
          <w:highlight w:val="none"/>
        </w:rPr>
      </w:pPr>
      <w:bookmarkStart w:id="12" w:name="_Toc15396599"/>
      <w:bookmarkStart w:id="13" w:name="_Toc15377196"/>
      <w:r>
        <w:rPr>
          <w:rFonts w:hint="default" w:ascii="Times New Roman" w:hAnsi="Times New Roman" w:eastAsia="仿宋" w:cs="Times New Roman"/>
          <w:b/>
          <w:color w:val="auto"/>
          <w:sz w:val="24"/>
          <w:highlight w:val="none"/>
        </w:rPr>
        <w:br w:type="page"/>
      </w:r>
    </w:p>
    <w:p w14:paraId="6038EEC8">
      <w:pPr>
        <w:pStyle w:val="3"/>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b w:val="0"/>
          <w:color w:val="auto"/>
          <w:highlight w:val="none"/>
        </w:rPr>
        <w:t xml:space="preserve">第一部分 </w:t>
      </w:r>
      <w:r>
        <w:rPr>
          <w:rStyle w:val="28"/>
          <w:rFonts w:hint="default" w:ascii="Times New Roman" w:hAnsi="Times New Roman" w:eastAsia="黑体" w:cs="Times New Roman"/>
          <w:b w:val="0"/>
          <w:bCs w:val="0"/>
          <w:color w:val="auto"/>
          <w:highlight w:val="none"/>
        </w:rPr>
        <w:t>部门概况</w:t>
      </w:r>
      <w:bookmarkEnd w:id="12"/>
      <w:bookmarkEnd w:id="13"/>
    </w:p>
    <w:p w14:paraId="1B4BA9BE">
      <w:pPr>
        <w:pStyle w:val="4"/>
        <w:pageBreakBefore w:val="0"/>
        <w:widowControl w:val="0"/>
        <w:numPr>
          <w:ilvl w:val="0"/>
          <w:numId w:val="0"/>
        </w:numPr>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仿宋" w:cs="Times New Roman"/>
          <w:b w:val="0"/>
          <w:bCs w:val="0"/>
          <w:sz w:val="32"/>
          <w:szCs w:val="32"/>
        </w:rPr>
      </w:pPr>
      <w:r>
        <w:rPr>
          <w:rFonts w:hint="default" w:ascii="Times New Roman" w:hAnsi="Times New Roman" w:eastAsia="黑体" w:cs="Times New Roman"/>
          <w:b w:val="0"/>
          <w:color w:val="auto"/>
          <w:highlight w:val="none"/>
          <w:lang w:eastAsia="zh-CN"/>
        </w:rPr>
        <w:t>一、部门职责</w:t>
      </w:r>
    </w:p>
    <w:p w14:paraId="56E82ED3">
      <w:pPr>
        <w:pStyle w:val="4"/>
        <w:pageBreakBefore w:val="0"/>
        <w:widowControl w:val="0"/>
        <w:numPr>
          <w:ilvl w:val="0"/>
          <w:numId w:val="0"/>
        </w:numPr>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b w:val="0"/>
          <w:bCs w:val="0"/>
          <w:sz w:val="32"/>
          <w:szCs w:val="32"/>
          <w:lang w:val="en-US" w:eastAsia="zh-CN" w:bidi="ar"/>
        </w:rPr>
        <w:t>1.</w:t>
      </w:r>
      <w:r>
        <w:rPr>
          <w:rFonts w:hint="default" w:ascii="Times New Roman" w:hAnsi="Times New Roman" w:eastAsia="方正仿宋_GBK" w:cs="Times New Roman"/>
          <w:b w:val="0"/>
          <w:bCs w:val="0"/>
          <w:sz w:val="32"/>
          <w:szCs w:val="32"/>
          <w:lang w:bidi="ar"/>
        </w:rPr>
        <w:t>贯彻落实党中央关于信访工作的方针政策和省委、市委、区委的决策部署，在履行职责过程中坚持和加强党对信访工作的集中统一领导。起草有关信访工作的规范性文件；制定信访问题排查化解、风险评估等制度并组织实施，负责提出改进和加强信访工作的建议；负责本系统、本部门依法行政工作。</w:t>
      </w:r>
    </w:p>
    <w:p w14:paraId="54ACB095">
      <w:pPr>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bidi="ar"/>
        </w:rPr>
        <w:t>2.指导全区信访工作，督促检查各乡镇（街道）、区属各部门（单位）信访工作，总结推广信访工作经验，牵头完成信访工作宣传和信息发布。</w:t>
      </w:r>
    </w:p>
    <w:p w14:paraId="1240E835">
      <w:pPr>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bidi="ar"/>
        </w:rPr>
        <w:t>3.负责处理区内外群众、境外人士、法人及其他组织通过信访渠道给区委、区政府及领导同志的来信来电，接待来访工作。</w:t>
      </w:r>
    </w:p>
    <w:p w14:paraId="37D15A32">
      <w:pPr>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bidi="ar"/>
        </w:rPr>
        <w:t>4.承担协调处理群众进京赴省到市、区集体上访和非接待场所上访的责任，综合协调处理跨地区、跨部门的重要信访问题。</w:t>
      </w:r>
    </w:p>
    <w:p w14:paraId="19A6DD96">
      <w:pPr>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bidi="ar"/>
        </w:rPr>
        <w:t>5.负责向区委、区政府反映来信来电来访中提出的重要建议、意见和问题，综合研判信访信息，开展调查研究，提出相关处理建议。负责建立和完善信访信息汇集分析机制，指导信访工作信息化建设和应用。</w:t>
      </w:r>
    </w:p>
    <w:p w14:paraId="2D4648AD">
      <w:pPr>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bidi="ar"/>
        </w:rPr>
        <w:t>6.承办上级批示交办信访事项，向各乡镇（街道）、区属各部门（单位）转办、交办信访事项，督促检查重要信访事项的处理和落实。</w:t>
      </w:r>
    </w:p>
    <w:p w14:paraId="473FEB8D">
      <w:pPr>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bidi="ar"/>
        </w:rPr>
        <w:t>7.承担区信访工作联席会议、区政府信访事项复查（复核）工作，督促落实有关事项。</w:t>
      </w:r>
    </w:p>
    <w:p w14:paraId="3A82CA8C">
      <w:pPr>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bidi="ar"/>
        </w:rPr>
        <w:t>8.承担网络投诉受理工作，负责对区党群一号通暨区群众意见受理中心市民投诉件（12345市民热线、四川省网上信访信息系统、“市长信箱”、区委书记信箱、区长信箱等应用系统的投诉件）的受理、交办、督办、协调、处理等工作。</w:t>
      </w:r>
    </w:p>
    <w:p w14:paraId="311CD13F">
      <w:pPr>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bidi="ar"/>
        </w:rPr>
        <w:t>9.负责职责范围内的安全生产和职业健康、生态环境保护、审批服务便民化等工作。按省、市要求，指导推进相对集中行政许可权改革。</w:t>
      </w:r>
    </w:p>
    <w:p w14:paraId="3FB10ADB">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10.完成区委、区政府交办的其他任务。</w:t>
      </w:r>
    </w:p>
    <w:p w14:paraId="6CEDBC26">
      <w:pPr>
        <w:pStyle w:val="4"/>
        <w:pageBreakBefore w:val="0"/>
        <w:widowControl w:val="0"/>
        <w:numPr>
          <w:ilvl w:val="0"/>
          <w:numId w:val="0"/>
        </w:numPr>
        <w:kinsoku/>
        <w:wordWrap/>
        <w:overflowPunct/>
        <w:topLinePunct w:val="0"/>
        <w:autoSpaceDE/>
        <w:autoSpaceDN/>
        <w:bidi w:val="0"/>
        <w:adjustRightInd/>
        <w:snapToGrid/>
        <w:spacing w:before="0" w:after="0" w:line="240" w:lineRule="auto"/>
        <w:ind w:leftChars="0" w:firstLine="640" w:firstLineChars="200"/>
        <w:textAlignment w:val="auto"/>
        <w:rPr>
          <w:rFonts w:hint="default" w:ascii="Times New Roman" w:hAnsi="Times New Roman" w:cs="Times New Roman"/>
          <w:lang w:eastAsia="zh-CN"/>
        </w:rPr>
      </w:pPr>
      <w:r>
        <w:rPr>
          <w:rFonts w:hint="default" w:ascii="Times New Roman" w:hAnsi="Times New Roman" w:eastAsia="黑体" w:cs="Times New Roman"/>
          <w:b w:val="0"/>
          <w:color w:val="auto"/>
          <w:highlight w:val="none"/>
          <w:lang w:eastAsia="zh-CN"/>
        </w:rPr>
        <w:t>二、</w:t>
      </w:r>
      <w:r>
        <w:rPr>
          <w:rFonts w:hint="default" w:ascii="Times New Roman" w:hAnsi="Times New Roman" w:eastAsia="黑体" w:cs="Times New Roman"/>
          <w:b w:val="0"/>
          <w:color w:val="auto"/>
          <w:highlight w:val="none"/>
        </w:rPr>
        <w:t>机</w:t>
      </w:r>
      <w:r>
        <w:rPr>
          <w:rStyle w:val="29"/>
          <w:rFonts w:hint="default" w:ascii="Times New Roman" w:hAnsi="Times New Roman" w:eastAsia="黑体" w:cs="Times New Roman"/>
          <w:b w:val="0"/>
          <w:bCs w:val="0"/>
          <w:color w:val="auto"/>
          <w:highlight w:val="none"/>
        </w:rPr>
        <w:t>构设置</w:t>
      </w:r>
    </w:p>
    <w:p w14:paraId="4E2160FF">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sz w:val="32"/>
          <w:szCs w:val="32"/>
        </w:rPr>
      </w:pPr>
      <w:bookmarkStart w:id="14" w:name="_Toc15396601"/>
      <w:bookmarkStart w:id="15" w:name="_Toc15377200"/>
      <w:r>
        <w:rPr>
          <w:rFonts w:hint="default" w:ascii="Times New Roman" w:hAnsi="Times New Roman" w:eastAsia="仿宋_GB2312" w:cs="Times New Roman"/>
          <w:kern w:val="0"/>
          <w:sz w:val="32"/>
          <w:szCs w:val="32"/>
        </w:rPr>
        <w:t>攀枝花市仁和区信访局</w:t>
      </w:r>
      <w:r>
        <w:rPr>
          <w:rFonts w:hint="default" w:ascii="Times New Roman" w:hAnsi="Times New Roman" w:eastAsia="仿宋" w:cs="Times New Roman"/>
          <w:sz w:val="32"/>
          <w:szCs w:val="32"/>
        </w:rPr>
        <w:t>属一级预算单位，下设2个股室，设独立编制机构1个，其中行政机构0个，参照公务员法管理的事业机构</w:t>
      </w:r>
      <w:r>
        <w:rPr>
          <w:rFonts w:hint="default" w:ascii="Times New Roman" w:hAnsi="Times New Roman" w:eastAsia="仿宋" w:cs="Times New Roman"/>
          <w:bCs/>
          <w:sz w:val="32"/>
          <w:szCs w:val="32"/>
        </w:rPr>
        <w:t>0</w:t>
      </w:r>
      <w:r>
        <w:rPr>
          <w:rFonts w:hint="default" w:ascii="Times New Roman" w:hAnsi="Times New Roman" w:eastAsia="仿宋" w:cs="Times New Roman"/>
          <w:sz w:val="32"/>
          <w:szCs w:val="32"/>
        </w:rPr>
        <w:t>个，其他事业机构1个。</w:t>
      </w:r>
    </w:p>
    <w:p w14:paraId="647F6F8F">
      <w:pPr>
        <w:pStyle w:val="2"/>
        <w:pageBreakBefore w:val="0"/>
        <w:widowControl w:val="0"/>
        <w:kinsoku/>
        <w:wordWrap/>
        <w:overflowPunct/>
        <w:topLinePunct w:val="0"/>
        <w:autoSpaceDE/>
        <w:autoSpaceDN/>
        <w:bidi w:val="0"/>
        <w:adjustRightInd/>
        <w:snapToGrid/>
        <w:spacing w:beforeLines="0" w:line="24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纳入</w:t>
      </w:r>
      <w:r>
        <w:rPr>
          <w:rFonts w:hint="default" w:ascii="Times New Roman" w:hAnsi="Times New Roman" w:cs="Times New Roman"/>
          <w:sz w:val="32"/>
          <w:szCs w:val="32"/>
        </w:rPr>
        <w:t>攀枝花市仁和区信访局</w:t>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年度部门决算编制范围的</w:t>
      </w:r>
      <w:r>
        <w:rPr>
          <w:rFonts w:hint="default" w:ascii="Times New Roman" w:hAnsi="Times New Roman" w:eastAsia="仿宋" w:cs="Times New Roman"/>
          <w:sz w:val="32"/>
          <w:szCs w:val="32"/>
          <w:lang w:eastAsia="zh-CN"/>
        </w:rPr>
        <w:t>独立编制机构</w:t>
      </w:r>
      <w:r>
        <w:rPr>
          <w:rFonts w:hint="default" w:ascii="Times New Roman" w:hAnsi="Times New Roman" w:eastAsia="仿宋" w:cs="Times New Roman"/>
          <w:sz w:val="32"/>
          <w:szCs w:val="32"/>
        </w:rPr>
        <w:t>包括</w:t>
      </w:r>
      <w:r>
        <w:rPr>
          <w:rFonts w:hint="default" w:ascii="Times New Roman" w:hAnsi="Times New Roman" w:eastAsia="仿宋" w:cs="Times New Roman"/>
          <w:sz w:val="32"/>
          <w:szCs w:val="32"/>
          <w:lang w:val="en-US" w:eastAsia="zh-CN"/>
        </w:rPr>
        <w:t>1个</w:t>
      </w:r>
      <w:r>
        <w:rPr>
          <w:rFonts w:hint="default" w:ascii="Times New Roman" w:hAnsi="Times New Roman" w:eastAsia="仿宋" w:cs="Times New Roman"/>
          <w:sz w:val="32"/>
          <w:szCs w:val="32"/>
          <w:lang w:eastAsia="zh-CN"/>
        </w:rPr>
        <w:t>：仁和区群众工作中心。</w:t>
      </w:r>
    </w:p>
    <w:bookmarkEnd w:id="14"/>
    <w:bookmarkEnd w:id="15"/>
    <w:p w14:paraId="5E7A8A72">
      <w:pPr>
        <w:pStyle w:val="3"/>
        <w:ind w:right="440"/>
        <w:jc w:val="center"/>
        <w:rPr>
          <w:rFonts w:hint="default" w:ascii="Times New Roman" w:hAnsi="Times New Roman" w:cs="Times New Roman"/>
          <w:color w:val="auto"/>
          <w:highlight w:val="none"/>
        </w:rPr>
      </w:pPr>
      <w:bookmarkStart w:id="16" w:name="_Toc15396602"/>
      <w:bookmarkStart w:id="17" w:name="_Toc15377204"/>
      <w:r>
        <w:rPr>
          <w:rFonts w:hint="default" w:ascii="Times New Roman" w:hAnsi="Times New Roman" w:eastAsia="黑体" w:cs="Times New Roman"/>
          <w:b w:val="0"/>
          <w:bCs/>
          <w:color w:val="auto"/>
          <w:highlight w:val="none"/>
          <w:lang w:val="en-US" w:eastAsia="zh-CN"/>
        </w:rPr>
        <w:t xml:space="preserve">  </w:t>
      </w:r>
      <w:r>
        <w:rPr>
          <w:rFonts w:hint="default" w:ascii="Times New Roman" w:hAnsi="Times New Roman" w:eastAsia="黑体" w:cs="Times New Roman"/>
          <w:b w:val="0"/>
          <w:bCs/>
          <w:color w:val="auto"/>
          <w:highlight w:val="none"/>
        </w:rPr>
        <w:t xml:space="preserve">第二部分 </w:t>
      </w:r>
      <w:r>
        <w:rPr>
          <w:rFonts w:hint="default" w:ascii="Times New Roman" w:hAnsi="Times New Roman" w:eastAsia="黑体" w:cs="Times New Roman"/>
          <w:b w:val="0"/>
          <w:bCs/>
          <w:color w:val="auto"/>
          <w:highlight w:val="none"/>
          <w:lang w:val="en-US" w:eastAsia="zh-CN"/>
        </w:rPr>
        <w:t>2022年度</w:t>
      </w:r>
      <w:r>
        <w:rPr>
          <w:rStyle w:val="28"/>
          <w:rFonts w:hint="default" w:ascii="Times New Roman" w:hAnsi="Times New Roman" w:eastAsia="黑体" w:cs="Times New Roman"/>
          <w:b w:val="0"/>
          <w:bCs/>
          <w:color w:val="auto"/>
          <w:highlight w:val="none"/>
        </w:rPr>
        <w:t>部门决算情况说明</w:t>
      </w:r>
      <w:bookmarkEnd w:id="16"/>
      <w:bookmarkEnd w:id="17"/>
    </w:p>
    <w:p w14:paraId="503F2E5F">
      <w:pPr>
        <w:pStyle w:val="27"/>
        <w:pageBreakBefore w:val="0"/>
        <w:widowControl w:val="0"/>
        <w:numPr>
          <w:ilvl w:val="0"/>
          <w:numId w:val="0"/>
        </w:numPr>
        <w:kinsoku/>
        <w:wordWrap/>
        <w:overflowPunct/>
        <w:topLinePunct w:val="0"/>
        <w:autoSpaceDE/>
        <w:autoSpaceDN/>
        <w:bidi w:val="0"/>
        <w:adjustRightInd/>
        <w:snapToGrid/>
        <w:spacing w:line="240" w:lineRule="auto"/>
        <w:ind w:left="640" w:leftChars="0"/>
        <w:textAlignment w:val="auto"/>
        <w:outlineLvl w:val="1"/>
        <w:rPr>
          <w:rStyle w:val="29"/>
          <w:rFonts w:hint="default" w:ascii="Times New Roman" w:hAnsi="Times New Roman" w:eastAsia="黑体" w:cs="Times New Roman"/>
          <w:b w:val="0"/>
          <w:color w:val="auto"/>
          <w:highlight w:val="none"/>
        </w:rPr>
      </w:pPr>
      <w:bookmarkStart w:id="18" w:name="_Toc15377205"/>
      <w:bookmarkStart w:id="19" w:name="_Toc15396603"/>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29"/>
          <w:rFonts w:hint="default" w:ascii="Times New Roman" w:hAnsi="Times New Roman" w:eastAsia="黑体" w:cs="Times New Roman"/>
          <w:b w:val="0"/>
          <w:color w:val="auto"/>
          <w:highlight w:val="none"/>
        </w:rPr>
        <w:t>入支出决算总体情况说明</w:t>
      </w:r>
      <w:bookmarkEnd w:id="18"/>
      <w:bookmarkEnd w:id="19"/>
    </w:p>
    <w:p w14:paraId="49BF291B">
      <w:pPr>
        <w:keepNext/>
        <w:keepLines/>
        <w:pageBreakBefore w:val="0"/>
        <w:widowControl w:val="0"/>
        <w:kinsoku/>
        <w:wordWrap/>
        <w:overflowPunct/>
        <w:topLinePunct w:val="0"/>
        <w:autoSpaceDE/>
        <w:autoSpaceDN/>
        <w:bidi w:val="0"/>
        <w:adjustRightInd/>
        <w:snapToGrid/>
        <w:spacing w:beforeLines="0" w:afterLines="0" w:line="240" w:lineRule="auto"/>
        <w:ind w:firstLine="64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kern w:val="2"/>
          <w:sz w:val="32"/>
          <w:szCs w:val="24"/>
          <w:lang w:val="zh-CN"/>
        </w:rPr>
        <w:t>2022年度收、支总计309.33万元。与2021年相比，收、支总计各减少49.46万元，下降13.8%。主要变动原因是</w:t>
      </w:r>
      <w:r>
        <w:rPr>
          <w:rFonts w:hint="default" w:ascii="Times New Roman" w:hAnsi="Times New Roman" w:eastAsia="仿宋_GB2312" w:cs="Times New Roman"/>
          <w:color w:val="000000"/>
          <w:kern w:val="2"/>
          <w:sz w:val="32"/>
          <w:szCs w:val="24"/>
          <w:lang w:val="en-US" w:eastAsia="zh-CN"/>
        </w:rPr>
        <w:t>2022年财政资金紧张，无法按时完成预算收支。</w:t>
      </w:r>
    </w:p>
    <w:p w14:paraId="3660CD65">
      <w:pPr>
        <w:pStyle w:val="2"/>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808080" w:themeColor="text1" w:themeTint="80"/>
          <w:kern w:val="2"/>
          <w:sz w:val="32"/>
          <w:szCs w:val="24"/>
          <w:lang w:val="zh-CN" w:eastAsia="zh-CN"/>
          <w14:textFill>
            <w14:solidFill>
              <w14:schemeClr w14:val="tx1">
                <w14:lumMod w14:val="50000"/>
                <w14:lumOff w14:val="50000"/>
              </w14:schemeClr>
            </w14:solidFill>
          </w14:textFill>
        </w:rPr>
      </w:pPr>
      <w:r>
        <w:rPr>
          <w:rFonts w:hint="default" w:ascii="Times New Roman" w:hAnsi="Times New Roman" w:cs="Times New Roman"/>
          <w:lang w:val="en-US" w:eastAsia="zh-CN"/>
        </w:rPr>
        <w:drawing>
          <wp:inline distT="0" distB="0" distL="114300" distR="114300">
            <wp:extent cx="5621655" cy="3311525"/>
            <wp:effectExtent l="0" t="0" r="1905" b="1079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0FDC05E">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24"/>
          <w:szCs w:val="24"/>
          <w:highlight w:val="none"/>
        </w:rPr>
        <w:t>（图1：收、支决算总计变动情况图</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）（柱状图）</w:t>
      </w:r>
    </w:p>
    <w:p w14:paraId="42A4E151">
      <w:pPr>
        <w:pStyle w:val="27"/>
        <w:pageBreakBefore w:val="0"/>
        <w:widowControl w:val="0"/>
        <w:numPr>
          <w:ilvl w:val="0"/>
          <w:numId w:val="0"/>
        </w:numPr>
        <w:kinsoku/>
        <w:wordWrap/>
        <w:overflowPunct/>
        <w:topLinePunct w:val="0"/>
        <w:autoSpaceDE/>
        <w:autoSpaceDN/>
        <w:bidi w:val="0"/>
        <w:adjustRightInd/>
        <w:snapToGrid/>
        <w:spacing w:line="240" w:lineRule="auto"/>
        <w:ind w:left="640" w:leftChars="0"/>
        <w:textAlignment w:val="auto"/>
        <w:outlineLvl w:val="1"/>
        <w:rPr>
          <w:rFonts w:hint="default" w:ascii="Times New Roman" w:hAnsi="Times New Roman" w:eastAsia="仿宋_GB2312" w:cs="Times New Roman"/>
          <w:color w:val="000000"/>
          <w:kern w:val="2"/>
          <w:sz w:val="32"/>
          <w:szCs w:val="24"/>
          <w:lang w:val="zh-CN"/>
        </w:rPr>
      </w:pPr>
      <w:bookmarkStart w:id="20" w:name="_Toc15396604"/>
      <w:bookmarkStart w:id="21" w:name="_Toc15377206"/>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收</w:t>
      </w:r>
      <w:r>
        <w:rPr>
          <w:rStyle w:val="29"/>
          <w:rFonts w:hint="default" w:ascii="Times New Roman" w:hAnsi="Times New Roman" w:eastAsia="黑体" w:cs="Times New Roman"/>
          <w:b w:val="0"/>
          <w:color w:val="auto"/>
          <w:highlight w:val="none"/>
        </w:rPr>
        <w:t>入决算情况说明</w:t>
      </w:r>
      <w:bookmarkEnd w:id="20"/>
      <w:bookmarkEnd w:id="21"/>
    </w:p>
    <w:p w14:paraId="6846B852">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仿宋_GB2312" w:cs="Times New Roman"/>
          <w:color w:val="000000"/>
          <w:kern w:val="2"/>
          <w:sz w:val="32"/>
          <w:szCs w:val="24"/>
          <w:lang w:val="zh-CN"/>
        </w:rPr>
      </w:pPr>
      <w:r>
        <w:rPr>
          <w:rFonts w:hint="default" w:ascii="Times New Roman" w:hAnsi="Times New Roman" w:eastAsia="仿宋_GB2312" w:cs="Times New Roman"/>
          <w:color w:val="000000"/>
          <w:kern w:val="2"/>
          <w:sz w:val="32"/>
          <w:szCs w:val="24"/>
          <w:lang w:val="zh-CN"/>
        </w:rPr>
        <w:t>2022年本年收入合计309.33万元，其中：一般公共预算财政拨款收入281.96万元，占91.2%；政府性基金预算财政拨款收入27.37万元，占8.8%；国有资本经营预算财政拨款收入0万元，占0%；上级补助收入0万元，占0%；事业收入0万元，占0%；经营收入0万元，占0%；附属单位上缴收入0万元，占0%；其他收入0万元，占0%。</w:t>
      </w:r>
    </w:p>
    <w:p w14:paraId="3F3ED32F">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Times New Roman" w:hAnsi="Times New Roman" w:eastAsia="仿宋_GB2312" w:cs="Times New Roman"/>
          <w:color w:val="000000"/>
          <w:kern w:val="2"/>
          <w:sz w:val="32"/>
          <w:szCs w:val="24"/>
          <w:lang w:val="zh-CN" w:eastAsia="zh-CN"/>
        </w:rPr>
      </w:pPr>
      <w:r>
        <w:rPr>
          <w:rFonts w:hint="default" w:ascii="Times New Roman" w:hAnsi="Times New Roman" w:eastAsia="仿宋_GB2312" w:cs="Times New Roman"/>
          <w:color w:val="000000"/>
          <w:kern w:val="2"/>
          <w:sz w:val="32"/>
          <w:szCs w:val="24"/>
          <w:lang w:val="zh-CN" w:eastAsia="zh-CN"/>
        </w:rPr>
        <w:drawing>
          <wp:inline distT="0" distB="0" distL="114300" distR="114300">
            <wp:extent cx="5224780" cy="2438400"/>
            <wp:effectExtent l="0" t="0" r="1397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3E66171">
      <w:pPr>
        <w:pStyle w:val="27"/>
        <w:pageBreakBefore w:val="0"/>
        <w:widowControl w:val="0"/>
        <w:numPr>
          <w:ilvl w:val="0"/>
          <w:numId w:val="0"/>
        </w:numPr>
        <w:kinsoku/>
        <w:wordWrap/>
        <w:overflowPunct/>
        <w:topLinePunct w:val="0"/>
        <w:autoSpaceDE/>
        <w:autoSpaceDN/>
        <w:bidi w:val="0"/>
        <w:adjustRightInd/>
        <w:snapToGrid/>
        <w:spacing w:line="240" w:lineRule="auto"/>
        <w:ind w:left="640" w:leftChars="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28"/>
          <w:szCs w:val="28"/>
          <w:highlight w:val="none"/>
        </w:rPr>
        <w:t>（图2：收入决算结构图）（饼状图）</w:t>
      </w:r>
    </w:p>
    <w:p w14:paraId="4DC7696B">
      <w:pPr>
        <w:pStyle w:val="27"/>
        <w:numPr>
          <w:ilvl w:val="0"/>
          <w:numId w:val="0"/>
        </w:numPr>
        <w:spacing w:line="600" w:lineRule="exact"/>
        <w:ind w:left="640" w:leftChars="0"/>
        <w:outlineLvl w:val="1"/>
        <w:rPr>
          <w:rFonts w:hint="default" w:ascii="Times New Roman" w:hAnsi="Times New Roman" w:eastAsia="仿宋_GB2312" w:cs="Times New Roman"/>
          <w:color w:val="000000"/>
          <w:kern w:val="2"/>
          <w:sz w:val="32"/>
          <w:szCs w:val="24"/>
          <w:lang w:val="zh-CN"/>
        </w:rPr>
      </w:pPr>
      <w:bookmarkStart w:id="22" w:name="_Toc15396605"/>
      <w:bookmarkStart w:id="23" w:name="_Toc15377207"/>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29"/>
          <w:rFonts w:hint="default" w:ascii="Times New Roman" w:hAnsi="Times New Roman" w:eastAsia="黑体" w:cs="Times New Roman"/>
          <w:b w:val="0"/>
          <w:color w:val="auto"/>
          <w:highlight w:val="none"/>
        </w:rPr>
        <w:t>出决算情况说明</w:t>
      </w:r>
      <w:bookmarkEnd w:id="22"/>
      <w:bookmarkEnd w:id="23"/>
    </w:p>
    <w:p w14:paraId="726268C2">
      <w:pPr>
        <w:pStyle w:val="27"/>
        <w:numPr>
          <w:ilvl w:val="0"/>
          <w:numId w:val="0"/>
        </w:numPr>
        <w:spacing w:line="600" w:lineRule="exact"/>
        <w:ind w:firstLine="640" w:firstLineChars="200"/>
        <w:outlineLvl w:val="1"/>
        <w:rPr>
          <w:rFonts w:hint="default" w:ascii="Times New Roman" w:hAnsi="Times New Roman" w:eastAsia="仿宋_GB2312" w:cs="Times New Roman"/>
          <w:color w:val="000000"/>
          <w:kern w:val="2"/>
          <w:sz w:val="32"/>
          <w:szCs w:val="24"/>
          <w:lang w:val="zh-CN"/>
        </w:rPr>
      </w:pPr>
      <w:r>
        <w:rPr>
          <w:rFonts w:hint="default" w:ascii="Times New Roman" w:hAnsi="Times New Roman" w:eastAsia="仿宋_GB2312" w:cs="Times New Roman"/>
          <w:color w:val="000000"/>
          <w:kern w:val="2"/>
          <w:sz w:val="32"/>
          <w:szCs w:val="24"/>
          <w:lang w:val="zh-CN"/>
        </w:rPr>
        <w:t>2022年本年支出合计309.33万元，其中：基本支出242.11万元，占78.3%；项目支出67.22万元，占21.7%；上缴上级支出0万元，占0%；经营支出0万元，占0%；对附属单位补助支出0万元，占0%。</w:t>
      </w:r>
    </w:p>
    <w:p w14:paraId="20E5B29D">
      <w:pPr>
        <w:pStyle w:val="27"/>
        <w:numPr>
          <w:ilvl w:val="0"/>
          <w:numId w:val="0"/>
        </w:numPr>
        <w:spacing w:line="600" w:lineRule="exact"/>
        <w:ind w:firstLine="560" w:firstLineChars="200"/>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_GB2312" w:cs="Times New Roman"/>
          <w:color w:val="000000"/>
          <w:kern w:val="2"/>
          <w:sz w:val="28"/>
          <w:szCs w:val="28"/>
          <w:lang w:val="zh-CN"/>
        </w:rPr>
        <w:drawing>
          <wp:anchor distT="0" distB="0" distL="114300" distR="114300" simplePos="0" relativeHeight="251659264" behindDoc="0" locked="0" layoutInCell="1" allowOverlap="1">
            <wp:simplePos x="0" y="0"/>
            <wp:positionH relativeFrom="column">
              <wp:posOffset>-266700</wp:posOffset>
            </wp:positionH>
            <wp:positionV relativeFrom="paragraph">
              <wp:posOffset>76835</wp:posOffset>
            </wp:positionV>
            <wp:extent cx="5715000" cy="2514600"/>
            <wp:effectExtent l="0" t="0" r="0" b="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ascii="Times New Roman" w:hAnsi="Times New Roman" w:eastAsia="仿宋" w:cs="Times New Roman"/>
          <w:color w:val="auto"/>
          <w:sz w:val="28"/>
          <w:szCs w:val="28"/>
          <w:highlight w:val="none"/>
        </w:rPr>
        <w:t>（图3：支出决算结构图）（饼状图）</w:t>
      </w:r>
    </w:p>
    <w:p w14:paraId="6EA28A97">
      <w:pPr>
        <w:numPr>
          <w:ilvl w:val="0"/>
          <w:numId w:val="0"/>
        </w:numPr>
        <w:spacing w:line="600" w:lineRule="exact"/>
        <w:ind w:left="640" w:leftChars="0"/>
        <w:outlineLvl w:val="1"/>
        <w:rPr>
          <w:rStyle w:val="29"/>
          <w:rFonts w:hint="default" w:ascii="Times New Roman" w:hAnsi="Times New Roman" w:eastAsia="黑体" w:cs="Times New Roman"/>
          <w:b w:val="0"/>
          <w:color w:val="auto"/>
          <w:highlight w:val="none"/>
        </w:rPr>
      </w:pPr>
      <w:bookmarkStart w:id="24" w:name="_Toc15377208"/>
      <w:bookmarkStart w:id="25" w:name="_Toc15396606"/>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财</w:t>
      </w:r>
      <w:r>
        <w:rPr>
          <w:rStyle w:val="29"/>
          <w:rFonts w:hint="default" w:ascii="Times New Roman" w:hAnsi="Times New Roman" w:eastAsia="黑体" w:cs="Times New Roman"/>
          <w:b w:val="0"/>
          <w:color w:val="auto"/>
          <w:highlight w:val="none"/>
        </w:rPr>
        <w:t>政拨款收入支出决算总体情况说明</w:t>
      </w:r>
      <w:bookmarkEnd w:id="24"/>
      <w:bookmarkEnd w:id="25"/>
    </w:p>
    <w:p w14:paraId="12EE3796">
      <w:pPr>
        <w:numPr>
          <w:ilvl w:val="0"/>
          <w:numId w:val="0"/>
        </w:numPr>
        <w:spacing w:line="600" w:lineRule="exact"/>
        <w:ind w:firstLine="640" w:firstLineChars="200"/>
        <w:outlineLvl w:val="1"/>
        <w:rPr>
          <w:rFonts w:hint="default" w:ascii="Times New Roman" w:hAnsi="Times New Roman" w:cs="Times New Roman"/>
        </w:rPr>
      </w:pPr>
      <w:r>
        <w:rPr>
          <w:rFonts w:hint="default" w:ascii="Times New Roman" w:hAnsi="Times New Roman" w:eastAsia="仿宋_GB2312" w:cs="Times New Roman"/>
          <w:color w:val="000000"/>
          <w:kern w:val="2"/>
          <w:sz w:val="32"/>
          <w:szCs w:val="24"/>
          <w:lang w:val="zh-CN"/>
        </w:rPr>
        <w:t>2022年财政拨款收、支总计309.33万元。与2021年相比，财政拨款收、支总计各减少46.63万元，下降13.1%。主要变动原因是</w:t>
      </w:r>
      <w:r>
        <w:rPr>
          <w:rFonts w:hint="default" w:ascii="Times New Roman" w:hAnsi="Times New Roman" w:eastAsia="仿宋_GB2312" w:cs="Times New Roman"/>
          <w:color w:val="000000"/>
          <w:kern w:val="2"/>
          <w:sz w:val="32"/>
          <w:szCs w:val="24"/>
          <w:lang w:val="en-US" w:eastAsia="zh-CN"/>
        </w:rPr>
        <w:t>2022年财政资金紧张，无法按时完成预算收支。</w:t>
      </w:r>
    </w:p>
    <w:p w14:paraId="2CAAF6A1">
      <w:pPr>
        <w:pStyle w:val="2"/>
        <w:numPr>
          <w:ilvl w:val="0"/>
          <w:numId w:val="0"/>
        </w:numPr>
        <w:ind w:left="640" w:leftChars="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drawing>
          <wp:inline distT="0" distB="0" distL="114300" distR="114300">
            <wp:extent cx="5190490" cy="3326130"/>
            <wp:effectExtent l="0" t="0" r="6350" b="1143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76E873">
      <w:pPr>
        <w:spacing w:line="600" w:lineRule="exact"/>
        <w:ind w:firstLine="840" w:firstLineChars="30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color w:val="auto"/>
          <w:sz w:val="28"/>
          <w:szCs w:val="28"/>
          <w:highlight w:val="none"/>
        </w:rPr>
        <w:t>（图4：财政拨款收、支决算总计变动情况）（柱状图）</w:t>
      </w:r>
    </w:p>
    <w:p w14:paraId="101EB49F">
      <w:pPr>
        <w:spacing w:line="600" w:lineRule="exact"/>
        <w:ind w:firstLine="640" w:firstLineChars="200"/>
        <w:outlineLvl w:val="1"/>
        <w:rPr>
          <w:rStyle w:val="29"/>
          <w:rFonts w:hint="default" w:ascii="Times New Roman" w:hAnsi="Times New Roman" w:eastAsia="黑体" w:cs="Times New Roman"/>
          <w:b w:val="0"/>
          <w:color w:val="auto"/>
          <w:highlight w:val="none"/>
        </w:rPr>
      </w:pPr>
      <w:bookmarkStart w:id="26" w:name="_Toc15377209"/>
      <w:bookmarkStart w:id="27" w:name="_Toc15396607"/>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般公共预算财政拨款支出决算情况说明</w:t>
      </w:r>
      <w:bookmarkEnd w:id="26"/>
      <w:bookmarkEnd w:id="27"/>
    </w:p>
    <w:p w14:paraId="27AB1950">
      <w:pPr>
        <w:spacing w:line="600" w:lineRule="exact"/>
        <w:ind w:firstLine="643" w:firstLineChars="200"/>
        <w:outlineLvl w:val="2"/>
        <w:rPr>
          <w:rFonts w:hint="default" w:ascii="Times New Roman" w:hAnsi="Times New Roman" w:eastAsia="仿宋" w:cs="Times New Roman"/>
          <w:b/>
          <w:color w:val="auto"/>
          <w:sz w:val="32"/>
          <w:szCs w:val="32"/>
          <w:highlight w:val="none"/>
        </w:rPr>
      </w:pPr>
      <w:bookmarkStart w:id="28" w:name="_Toc15377210"/>
      <w:r>
        <w:rPr>
          <w:rFonts w:hint="default" w:ascii="Times New Roman" w:hAnsi="Times New Roman" w:eastAsia="仿宋" w:cs="Times New Roman"/>
          <w:b/>
          <w:color w:val="auto"/>
          <w:sz w:val="32"/>
          <w:szCs w:val="32"/>
          <w:highlight w:val="none"/>
        </w:rPr>
        <w:t>（一）一般公共预算财政拨款支出决算总体情况</w:t>
      </w:r>
      <w:bookmarkEnd w:id="28"/>
    </w:p>
    <w:p w14:paraId="035EACFC">
      <w:pPr>
        <w:spacing w:line="600" w:lineRule="exact"/>
        <w:ind w:firstLine="640" w:firstLineChars="200"/>
        <w:outlineLvl w:val="2"/>
        <w:rPr>
          <w:rFonts w:hint="default" w:ascii="Times New Roman" w:hAnsi="Times New Roman" w:eastAsia="仿宋_GB2312" w:cs="Times New Roman"/>
          <w:color w:val="000000"/>
          <w:kern w:val="2"/>
          <w:sz w:val="32"/>
          <w:szCs w:val="24"/>
          <w:lang w:val="en-US" w:eastAsia="zh-CN"/>
        </w:rPr>
      </w:pPr>
      <w:r>
        <w:rPr>
          <w:rFonts w:hint="default" w:ascii="Times New Roman" w:hAnsi="Times New Roman" w:eastAsia="仿宋_GB2312" w:cs="Times New Roman"/>
          <w:color w:val="000000"/>
          <w:kern w:val="2"/>
          <w:sz w:val="32"/>
          <w:szCs w:val="24"/>
          <w:lang w:val="zh-CN"/>
        </w:rPr>
        <w:t>2022年一般公共预算财政拨款支出281.96万元，占本年支出合计的91.2%。与2021年相比，一般公共预算财政拨款支出减少74万元，下降20.8%。主要变动原因是</w:t>
      </w:r>
      <w:r>
        <w:rPr>
          <w:rFonts w:hint="default" w:ascii="Times New Roman" w:hAnsi="Times New Roman" w:eastAsia="仿宋_GB2312" w:cs="Times New Roman"/>
          <w:color w:val="000000"/>
          <w:kern w:val="2"/>
          <w:sz w:val="32"/>
          <w:szCs w:val="24"/>
          <w:lang w:val="en-US" w:eastAsia="zh-CN"/>
        </w:rPr>
        <w:t>2022年财政资金紧张，无法按时完成预算收入。</w:t>
      </w:r>
    </w:p>
    <w:p w14:paraId="462CF177">
      <w:pPr>
        <w:pStyle w:val="2"/>
        <w:rPr>
          <w:rFonts w:hint="default" w:ascii="Times New Roman" w:hAnsi="Times New Roman" w:eastAsia="仿宋_GB2312" w:cs="Times New Roman"/>
          <w:color w:val="000000"/>
          <w:kern w:val="2"/>
          <w:sz w:val="32"/>
          <w:szCs w:val="24"/>
          <w:lang w:val="en-US" w:eastAsia="zh-CN"/>
        </w:rPr>
      </w:pPr>
    </w:p>
    <w:p w14:paraId="6689CC90">
      <w:pPr>
        <w:pStyle w:val="2"/>
        <w:rPr>
          <w:rFonts w:hint="default" w:ascii="Times New Roman" w:hAnsi="Times New Roman" w:eastAsia="仿宋" w:cs="Times New Roman"/>
          <w:color w:val="F79646" w:themeColor="accent6"/>
          <w:sz w:val="32"/>
          <w:szCs w:val="32"/>
          <w:highlight w:val="none"/>
          <w14:textFill>
            <w14:solidFill>
              <w14:schemeClr w14:val="accent6"/>
            </w14:solidFill>
          </w14:textFill>
        </w:rPr>
      </w:pPr>
      <w:r>
        <w:rPr>
          <w:rFonts w:hint="default" w:ascii="Times New Roman" w:hAnsi="Times New Roman" w:eastAsia="仿宋_GB2312" w:cs="Times New Roman"/>
          <w:color w:val="000000"/>
          <w:kern w:val="2"/>
          <w:sz w:val="32"/>
          <w:szCs w:val="24"/>
          <w:lang w:val="en-US" w:eastAsia="zh-CN"/>
        </w:rPr>
        <w:drawing>
          <wp:inline distT="0" distB="0" distL="114300" distR="114300">
            <wp:extent cx="5400675" cy="3031490"/>
            <wp:effectExtent l="0" t="0" r="9525" b="127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1CC2AC">
      <w:pPr>
        <w:spacing w:line="600" w:lineRule="exact"/>
        <w:ind w:firstLine="56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28"/>
          <w:szCs w:val="28"/>
          <w:highlight w:val="none"/>
        </w:rPr>
        <w:t>（图5：一般公共预算财政拨款支出决算变动情况）（柱状图）</w:t>
      </w:r>
    </w:p>
    <w:p w14:paraId="69BB7063">
      <w:pPr>
        <w:numPr>
          <w:ilvl w:val="0"/>
          <w:numId w:val="0"/>
        </w:numPr>
        <w:spacing w:line="600" w:lineRule="exact"/>
        <w:ind w:firstLine="643" w:firstLineChars="200"/>
        <w:outlineLvl w:val="2"/>
        <w:rPr>
          <w:rFonts w:hint="default" w:ascii="Times New Roman" w:hAnsi="Times New Roman" w:eastAsia="仿宋_GB2312" w:cs="Times New Roman"/>
          <w:color w:val="000000"/>
          <w:kern w:val="2"/>
          <w:sz w:val="32"/>
          <w:szCs w:val="24"/>
          <w:lang w:val="zh-CN"/>
        </w:rPr>
      </w:pPr>
      <w:bookmarkStart w:id="29" w:name="_Toc15377211"/>
      <w:r>
        <w:rPr>
          <w:rFonts w:hint="default" w:ascii="Times New Roman" w:hAnsi="Times New Roman" w:eastAsia="仿宋" w:cs="Times New Roman"/>
          <w:b/>
          <w:color w:val="auto"/>
          <w:sz w:val="32"/>
          <w:szCs w:val="32"/>
          <w:highlight w:val="none"/>
          <w:lang w:eastAsia="zh-CN"/>
        </w:rPr>
        <w:t>（二）</w:t>
      </w:r>
      <w:r>
        <w:rPr>
          <w:rFonts w:hint="default" w:ascii="Times New Roman" w:hAnsi="Times New Roman" w:eastAsia="仿宋" w:cs="Times New Roman"/>
          <w:b/>
          <w:color w:val="auto"/>
          <w:sz w:val="32"/>
          <w:szCs w:val="32"/>
          <w:highlight w:val="none"/>
        </w:rPr>
        <w:t>一般公共预算财政拨款支出决算结构情况</w:t>
      </w:r>
      <w:bookmarkEnd w:id="29"/>
    </w:p>
    <w:p w14:paraId="27CCD2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default" w:ascii="Times New Roman" w:hAnsi="Times New Roman" w:eastAsia="仿宋_GB2312" w:cs="Times New Roman"/>
          <w:color w:val="000000"/>
          <w:kern w:val="2"/>
          <w:sz w:val="32"/>
          <w:szCs w:val="24"/>
          <w:lang w:val="zh-CN"/>
        </w:rPr>
      </w:pPr>
      <w:r>
        <w:rPr>
          <w:rFonts w:hint="default" w:ascii="Times New Roman" w:hAnsi="Times New Roman" w:eastAsia="仿宋_GB2312" w:cs="Times New Roman"/>
          <w:color w:val="000000"/>
          <w:kern w:val="2"/>
          <w:sz w:val="32"/>
          <w:szCs w:val="24"/>
          <w:lang w:val="zh-CN"/>
        </w:rPr>
        <w:t>2022年一般公共预算财政拨款支出281.96万元，主要用于以下方面: 一般公共服务支出232.43万元，占82.4%；外交支出0万元，占0%；国防支出0万元，占0%；公共安全支出0万元，占0%；教育支出0万元，占0%；科学技术支出0万元，占0%；文化体育与传媒支出0万元，占0%；社会保障和就业支出17.51万元，占6.2%；卫生健康支出12.99万元，占4.6%；节能环保支出0万元，占0%；城乡社区支出0万元，占0%；农林水支出0万元，占0%；交通运输支出0万元，占0%；资源勘探工业信息等支出0万元，占0%；商业服务业等支出0万元，占0%；金融支出0万元，占0%；援助其他地区支出0万元，占0%；自然资源海洋气象等支出0万元，占0%；住房保障支出19.03万元，占6.</w:t>
      </w:r>
      <w:r>
        <w:rPr>
          <w:rFonts w:hint="default" w:ascii="Times New Roman" w:hAnsi="Times New Roman" w:eastAsia="仿宋_GB2312" w:cs="Times New Roman"/>
          <w:color w:val="000000"/>
          <w:kern w:val="2"/>
          <w:sz w:val="32"/>
          <w:szCs w:val="24"/>
          <w:lang w:val="en-US" w:eastAsia="zh-CN"/>
        </w:rPr>
        <w:t>8</w:t>
      </w:r>
      <w:r>
        <w:rPr>
          <w:rFonts w:hint="default" w:ascii="Times New Roman" w:hAnsi="Times New Roman" w:eastAsia="仿宋_GB2312" w:cs="Times New Roman"/>
          <w:color w:val="000000"/>
          <w:kern w:val="2"/>
          <w:sz w:val="32"/>
          <w:szCs w:val="24"/>
          <w:lang w:val="zh-CN"/>
        </w:rPr>
        <w:t>%；粮油物资储备支出0万元，占0%；国有资本经营预算支出0万元，占0%；灾害防治及应急管理支出0万元，占0%；其他支出0万元，占0%；债务还本支出0万元，占0%；债务付息支出0万元，占0%；抗疫特别国债安排的支出0万元，占0%。</w:t>
      </w:r>
    </w:p>
    <w:p w14:paraId="3B5C25C9">
      <w:pPr>
        <w:pStyle w:val="2"/>
        <w:rPr>
          <w:rFonts w:hint="default" w:ascii="Times New Roman" w:hAnsi="Times New Roman" w:eastAsia="仿宋_GB2312" w:cs="Times New Roman"/>
          <w:color w:val="000000"/>
          <w:kern w:val="2"/>
          <w:sz w:val="32"/>
          <w:szCs w:val="24"/>
          <w:lang w:val="zh-CN"/>
        </w:rPr>
      </w:pPr>
      <w:r>
        <w:rPr>
          <w:rFonts w:hint="default" w:ascii="Times New Roman" w:hAnsi="Times New Roman" w:eastAsia="仿宋_GB2312" w:cs="Times New Roman"/>
          <w:color w:val="000000"/>
          <w:kern w:val="2"/>
          <w:sz w:val="32"/>
          <w:szCs w:val="24"/>
          <w:lang w:val="zh-CN"/>
        </w:rPr>
        <w:drawing>
          <wp:inline distT="0" distB="0" distL="114300" distR="114300">
            <wp:extent cx="5367655" cy="2988945"/>
            <wp:effectExtent l="0" t="0" r="12065" b="1333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417F1B">
      <w:pPr>
        <w:spacing w:line="60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28"/>
          <w:szCs w:val="28"/>
          <w:highlight w:val="none"/>
        </w:rPr>
        <w:t>（图6：一般公共预算财政拨款支出决算结构）（饼状图）</w:t>
      </w:r>
    </w:p>
    <w:p w14:paraId="14FFB2E3">
      <w:pPr>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2"/>
        <w:rPr>
          <w:rFonts w:hint="default" w:ascii="Times New Roman" w:hAnsi="Times New Roman" w:eastAsia="仿宋" w:cs="Times New Roman"/>
          <w:b/>
          <w:color w:val="auto"/>
          <w:sz w:val="32"/>
          <w:szCs w:val="32"/>
          <w:highlight w:val="none"/>
        </w:rPr>
      </w:pPr>
      <w:bookmarkStart w:id="30" w:name="_Toc15377212"/>
      <w:r>
        <w:rPr>
          <w:rFonts w:hint="default" w:ascii="Times New Roman" w:hAnsi="Times New Roman" w:eastAsia="仿宋" w:cs="Times New Roman"/>
          <w:b/>
          <w:color w:val="auto"/>
          <w:sz w:val="32"/>
          <w:szCs w:val="32"/>
          <w:highlight w:val="none"/>
          <w:lang w:eastAsia="zh-CN"/>
        </w:rPr>
        <w:t>（三）</w:t>
      </w:r>
      <w:r>
        <w:rPr>
          <w:rFonts w:hint="default" w:ascii="Times New Roman" w:hAnsi="Times New Roman" w:eastAsia="仿宋" w:cs="Times New Roman"/>
          <w:b/>
          <w:color w:val="auto"/>
          <w:sz w:val="32"/>
          <w:szCs w:val="32"/>
          <w:highlight w:val="none"/>
        </w:rPr>
        <w:t>一般公共预算财政拨款支出决算具体情况</w:t>
      </w:r>
      <w:bookmarkEnd w:id="30"/>
    </w:p>
    <w:p w14:paraId="687FC6F4">
      <w:pPr>
        <w:pStyle w:val="2"/>
        <w:pageBreakBefore w:val="0"/>
        <w:widowControl w:val="0"/>
        <w:numPr>
          <w:ilvl w:val="0"/>
          <w:numId w:val="0"/>
        </w:numPr>
        <w:kinsoku/>
        <w:wordWrap/>
        <w:overflowPunct/>
        <w:topLinePunct w:val="0"/>
        <w:autoSpaceDE/>
        <w:autoSpaceDN/>
        <w:bidi w:val="0"/>
        <w:adjustRightInd/>
        <w:snapToGrid/>
        <w:spacing w:beforeLines="0" w:line="240" w:lineRule="auto"/>
        <w:ind w:left="0" w:firstLine="643" w:firstLineChars="200"/>
        <w:textAlignment w:val="auto"/>
        <w:rPr>
          <w:rFonts w:hint="default" w:ascii="Times New Roman" w:hAnsi="Times New Roman" w:eastAsia="仿宋_GB2312" w:cs="Times New Roman"/>
          <w:b/>
          <w:color w:val="000000"/>
          <w:kern w:val="2"/>
          <w:sz w:val="32"/>
          <w:szCs w:val="24"/>
          <w:lang w:val="zh-CN"/>
        </w:rPr>
      </w:pPr>
      <w:r>
        <w:rPr>
          <w:rFonts w:hint="default" w:ascii="Times New Roman" w:hAnsi="Times New Roman" w:eastAsia="仿宋_GB2312" w:cs="Times New Roman"/>
          <w:b/>
          <w:color w:val="000000"/>
          <w:kern w:val="2"/>
          <w:sz w:val="32"/>
          <w:szCs w:val="24"/>
          <w:lang w:val="zh-CN"/>
        </w:rPr>
        <w:t>2022年一般公共预算支出决算数为281.96万元</w:t>
      </w:r>
      <w:r>
        <w:rPr>
          <w:rFonts w:hint="default" w:ascii="Times New Roman" w:hAnsi="Times New Roman" w:eastAsia="仿宋_GB2312" w:cs="Times New Roman"/>
          <w:color w:val="000000"/>
          <w:kern w:val="2"/>
          <w:sz w:val="32"/>
          <w:szCs w:val="24"/>
          <w:lang w:val="zh-CN"/>
        </w:rPr>
        <w:t>，</w:t>
      </w:r>
      <w:r>
        <w:rPr>
          <w:rFonts w:hint="default" w:ascii="Times New Roman" w:hAnsi="Times New Roman" w:eastAsia="仿宋_GB2312" w:cs="Times New Roman"/>
          <w:b/>
          <w:color w:val="000000"/>
          <w:kern w:val="2"/>
          <w:sz w:val="32"/>
          <w:szCs w:val="24"/>
          <w:lang w:val="zh-CN"/>
        </w:rPr>
        <w:t>完成预算100%。其中：</w:t>
      </w:r>
    </w:p>
    <w:p w14:paraId="54DD4D54">
      <w:pPr>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Style w:val="17"/>
          <w:rFonts w:hint="default" w:ascii="Times New Roman" w:hAnsi="Times New Roman" w:eastAsia="仿宋" w:cs="Times New Roman"/>
          <w:b w:val="0"/>
          <w:bCs/>
          <w:sz w:val="32"/>
          <w:szCs w:val="32"/>
        </w:rPr>
      </w:pPr>
      <w:r>
        <w:rPr>
          <w:rStyle w:val="17"/>
          <w:rFonts w:hint="default" w:ascii="Times New Roman" w:hAnsi="Times New Roman" w:eastAsia="仿宋" w:cs="Times New Roman"/>
          <w:bCs/>
          <w:sz w:val="32"/>
          <w:szCs w:val="32"/>
          <w:lang w:val="en-US" w:eastAsia="zh-CN"/>
        </w:rPr>
        <w:t>1.</w:t>
      </w:r>
      <w:r>
        <w:rPr>
          <w:rStyle w:val="17"/>
          <w:rFonts w:hint="default" w:ascii="Times New Roman" w:hAnsi="Times New Roman" w:eastAsia="仿宋" w:cs="Times New Roman"/>
          <w:bCs/>
          <w:sz w:val="32"/>
          <w:szCs w:val="32"/>
        </w:rPr>
        <w:t>一般公共服务（类）政府办公厅（室）及相关机构事务（款）信访事务（项）:</w:t>
      </w:r>
      <w:r>
        <w:rPr>
          <w:rStyle w:val="17"/>
          <w:rFonts w:hint="default" w:ascii="Times New Roman" w:hAnsi="Times New Roman" w:eastAsia="仿宋" w:cs="Times New Roman"/>
          <w:b w:val="0"/>
          <w:bCs/>
          <w:sz w:val="32"/>
          <w:szCs w:val="32"/>
        </w:rPr>
        <w:t xml:space="preserve"> 支出决算为</w:t>
      </w:r>
      <w:r>
        <w:rPr>
          <w:rStyle w:val="17"/>
          <w:rFonts w:hint="default" w:ascii="Times New Roman" w:hAnsi="Times New Roman" w:eastAsia="仿宋" w:cs="Times New Roman"/>
          <w:b w:val="0"/>
          <w:bCs/>
          <w:sz w:val="32"/>
          <w:szCs w:val="32"/>
          <w:lang w:val="en-US" w:eastAsia="zh-CN"/>
        </w:rPr>
        <w:t>24.87</w:t>
      </w:r>
      <w:r>
        <w:rPr>
          <w:rStyle w:val="17"/>
          <w:rFonts w:hint="default" w:ascii="Times New Roman" w:hAnsi="Times New Roman" w:eastAsia="仿宋" w:cs="Times New Roman"/>
          <w:b w:val="0"/>
          <w:bCs/>
          <w:sz w:val="32"/>
          <w:szCs w:val="32"/>
        </w:rPr>
        <w:t>万元，完成</w:t>
      </w:r>
      <w:r>
        <w:rPr>
          <w:rStyle w:val="17"/>
          <w:rFonts w:hint="default" w:ascii="Times New Roman" w:hAnsi="Times New Roman" w:eastAsia="仿宋" w:cs="Times New Roman"/>
          <w:b w:val="0"/>
          <w:bCs/>
          <w:sz w:val="32"/>
          <w:szCs w:val="32"/>
          <w:lang w:eastAsia="zh-CN"/>
        </w:rPr>
        <w:t>调整预算</w:t>
      </w:r>
      <w:r>
        <w:rPr>
          <w:rStyle w:val="17"/>
          <w:rFonts w:hint="default" w:ascii="Times New Roman" w:hAnsi="Times New Roman" w:eastAsia="仿宋" w:cs="Times New Roman"/>
          <w:b w:val="0"/>
          <w:bCs/>
          <w:sz w:val="32"/>
          <w:szCs w:val="32"/>
          <w:lang w:val="en-US" w:eastAsia="zh-CN"/>
        </w:rPr>
        <w:t>100%</w:t>
      </w:r>
      <w:r>
        <w:rPr>
          <w:rStyle w:val="17"/>
          <w:rFonts w:hint="default" w:ascii="Times New Roman" w:hAnsi="Times New Roman" w:eastAsia="仿宋" w:cs="Times New Roman"/>
          <w:b w:val="0"/>
          <w:bCs/>
          <w:sz w:val="32"/>
          <w:szCs w:val="32"/>
        </w:rPr>
        <w:t>，决算数</w:t>
      </w:r>
      <w:r>
        <w:rPr>
          <w:rStyle w:val="17"/>
          <w:rFonts w:hint="default" w:ascii="Times New Roman" w:hAnsi="Times New Roman" w:eastAsia="仿宋" w:cs="Times New Roman"/>
          <w:b w:val="0"/>
          <w:bCs/>
          <w:sz w:val="32"/>
          <w:szCs w:val="32"/>
          <w:lang w:eastAsia="zh-CN"/>
        </w:rPr>
        <w:t>等</w:t>
      </w:r>
      <w:r>
        <w:rPr>
          <w:rStyle w:val="17"/>
          <w:rFonts w:hint="default" w:ascii="Times New Roman" w:hAnsi="Times New Roman" w:eastAsia="仿宋" w:cs="Times New Roman"/>
          <w:b w:val="0"/>
          <w:bCs/>
          <w:sz w:val="32"/>
          <w:szCs w:val="32"/>
        </w:rPr>
        <w:t>于</w:t>
      </w:r>
      <w:r>
        <w:rPr>
          <w:rStyle w:val="17"/>
          <w:rFonts w:hint="default" w:ascii="Times New Roman" w:hAnsi="Times New Roman" w:eastAsia="仿宋" w:cs="Times New Roman"/>
          <w:b w:val="0"/>
          <w:bCs/>
          <w:sz w:val="32"/>
          <w:szCs w:val="32"/>
          <w:lang w:eastAsia="zh-CN"/>
        </w:rPr>
        <w:t>调整预算数。</w:t>
      </w:r>
    </w:p>
    <w:p w14:paraId="239550E4">
      <w:pPr>
        <w:pageBreakBefore w:val="0"/>
        <w:widowControl w:val="0"/>
        <w:kinsoku/>
        <w:wordWrap/>
        <w:overflowPunct/>
        <w:topLinePunct w:val="0"/>
        <w:autoSpaceDE/>
        <w:autoSpaceDN/>
        <w:bidi w:val="0"/>
        <w:adjustRightInd/>
        <w:snapToGrid/>
        <w:spacing w:line="240" w:lineRule="auto"/>
        <w:ind w:left="0" w:firstLine="643" w:firstLineChars="200"/>
        <w:textAlignment w:val="auto"/>
        <w:rPr>
          <w:rStyle w:val="17"/>
          <w:rFonts w:hint="default" w:ascii="Times New Roman" w:hAnsi="Times New Roman" w:eastAsia="仿宋" w:cs="Times New Roman"/>
          <w:b w:val="0"/>
          <w:bCs/>
          <w:sz w:val="32"/>
          <w:szCs w:val="32"/>
        </w:rPr>
      </w:pPr>
      <w:r>
        <w:rPr>
          <w:rStyle w:val="17"/>
          <w:rFonts w:hint="default" w:ascii="Times New Roman" w:hAnsi="Times New Roman" w:eastAsia="仿宋" w:cs="Times New Roman"/>
          <w:bCs/>
          <w:sz w:val="32"/>
          <w:szCs w:val="32"/>
        </w:rPr>
        <w:t>2.一般公共服务（类）</w:t>
      </w:r>
      <w:r>
        <w:rPr>
          <w:rStyle w:val="17"/>
          <w:rFonts w:hint="default" w:ascii="Times New Roman" w:hAnsi="Times New Roman" w:eastAsia="仿宋" w:cs="Times New Roman"/>
          <w:bCs/>
          <w:sz w:val="32"/>
          <w:szCs w:val="32"/>
          <w:lang w:eastAsia="zh-CN"/>
        </w:rPr>
        <w:t>其他一般公共服务支出</w:t>
      </w:r>
      <w:r>
        <w:rPr>
          <w:rStyle w:val="17"/>
          <w:rFonts w:hint="default" w:ascii="Times New Roman" w:hAnsi="Times New Roman" w:eastAsia="仿宋" w:cs="Times New Roman"/>
          <w:bCs/>
          <w:sz w:val="32"/>
          <w:szCs w:val="32"/>
        </w:rPr>
        <w:t>（款）</w:t>
      </w:r>
      <w:r>
        <w:rPr>
          <w:rStyle w:val="17"/>
          <w:rFonts w:hint="default" w:ascii="Times New Roman" w:hAnsi="Times New Roman" w:eastAsia="仿宋" w:cs="Times New Roman"/>
          <w:bCs/>
          <w:sz w:val="32"/>
          <w:szCs w:val="32"/>
          <w:lang w:eastAsia="zh-CN"/>
        </w:rPr>
        <w:t>其他一般公共服务支出</w:t>
      </w:r>
      <w:r>
        <w:rPr>
          <w:rStyle w:val="17"/>
          <w:rFonts w:hint="default" w:ascii="Times New Roman" w:hAnsi="Times New Roman" w:eastAsia="仿宋" w:cs="Times New Roman"/>
          <w:bCs/>
          <w:sz w:val="32"/>
          <w:szCs w:val="32"/>
        </w:rPr>
        <w:t>（项）:</w:t>
      </w:r>
      <w:r>
        <w:rPr>
          <w:rStyle w:val="17"/>
          <w:rFonts w:hint="default" w:ascii="Times New Roman" w:hAnsi="Times New Roman" w:eastAsia="仿宋" w:cs="Times New Roman"/>
          <w:b w:val="0"/>
          <w:bCs/>
          <w:sz w:val="32"/>
          <w:szCs w:val="32"/>
        </w:rPr>
        <w:t xml:space="preserve"> 支出决算为</w:t>
      </w:r>
      <w:r>
        <w:rPr>
          <w:rStyle w:val="17"/>
          <w:rFonts w:hint="default" w:ascii="Times New Roman" w:hAnsi="Times New Roman" w:eastAsia="仿宋" w:cs="Times New Roman"/>
          <w:b w:val="0"/>
          <w:bCs/>
          <w:sz w:val="32"/>
          <w:szCs w:val="32"/>
          <w:lang w:val="en-US" w:eastAsia="zh-CN"/>
        </w:rPr>
        <w:t>14.98</w:t>
      </w:r>
      <w:r>
        <w:rPr>
          <w:rStyle w:val="17"/>
          <w:rFonts w:hint="default" w:ascii="Times New Roman" w:hAnsi="Times New Roman" w:eastAsia="仿宋" w:cs="Times New Roman"/>
          <w:b w:val="0"/>
          <w:bCs/>
          <w:sz w:val="32"/>
          <w:szCs w:val="32"/>
        </w:rPr>
        <w:t>万元，完成调整预算100%，决算数等于调整预算数。</w:t>
      </w:r>
    </w:p>
    <w:p w14:paraId="2B973A1E">
      <w:pPr>
        <w:pageBreakBefore w:val="0"/>
        <w:widowControl w:val="0"/>
        <w:numPr>
          <w:ilvl w:val="0"/>
          <w:numId w:val="0"/>
        </w:numPr>
        <w:kinsoku/>
        <w:wordWrap/>
        <w:overflowPunct/>
        <w:topLinePunct w:val="0"/>
        <w:autoSpaceDE/>
        <w:autoSpaceDN/>
        <w:bidi w:val="0"/>
        <w:adjustRightInd/>
        <w:snapToGrid/>
        <w:spacing w:line="240" w:lineRule="auto"/>
        <w:ind w:left="0" w:firstLine="643" w:firstLineChars="200"/>
        <w:textAlignment w:val="auto"/>
        <w:rPr>
          <w:rStyle w:val="17"/>
          <w:rFonts w:hint="default" w:ascii="Times New Roman" w:hAnsi="Times New Roman" w:eastAsia="仿宋" w:cs="Times New Roman"/>
          <w:b w:val="0"/>
          <w:bCs/>
          <w:sz w:val="32"/>
          <w:szCs w:val="32"/>
        </w:rPr>
      </w:pPr>
      <w:r>
        <w:rPr>
          <w:rStyle w:val="17"/>
          <w:rFonts w:hint="default" w:ascii="Times New Roman" w:hAnsi="Times New Roman" w:eastAsia="仿宋" w:cs="Times New Roman"/>
          <w:bCs/>
          <w:sz w:val="32"/>
          <w:szCs w:val="32"/>
          <w:lang w:val="en-US" w:eastAsia="zh-CN"/>
        </w:rPr>
        <w:t>3.</w:t>
      </w:r>
      <w:r>
        <w:rPr>
          <w:rStyle w:val="17"/>
          <w:rFonts w:hint="default" w:ascii="Times New Roman" w:hAnsi="Times New Roman" w:eastAsia="仿宋" w:cs="Times New Roman"/>
          <w:bCs/>
          <w:sz w:val="32"/>
          <w:szCs w:val="32"/>
        </w:rPr>
        <w:t>一般公共服务（类）党委办公厅（室）及相关机构事务（款）行政运行（项）:</w:t>
      </w:r>
      <w:r>
        <w:rPr>
          <w:rStyle w:val="17"/>
          <w:rFonts w:hint="default" w:ascii="Times New Roman" w:hAnsi="Times New Roman" w:eastAsia="仿宋" w:cs="Times New Roman"/>
          <w:b w:val="0"/>
          <w:bCs/>
          <w:sz w:val="32"/>
          <w:szCs w:val="32"/>
        </w:rPr>
        <w:t xml:space="preserve"> 支出决算为</w:t>
      </w:r>
      <w:r>
        <w:rPr>
          <w:rStyle w:val="17"/>
          <w:rFonts w:hint="default" w:ascii="Times New Roman" w:hAnsi="Times New Roman" w:eastAsia="仿宋" w:cs="Times New Roman"/>
          <w:b w:val="0"/>
          <w:bCs/>
          <w:sz w:val="32"/>
          <w:szCs w:val="32"/>
          <w:lang w:val="en-US" w:eastAsia="zh-CN"/>
        </w:rPr>
        <w:t>67.23</w:t>
      </w:r>
      <w:r>
        <w:rPr>
          <w:rStyle w:val="17"/>
          <w:rFonts w:hint="default" w:ascii="Times New Roman" w:hAnsi="Times New Roman" w:eastAsia="仿宋" w:cs="Times New Roman"/>
          <w:b w:val="0"/>
          <w:bCs/>
          <w:sz w:val="32"/>
          <w:szCs w:val="32"/>
        </w:rPr>
        <w:t>万元，完成</w:t>
      </w:r>
      <w:r>
        <w:rPr>
          <w:rStyle w:val="17"/>
          <w:rFonts w:hint="default" w:ascii="Times New Roman" w:hAnsi="Times New Roman" w:eastAsia="仿宋" w:cs="Times New Roman"/>
          <w:b w:val="0"/>
          <w:bCs/>
          <w:sz w:val="32"/>
          <w:szCs w:val="32"/>
          <w:lang w:eastAsia="zh-CN"/>
        </w:rPr>
        <w:t>调整</w:t>
      </w:r>
      <w:r>
        <w:rPr>
          <w:rStyle w:val="17"/>
          <w:rFonts w:hint="default" w:ascii="Times New Roman" w:hAnsi="Times New Roman" w:eastAsia="仿宋" w:cs="Times New Roman"/>
          <w:b w:val="0"/>
          <w:bCs/>
          <w:sz w:val="32"/>
          <w:szCs w:val="32"/>
        </w:rPr>
        <w:t>预算</w:t>
      </w:r>
      <w:r>
        <w:rPr>
          <w:rStyle w:val="17"/>
          <w:rFonts w:hint="default" w:ascii="Times New Roman" w:hAnsi="Times New Roman" w:eastAsia="仿宋" w:cs="Times New Roman"/>
          <w:b w:val="0"/>
          <w:bCs/>
          <w:sz w:val="32"/>
          <w:szCs w:val="32"/>
          <w:lang w:val="en-US" w:eastAsia="zh-CN"/>
        </w:rPr>
        <w:t>100</w:t>
      </w:r>
      <w:r>
        <w:rPr>
          <w:rStyle w:val="17"/>
          <w:rFonts w:hint="default" w:ascii="Times New Roman" w:hAnsi="Times New Roman" w:eastAsia="仿宋" w:cs="Times New Roman"/>
          <w:b w:val="0"/>
          <w:bCs/>
          <w:sz w:val="32"/>
          <w:szCs w:val="32"/>
        </w:rPr>
        <w:t>%，决算数等于调整预算数。</w:t>
      </w:r>
    </w:p>
    <w:p w14:paraId="61C8864A">
      <w:pPr>
        <w:pageBreakBefore w:val="0"/>
        <w:widowControl w:val="0"/>
        <w:numPr>
          <w:ilvl w:val="0"/>
          <w:numId w:val="0"/>
        </w:numPr>
        <w:kinsoku/>
        <w:wordWrap/>
        <w:overflowPunct/>
        <w:topLinePunct w:val="0"/>
        <w:autoSpaceDE/>
        <w:autoSpaceDN/>
        <w:bidi w:val="0"/>
        <w:adjustRightInd/>
        <w:snapToGrid/>
        <w:spacing w:line="240" w:lineRule="auto"/>
        <w:ind w:left="0" w:firstLine="643" w:firstLineChars="200"/>
        <w:textAlignment w:val="auto"/>
        <w:rPr>
          <w:rStyle w:val="17"/>
          <w:rFonts w:hint="default" w:ascii="Times New Roman" w:hAnsi="Times New Roman" w:eastAsia="仿宋" w:cs="Times New Roman"/>
          <w:b w:val="0"/>
          <w:bCs/>
          <w:sz w:val="32"/>
          <w:szCs w:val="32"/>
        </w:rPr>
      </w:pPr>
      <w:r>
        <w:rPr>
          <w:rStyle w:val="17"/>
          <w:rFonts w:hint="default" w:ascii="Times New Roman" w:hAnsi="Times New Roman" w:eastAsia="仿宋" w:cs="Times New Roman"/>
          <w:bCs/>
          <w:sz w:val="32"/>
          <w:szCs w:val="32"/>
          <w:lang w:val="en-US" w:eastAsia="zh-CN"/>
        </w:rPr>
        <w:t>4.</w:t>
      </w:r>
      <w:r>
        <w:rPr>
          <w:rStyle w:val="17"/>
          <w:rFonts w:hint="default" w:ascii="Times New Roman" w:hAnsi="Times New Roman" w:eastAsia="仿宋" w:cs="Times New Roman"/>
          <w:bCs/>
          <w:sz w:val="32"/>
          <w:szCs w:val="32"/>
        </w:rPr>
        <w:t>一般公共服务（类）党委办公厅（室）及相关机构事务（款）事业运行（项）:</w:t>
      </w:r>
      <w:r>
        <w:rPr>
          <w:rStyle w:val="17"/>
          <w:rFonts w:hint="default" w:ascii="Times New Roman" w:hAnsi="Times New Roman" w:eastAsia="仿宋" w:cs="Times New Roman"/>
          <w:b w:val="0"/>
          <w:bCs/>
          <w:sz w:val="32"/>
          <w:szCs w:val="32"/>
        </w:rPr>
        <w:t xml:space="preserve"> 支出决算为</w:t>
      </w:r>
      <w:r>
        <w:rPr>
          <w:rStyle w:val="17"/>
          <w:rFonts w:hint="default" w:ascii="Times New Roman" w:hAnsi="Times New Roman" w:eastAsia="仿宋" w:cs="Times New Roman"/>
          <w:b w:val="0"/>
          <w:bCs/>
          <w:sz w:val="32"/>
          <w:szCs w:val="32"/>
          <w:lang w:val="en-US" w:eastAsia="zh-CN"/>
        </w:rPr>
        <w:t>125.35</w:t>
      </w:r>
      <w:r>
        <w:rPr>
          <w:rStyle w:val="17"/>
          <w:rFonts w:hint="default" w:ascii="Times New Roman" w:hAnsi="Times New Roman" w:eastAsia="仿宋" w:cs="Times New Roman"/>
          <w:b w:val="0"/>
          <w:bCs/>
          <w:sz w:val="32"/>
          <w:szCs w:val="32"/>
        </w:rPr>
        <w:t>万元，完成调整预算100%，决算数等于调整预算数。</w:t>
      </w:r>
    </w:p>
    <w:p w14:paraId="69B83F2C">
      <w:pPr>
        <w:pageBreakBefore w:val="0"/>
        <w:widowControl w:val="0"/>
        <w:kinsoku/>
        <w:wordWrap/>
        <w:overflowPunct/>
        <w:topLinePunct w:val="0"/>
        <w:autoSpaceDE/>
        <w:autoSpaceDN/>
        <w:bidi w:val="0"/>
        <w:adjustRightInd/>
        <w:snapToGrid/>
        <w:spacing w:line="240" w:lineRule="auto"/>
        <w:ind w:left="0" w:firstLine="420" w:firstLineChars="200"/>
        <w:textAlignment w:val="auto"/>
        <w:rPr>
          <w:rStyle w:val="17"/>
          <w:rFonts w:hint="default" w:ascii="Times New Roman" w:hAnsi="Times New Roman" w:eastAsia="仿宋" w:cs="Times New Roman"/>
          <w:b w:val="0"/>
          <w:bCs/>
          <w:sz w:val="32"/>
          <w:szCs w:val="32"/>
        </w:rPr>
      </w:pPr>
      <w:r>
        <w:rPr>
          <w:rFonts w:hint="default" w:ascii="Times New Roman" w:hAnsi="Times New Roman" w:cs="Times New Roman"/>
          <w:lang w:val="en-US" w:eastAsia="zh-CN"/>
        </w:rPr>
        <w:t xml:space="preserve">   </w:t>
      </w:r>
      <w:r>
        <w:rPr>
          <w:rStyle w:val="17"/>
          <w:rFonts w:hint="default" w:ascii="Times New Roman" w:hAnsi="Times New Roman" w:eastAsia="仿宋" w:cs="Times New Roman"/>
          <w:bCs/>
          <w:sz w:val="32"/>
          <w:szCs w:val="32"/>
        </w:rPr>
        <w:t>5.社会保障和就业支出（类）行政事业单位养老支出（款）行政单位离退休（项）:</w:t>
      </w:r>
      <w:r>
        <w:rPr>
          <w:rStyle w:val="17"/>
          <w:rFonts w:hint="default" w:ascii="Times New Roman" w:hAnsi="Times New Roman" w:eastAsia="仿宋" w:cs="Times New Roman"/>
          <w:b w:val="0"/>
          <w:bCs/>
          <w:sz w:val="32"/>
          <w:szCs w:val="32"/>
        </w:rPr>
        <w:t xml:space="preserve"> 支出决算为</w:t>
      </w:r>
      <w:r>
        <w:rPr>
          <w:rStyle w:val="17"/>
          <w:rFonts w:hint="default" w:ascii="Times New Roman" w:hAnsi="Times New Roman" w:eastAsia="仿宋" w:cs="Times New Roman"/>
          <w:b w:val="0"/>
          <w:bCs/>
          <w:sz w:val="32"/>
          <w:szCs w:val="32"/>
          <w:lang w:val="en-US" w:eastAsia="zh-CN"/>
        </w:rPr>
        <w:t>2.65</w:t>
      </w:r>
      <w:r>
        <w:rPr>
          <w:rStyle w:val="17"/>
          <w:rFonts w:hint="default" w:ascii="Times New Roman" w:hAnsi="Times New Roman" w:eastAsia="仿宋" w:cs="Times New Roman"/>
          <w:b w:val="0"/>
          <w:bCs/>
          <w:sz w:val="32"/>
          <w:szCs w:val="32"/>
        </w:rPr>
        <w:t>万元，完成调整预算100%，决算等于调整预算数。</w:t>
      </w:r>
    </w:p>
    <w:p w14:paraId="30A6FCE0">
      <w:pPr>
        <w:pageBreakBefore w:val="0"/>
        <w:widowControl w:val="0"/>
        <w:kinsoku/>
        <w:wordWrap/>
        <w:overflowPunct/>
        <w:topLinePunct w:val="0"/>
        <w:autoSpaceDE/>
        <w:autoSpaceDN/>
        <w:bidi w:val="0"/>
        <w:adjustRightInd/>
        <w:snapToGrid/>
        <w:spacing w:line="240" w:lineRule="auto"/>
        <w:ind w:left="0" w:firstLine="643" w:firstLineChars="200"/>
        <w:textAlignment w:val="auto"/>
        <w:rPr>
          <w:rStyle w:val="17"/>
          <w:rFonts w:hint="default" w:ascii="Times New Roman" w:hAnsi="Times New Roman" w:eastAsia="仿宋" w:cs="Times New Roman"/>
          <w:b w:val="0"/>
          <w:bCs/>
          <w:sz w:val="32"/>
          <w:szCs w:val="32"/>
        </w:rPr>
      </w:pPr>
      <w:r>
        <w:rPr>
          <w:rStyle w:val="17"/>
          <w:rFonts w:hint="default" w:ascii="Times New Roman" w:hAnsi="Times New Roman" w:eastAsia="仿宋" w:cs="Times New Roman"/>
          <w:bCs/>
          <w:sz w:val="32"/>
          <w:szCs w:val="32"/>
        </w:rPr>
        <w:t>6.社会保障和就业支出（类）行政事业单位养老支出（款）机关事业单位基本养老保险缴费支出（项）:</w:t>
      </w:r>
      <w:r>
        <w:rPr>
          <w:rStyle w:val="17"/>
          <w:rFonts w:hint="default" w:ascii="Times New Roman" w:hAnsi="Times New Roman" w:eastAsia="仿宋" w:cs="Times New Roman"/>
          <w:b w:val="0"/>
          <w:bCs/>
          <w:sz w:val="32"/>
          <w:szCs w:val="32"/>
        </w:rPr>
        <w:t xml:space="preserve"> 支出决算为</w:t>
      </w:r>
      <w:r>
        <w:rPr>
          <w:rStyle w:val="17"/>
          <w:rFonts w:hint="default" w:ascii="Times New Roman" w:hAnsi="Times New Roman" w:eastAsia="仿宋" w:cs="Times New Roman"/>
          <w:b w:val="0"/>
          <w:bCs/>
          <w:sz w:val="32"/>
          <w:szCs w:val="32"/>
          <w:lang w:val="en-US" w:eastAsia="zh-CN"/>
        </w:rPr>
        <w:t>14.86</w:t>
      </w:r>
      <w:r>
        <w:rPr>
          <w:rStyle w:val="17"/>
          <w:rFonts w:hint="default" w:ascii="Times New Roman" w:hAnsi="Times New Roman" w:eastAsia="仿宋" w:cs="Times New Roman"/>
          <w:b w:val="0"/>
          <w:bCs/>
          <w:sz w:val="32"/>
          <w:szCs w:val="32"/>
        </w:rPr>
        <w:t>万元，完成调整预算100%，决算等于调整预算数。</w:t>
      </w:r>
    </w:p>
    <w:p w14:paraId="1E8C46F0">
      <w:pPr>
        <w:pageBreakBefore w:val="0"/>
        <w:widowControl w:val="0"/>
        <w:kinsoku/>
        <w:wordWrap/>
        <w:overflowPunct/>
        <w:topLinePunct w:val="0"/>
        <w:autoSpaceDE/>
        <w:autoSpaceDN/>
        <w:bidi w:val="0"/>
        <w:adjustRightInd/>
        <w:snapToGrid/>
        <w:spacing w:line="240" w:lineRule="auto"/>
        <w:ind w:left="0" w:firstLine="643" w:firstLineChars="200"/>
        <w:textAlignment w:val="auto"/>
        <w:rPr>
          <w:rStyle w:val="17"/>
          <w:rFonts w:hint="default" w:ascii="Times New Roman" w:hAnsi="Times New Roman" w:eastAsia="仿宋" w:cs="Times New Roman"/>
          <w:b w:val="0"/>
          <w:bCs/>
          <w:sz w:val="32"/>
          <w:szCs w:val="32"/>
        </w:rPr>
      </w:pPr>
      <w:r>
        <w:rPr>
          <w:rStyle w:val="17"/>
          <w:rFonts w:hint="default" w:ascii="Times New Roman" w:hAnsi="Times New Roman" w:eastAsia="仿宋" w:cs="Times New Roman"/>
          <w:bCs/>
          <w:sz w:val="32"/>
          <w:szCs w:val="32"/>
          <w:lang w:val="en-US" w:eastAsia="zh-CN"/>
        </w:rPr>
        <w:t>7</w:t>
      </w:r>
      <w:r>
        <w:rPr>
          <w:rStyle w:val="17"/>
          <w:rFonts w:hint="default" w:ascii="Times New Roman" w:hAnsi="Times New Roman" w:eastAsia="仿宋" w:cs="Times New Roman"/>
          <w:bCs/>
          <w:sz w:val="32"/>
          <w:szCs w:val="32"/>
        </w:rPr>
        <w:t>.</w:t>
      </w:r>
      <w:r>
        <w:rPr>
          <w:rFonts w:hint="default" w:ascii="Times New Roman" w:hAnsi="Times New Roman" w:eastAsia="仿宋" w:cs="Times New Roman"/>
          <w:b/>
          <w:bCs/>
          <w:sz w:val="32"/>
          <w:szCs w:val="32"/>
        </w:rPr>
        <w:t>卫生健康支出</w:t>
      </w:r>
      <w:r>
        <w:rPr>
          <w:rStyle w:val="17"/>
          <w:rFonts w:hint="default" w:ascii="Times New Roman" w:hAnsi="Times New Roman" w:eastAsia="仿宋" w:cs="Times New Roman"/>
          <w:bCs/>
          <w:sz w:val="32"/>
          <w:szCs w:val="32"/>
        </w:rPr>
        <w:t>（类）行政事业单位医疗（款）行政单位医疗（项）:</w:t>
      </w:r>
      <w:r>
        <w:rPr>
          <w:rStyle w:val="17"/>
          <w:rFonts w:hint="default" w:ascii="Times New Roman" w:hAnsi="Times New Roman" w:eastAsia="仿宋" w:cs="Times New Roman"/>
          <w:b w:val="0"/>
          <w:bCs/>
          <w:sz w:val="32"/>
          <w:szCs w:val="32"/>
        </w:rPr>
        <w:t>支出决算为</w:t>
      </w:r>
      <w:r>
        <w:rPr>
          <w:rStyle w:val="17"/>
          <w:rFonts w:hint="default" w:ascii="Times New Roman" w:hAnsi="Times New Roman" w:eastAsia="仿宋" w:cs="Times New Roman"/>
          <w:b w:val="0"/>
          <w:bCs/>
          <w:sz w:val="32"/>
          <w:szCs w:val="32"/>
          <w:lang w:val="en-US" w:eastAsia="zh-CN"/>
        </w:rPr>
        <w:t>4.14</w:t>
      </w:r>
      <w:r>
        <w:rPr>
          <w:rStyle w:val="17"/>
          <w:rFonts w:hint="default" w:ascii="Times New Roman" w:hAnsi="Times New Roman" w:eastAsia="仿宋" w:cs="Times New Roman"/>
          <w:b w:val="0"/>
          <w:bCs/>
          <w:sz w:val="32"/>
          <w:szCs w:val="32"/>
        </w:rPr>
        <w:t>万元，完成调整预算100%，决算数等于调整预算数。</w:t>
      </w:r>
    </w:p>
    <w:p w14:paraId="262D38E3">
      <w:pPr>
        <w:pageBreakBefore w:val="0"/>
        <w:widowControl w:val="0"/>
        <w:kinsoku/>
        <w:wordWrap/>
        <w:overflowPunct/>
        <w:topLinePunct w:val="0"/>
        <w:autoSpaceDE/>
        <w:autoSpaceDN/>
        <w:bidi w:val="0"/>
        <w:adjustRightInd/>
        <w:snapToGrid/>
        <w:spacing w:line="240" w:lineRule="auto"/>
        <w:ind w:left="0" w:firstLine="643" w:firstLineChars="200"/>
        <w:textAlignment w:val="auto"/>
        <w:rPr>
          <w:rStyle w:val="17"/>
          <w:rFonts w:hint="default" w:ascii="Times New Roman" w:hAnsi="Times New Roman" w:eastAsia="仿宋" w:cs="Times New Roman"/>
          <w:b w:val="0"/>
          <w:bCs/>
          <w:sz w:val="32"/>
          <w:szCs w:val="32"/>
          <w:lang w:eastAsia="zh-CN"/>
        </w:rPr>
      </w:pPr>
      <w:r>
        <w:rPr>
          <w:rStyle w:val="17"/>
          <w:rFonts w:hint="default" w:ascii="Times New Roman" w:hAnsi="Times New Roman" w:eastAsia="仿宋" w:cs="Times New Roman"/>
          <w:bCs/>
          <w:sz w:val="32"/>
          <w:szCs w:val="32"/>
          <w:lang w:val="en-US" w:eastAsia="zh-CN"/>
        </w:rPr>
        <w:t>8</w:t>
      </w:r>
      <w:r>
        <w:rPr>
          <w:rStyle w:val="17"/>
          <w:rFonts w:hint="default" w:ascii="Times New Roman" w:hAnsi="Times New Roman" w:eastAsia="仿宋" w:cs="Times New Roman"/>
          <w:bCs/>
          <w:sz w:val="32"/>
          <w:szCs w:val="32"/>
        </w:rPr>
        <w:t>.</w:t>
      </w:r>
      <w:r>
        <w:rPr>
          <w:rFonts w:hint="default" w:ascii="Times New Roman" w:hAnsi="Times New Roman" w:eastAsia="仿宋" w:cs="Times New Roman"/>
          <w:b/>
          <w:bCs/>
          <w:sz w:val="32"/>
          <w:szCs w:val="32"/>
        </w:rPr>
        <w:t>卫生健康支出</w:t>
      </w:r>
      <w:r>
        <w:rPr>
          <w:rStyle w:val="17"/>
          <w:rFonts w:hint="default" w:ascii="Times New Roman" w:hAnsi="Times New Roman" w:eastAsia="仿宋" w:cs="Times New Roman"/>
          <w:bCs/>
          <w:sz w:val="32"/>
          <w:szCs w:val="32"/>
        </w:rPr>
        <w:t>（类）行政事业单位医疗（款）事业单位医疗（项）:</w:t>
      </w:r>
      <w:r>
        <w:rPr>
          <w:rStyle w:val="17"/>
          <w:rFonts w:hint="default" w:ascii="Times New Roman" w:hAnsi="Times New Roman" w:eastAsia="仿宋" w:cs="Times New Roman"/>
          <w:b w:val="0"/>
          <w:bCs/>
          <w:sz w:val="32"/>
          <w:szCs w:val="32"/>
        </w:rPr>
        <w:t>支出决算为</w:t>
      </w:r>
      <w:r>
        <w:rPr>
          <w:rStyle w:val="17"/>
          <w:rFonts w:hint="default" w:ascii="Times New Roman" w:hAnsi="Times New Roman" w:eastAsia="仿宋" w:cs="Times New Roman"/>
          <w:b w:val="0"/>
          <w:bCs/>
          <w:sz w:val="32"/>
          <w:szCs w:val="32"/>
          <w:lang w:val="en-US" w:eastAsia="zh-CN"/>
        </w:rPr>
        <w:t>7.57</w:t>
      </w:r>
      <w:r>
        <w:rPr>
          <w:rStyle w:val="17"/>
          <w:rFonts w:hint="default" w:ascii="Times New Roman" w:hAnsi="Times New Roman" w:eastAsia="仿宋" w:cs="Times New Roman"/>
          <w:b w:val="0"/>
          <w:bCs/>
          <w:sz w:val="32"/>
          <w:szCs w:val="32"/>
        </w:rPr>
        <w:t>万元，完成调整预算100%，决算数等于调整预算数</w:t>
      </w:r>
      <w:r>
        <w:rPr>
          <w:rStyle w:val="17"/>
          <w:rFonts w:hint="default" w:ascii="Times New Roman" w:hAnsi="Times New Roman" w:eastAsia="仿宋" w:cs="Times New Roman"/>
          <w:b w:val="0"/>
          <w:bCs/>
          <w:sz w:val="32"/>
          <w:szCs w:val="32"/>
          <w:lang w:eastAsia="zh-CN"/>
        </w:rPr>
        <w:t>。</w:t>
      </w:r>
    </w:p>
    <w:p w14:paraId="72554F4A">
      <w:pPr>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default" w:ascii="Times New Roman" w:hAnsi="Times New Roman" w:eastAsia="仿宋" w:cs="Times New Roman"/>
          <w:b/>
          <w:sz w:val="32"/>
          <w:szCs w:val="32"/>
          <w:lang w:eastAsia="zh-CN"/>
        </w:rPr>
      </w:pPr>
      <w:r>
        <w:rPr>
          <w:rStyle w:val="17"/>
          <w:rFonts w:hint="default" w:ascii="Times New Roman" w:hAnsi="Times New Roman" w:eastAsia="仿宋" w:cs="Times New Roman"/>
          <w:bCs/>
          <w:sz w:val="32"/>
          <w:szCs w:val="32"/>
          <w:lang w:val="en-US" w:eastAsia="zh-CN"/>
        </w:rPr>
        <w:t>9</w:t>
      </w:r>
      <w:r>
        <w:rPr>
          <w:rStyle w:val="17"/>
          <w:rFonts w:hint="default" w:ascii="Times New Roman" w:hAnsi="Times New Roman" w:eastAsia="仿宋" w:cs="Times New Roman"/>
          <w:bCs/>
          <w:sz w:val="32"/>
          <w:szCs w:val="32"/>
        </w:rPr>
        <w:t>.</w:t>
      </w:r>
      <w:r>
        <w:rPr>
          <w:rFonts w:hint="default" w:ascii="Times New Roman" w:hAnsi="Times New Roman" w:eastAsia="仿宋" w:cs="Times New Roman"/>
          <w:b/>
          <w:bCs/>
          <w:sz w:val="32"/>
          <w:szCs w:val="32"/>
        </w:rPr>
        <w:t>卫生健康支出</w:t>
      </w:r>
      <w:r>
        <w:rPr>
          <w:rStyle w:val="17"/>
          <w:rFonts w:hint="default" w:ascii="Times New Roman" w:hAnsi="Times New Roman" w:eastAsia="仿宋" w:cs="Times New Roman"/>
          <w:bCs/>
          <w:sz w:val="32"/>
          <w:szCs w:val="32"/>
        </w:rPr>
        <w:t>（类）行政事业单位医疗（款）公务员医疗补助（项）:</w:t>
      </w:r>
      <w:r>
        <w:rPr>
          <w:rStyle w:val="17"/>
          <w:rFonts w:hint="default" w:ascii="Times New Roman" w:hAnsi="Times New Roman" w:eastAsia="仿宋" w:cs="Times New Roman"/>
          <w:b w:val="0"/>
          <w:bCs/>
          <w:sz w:val="32"/>
          <w:szCs w:val="32"/>
        </w:rPr>
        <w:t>支出决算为</w:t>
      </w:r>
      <w:r>
        <w:rPr>
          <w:rStyle w:val="17"/>
          <w:rFonts w:hint="default" w:ascii="Times New Roman" w:hAnsi="Times New Roman" w:eastAsia="仿宋" w:cs="Times New Roman"/>
          <w:b w:val="0"/>
          <w:bCs/>
          <w:sz w:val="32"/>
          <w:szCs w:val="32"/>
          <w:lang w:val="en-US" w:eastAsia="zh-CN"/>
        </w:rPr>
        <w:t>1.28</w:t>
      </w:r>
      <w:r>
        <w:rPr>
          <w:rStyle w:val="17"/>
          <w:rFonts w:hint="default" w:ascii="Times New Roman" w:hAnsi="Times New Roman" w:eastAsia="仿宋" w:cs="Times New Roman"/>
          <w:b w:val="0"/>
          <w:bCs/>
          <w:sz w:val="32"/>
          <w:szCs w:val="32"/>
        </w:rPr>
        <w:t>万元，完成调整预算100%，决算数等于调整预算数</w:t>
      </w:r>
      <w:r>
        <w:rPr>
          <w:rStyle w:val="17"/>
          <w:rFonts w:hint="default" w:ascii="Times New Roman" w:hAnsi="Times New Roman" w:eastAsia="仿宋" w:cs="Times New Roman"/>
          <w:b w:val="0"/>
          <w:bCs/>
          <w:sz w:val="32"/>
          <w:szCs w:val="32"/>
          <w:lang w:eastAsia="zh-CN"/>
        </w:rPr>
        <w:t>。</w:t>
      </w:r>
    </w:p>
    <w:p w14:paraId="66B066D6">
      <w:pPr>
        <w:pageBreakBefore w:val="0"/>
        <w:widowControl w:val="0"/>
        <w:kinsoku/>
        <w:wordWrap/>
        <w:overflowPunct/>
        <w:topLinePunct w:val="0"/>
        <w:autoSpaceDE/>
        <w:autoSpaceDN/>
        <w:bidi w:val="0"/>
        <w:adjustRightInd/>
        <w:snapToGrid/>
        <w:spacing w:line="240" w:lineRule="auto"/>
        <w:ind w:left="0" w:firstLine="643" w:firstLineChars="200"/>
        <w:textAlignment w:val="auto"/>
        <w:rPr>
          <w:rFonts w:hint="default" w:ascii="Times New Roman" w:hAnsi="Times New Roman" w:eastAsia="仿宋" w:cs="Times New Roman"/>
          <w:b/>
          <w:color w:val="auto"/>
          <w:sz w:val="32"/>
          <w:szCs w:val="32"/>
          <w:highlight w:val="none"/>
          <w:lang w:eastAsia="zh-CN"/>
        </w:rPr>
      </w:pPr>
      <w:r>
        <w:rPr>
          <w:rStyle w:val="17"/>
          <w:rFonts w:hint="default" w:ascii="Times New Roman" w:hAnsi="Times New Roman" w:eastAsia="仿宋" w:cs="Times New Roman"/>
          <w:bCs/>
          <w:sz w:val="32"/>
          <w:szCs w:val="32"/>
          <w:lang w:val="en-US" w:eastAsia="zh-CN"/>
        </w:rPr>
        <w:t>10</w:t>
      </w:r>
      <w:r>
        <w:rPr>
          <w:rStyle w:val="17"/>
          <w:rFonts w:hint="default" w:ascii="Times New Roman" w:hAnsi="Times New Roman" w:eastAsia="仿宋" w:cs="Times New Roman"/>
          <w:bCs/>
          <w:sz w:val="32"/>
          <w:szCs w:val="32"/>
        </w:rPr>
        <w:t>.</w:t>
      </w:r>
      <w:r>
        <w:rPr>
          <w:rFonts w:hint="default" w:ascii="Times New Roman" w:hAnsi="Times New Roman" w:eastAsia="仿宋" w:cs="Times New Roman"/>
          <w:b/>
          <w:bCs/>
          <w:sz w:val="32"/>
          <w:szCs w:val="32"/>
        </w:rPr>
        <w:t>住房保障支出</w:t>
      </w:r>
      <w:r>
        <w:rPr>
          <w:rStyle w:val="17"/>
          <w:rFonts w:hint="default" w:ascii="Times New Roman" w:hAnsi="Times New Roman" w:eastAsia="仿宋" w:cs="Times New Roman"/>
          <w:bCs/>
          <w:sz w:val="32"/>
          <w:szCs w:val="32"/>
        </w:rPr>
        <w:t>（类）住房改革支出（款）住房公积金（项）:</w:t>
      </w:r>
      <w:r>
        <w:rPr>
          <w:rStyle w:val="17"/>
          <w:rFonts w:hint="default" w:ascii="Times New Roman" w:hAnsi="Times New Roman" w:eastAsia="仿宋" w:cs="Times New Roman"/>
          <w:b w:val="0"/>
          <w:bCs/>
          <w:sz w:val="32"/>
          <w:szCs w:val="32"/>
        </w:rPr>
        <w:t>支出决算为</w:t>
      </w:r>
      <w:r>
        <w:rPr>
          <w:rStyle w:val="17"/>
          <w:rFonts w:hint="default" w:ascii="Times New Roman" w:hAnsi="Times New Roman" w:eastAsia="仿宋" w:cs="Times New Roman"/>
          <w:b w:val="0"/>
          <w:bCs/>
          <w:sz w:val="32"/>
          <w:szCs w:val="32"/>
          <w:lang w:val="en-US" w:eastAsia="zh-CN"/>
        </w:rPr>
        <w:t>19.03</w:t>
      </w:r>
      <w:r>
        <w:rPr>
          <w:rStyle w:val="17"/>
          <w:rFonts w:hint="default" w:ascii="Times New Roman" w:hAnsi="Times New Roman" w:eastAsia="仿宋" w:cs="Times New Roman"/>
          <w:b w:val="0"/>
          <w:bCs/>
          <w:sz w:val="32"/>
          <w:szCs w:val="32"/>
        </w:rPr>
        <w:t>万元，完成调整预算100%，决算数等于调整预算数</w:t>
      </w:r>
      <w:r>
        <w:rPr>
          <w:rStyle w:val="17"/>
          <w:rFonts w:hint="default" w:ascii="Times New Roman" w:hAnsi="Times New Roman" w:eastAsia="仿宋" w:cs="Times New Roman"/>
          <w:b w:val="0"/>
          <w:bCs/>
          <w:sz w:val="32"/>
          <w:szCs w:val="32"/>
          <w:lang w:eastAsia="zh-CN"/>
        </w:rPr>
        <w:t>。</w:t>
      </w:r>
    </w:p>
    <w:p w14:paraId="5025D26A">
      <w:pPr>
        <w:pageBreakBefore w:val="0"/>
        <w:widowControl w:val="0"/>
        <w:tabs>
          <w:tab w:val="right" w:pos="8306"/>
        </w:tabs>
        <w:kinsoku/>
        <w:wordWrap/>
        <w:overflowPunct/>
        <w:topLinePunct w:val="0"/>
        <w:autoSpaceDE/>
        <w:autoSpaceDN/>
        <w:bidi w:val="0"/>
        <w:adjustRightInd/>
        <w:snapToGrid/>
        <w:spacing w:line="240" w:lineRule="auto"/>
        <w:ind w:left="0" w:firstLine="640" w:firstLineChars="200"/>
        <w:textAlignment w:val="auto"/>
        <w:outlineLvl w:val="1"/>
        <w:rPr>
          <w:rStyle w:val="29"/>
          <w:rFonts w:hint="default" w:ascii="Times New Roman" w:hAnsi="Times New Roman" w:cs="Times New Roman"/>
          <w:color w:val="auto"/>
          <w:highlight w:val="none"/>
        </w:rPr>
      </w:pPr>
      <w:bookmarkStart w:id="31" w:name="_Toc15377214"/>
      <w:bookmarkStart w:id="32" w:name="_Toc15396608"/>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般公共预算财政拨款基本支出决算情况说明</w:t>
      </w:r>
      <w:bookmarkEnd w:id="31"/>
      <w:bookmarkEnd w:id="32"/>
      <w:r>
        <w:rPr>
          <w:rStyle w:val="29"/>
          <w:rFonts w:hint="default" w:ascii="Times New Roman" w:hAnsi="Times New Roman" w:eastAsia="黑体" w:cs="Times New Roman"/>
          <w:b w:val="0"/>
          <w:color w:val="auto"/>
          <w:highlight w:val="none"/>
        </w:rPr>
        <w:tab/>
      </w:r>
    </w:p>
    <w:p w14:paraId="4743D34A">
      <w:pPr>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年一般公共预算财政拨款基本支出</w:t>
      </w:r>
      <w:r>
        <w:rPr>
          <w:rFonts w:hint="default" w:ascii="Times New Roman" w:hAnsi="Times New Roman" w:eastAsia="仿宋" w:cs="Times New Roman"/>
          <w:color w:val="auto"/>
          <w:sz w:val="32"/>
          <w:szCs w:val="32"/>
          <w:highlight w:val="none"/>
          <w:lang w:val="en-US" w:eastAsia="zh-CN"/>
        </w:rPr>
        <w:t>242.11</w:t>
      </w:r>
      <w:r>
        <w:rPr>
          <w:rFonts w:hint="default" w:ascii="Times New Roman" w:hAnsi="Times New Roman" w:eastAsia="仿宋" w:cs="Times New Roman"/>
          <w:color w:val="auto"/>
          <w:sz w:val="32"/>
          <w:szCs w:val="32"/>
          <w:highlight w:val="none"/>
        </w:rPr>
        <w:t>万元，其中：</w:t>
      </w:r>
    </w:p>
    <w:p w14:paraId="035B6247">
      <w:pPr>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人员经费</w:t>
      </w:r>
      <w:r>
        <w:rPr>
          <w:rFonts w:hint="default" w:ascii="Times New Roman" w:hAnsi="Times New Roman" w:eastAsia="仿宋" w:cs="Times New Roman"/>
          <w:color w:val="auto"/>
          <w:sz w:val="32"/>
          <w:szCs w:val="32"/>
          <w:highlight w:val="none"/>
          <w:lang w:val="en-US" w:eastAsia="zh-CN"/>
        </w:rPr>
        <w:t>233.32</w:t>
      </w:r>
      <w:r>
        <w:rPr>
          <w:rFonts w:hint="default" w:ascii="Times New Roman" w:hAnsi="Times New Roman" w:eastAsia="仿宋" w:cs="Times New Roman"/>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 w:cs="Times New Roman"/>
          <w:color w:val="auto"/>
          <w:sz w:val="32"/>
          <w:szCs w:val="32"/>
          <w:highlight w:val="none"/>
        </w:rPr>
        <w:br w:type="textWrapping"/>
      </w:r>
      <w:r>
        <w:rPr>
          <w:rFonts w:hint="default" w:ascii="Times New Roman" w:hAnsi="Times New Roman" w:eastAsia="仿宋" w:cs="Times New Roman"/>
          <w:color w:val="auto"/>
          <w:sz w:val="32"/>
          <w:szCs w:val="32"/>
          <w:highlight w:val="none"/>
        </w:rPr>
        <w:t>　　公用经费</w:t>
      </w:r>
      <w:r>
        <w:rPr>
          <w:rFonts w:hint="default" w:ascii="Times New Roman" w:hAnsi="Times New Roman" w:eastAsia="仿宋" w:cs="Times New Roman"/>
          <w:color w:val="auto"/>
          <w:sz w:val="32"/>
          <w:szCs w:val="32"/>
          <w:highlight w:val="none"/>
          <w:lang w:val="en-US" w:eastAsia="zh-CN"/>
        </w:rPr>
        <w:t>7.89</w:t>
      </w:r>
      <w:r>
        <w:rPr>
          <w:rFonts w:hint="default" w:ascii="Times New Roman" w:hAnsi="Times New Roman" w:eastAsia="仿宋" w:cs="Times New Roman"/>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B14C570">
      <w:pPr>
        <w:pageBreakBefore w:val="0"/>
        <w:widowControl w:val="0"/>
        <w:kinsoku/>
        <w:wordWrap/>
        <w:overflowPunct/>
        <w:topLinePunct w:val="0"/>
        <w:autoSpaceDE/>
        <w:autoSpaceDN/>
        <w:bidi w:val="0"/>
        <w:adjustRightInd/>
        <w:snapToGrid/>
        <w:spacing w:line="240" w:lineRule="auto"/>
        <w:ind w:left="0" w:firstLine="640" w:firstLineChars="200"/>
        <w:textAlignment w:val="auto"/>
        <w:outlineLvl w:val="1"/>
        <w:rPr>
          <w:rStyle w:val="29"/>
          <w:rFonts w:hint="default" w:ascii="Times New Roman" w:hAnsi="Times New Roman" w:eastAsia="黑体" w:cs="Times New Roman"/>
          <w:b w:val="0"/>
          <w:color w:val="auto"/>
          <w:highlight w:val="none"/>
        </w:rPr>
      </w:pPr>
      <w:bookmarkStart w:id="33" w:name="_Toc15377215"/>
      <w:bookmarkStart w:id="34" w:name="_Toc15396609"/>
      <w:r>
        <w:rPr>
          <w:rFonts w:hint="default" w:ascii="Times New Roman" w:hAnsi="Times New Roman" w:eastAsia="黑体" w:cs="Times New Roman"/>
          <w:color w:val="auto"/>
          <w:sz w:val="32"/>
          <w:szCs w:val="32"/>
          <w:highlight w:val="none"/>
        </w:rPr>
        <w:t>七、</w:t>
      </w:r>
      <w:r>
        <w:rPr>
          <w:rStyle w:val="29"/>
          <w:rFonts w:hint="default" w:ascii="Times New Roman" w:hAnsi="Times New Roman" w:eastAsia="黑体" w:cs="Times New Roman"/>
          <w:b w:val="0"/>
          <w:color w:val="auto"/>
          <w:highlight w:val="none"/>
        </w:rPr>
        <w:t>财政拨款</w:t>
      </w:r>
      <w:r>
        <w:rPr>
          <w:rStyle w:val="29"/>
          <w:rFonts w:hint="default" w:ascii="Times New Roman" w:hAnsi="Times New Roman" w:eastAsia="黑体" w:cs="Times New Roman"/>
          <w:color w:val="auto"/>
          <w:highlight w:val="none"/>
        </w:rPr>
        <w:t>“</w:t>
      </w:r>
      <w:r>
        <w:rPr>
          <w:rStyle w:val="29"/>
          <w:rFonts w:hint="default" w:ascii="Times New Roman" w:hAnsi="Times New Roman" w:eastAsia="黑体" w:cs="Times New Roman"/>
          <w:b w:val="0"/>
          <w:color w:val="auto"/>
          <w:highlight w:val="none"/>
        </w:rPr>
        <w:t>三公”经费支出决算情况说明</w:t>
      </w:r>
      <w:bookmarkEnd w:id="33"/>
      <w:bookmarkEnd w:id="34"/>
    </w:p>
    <w:p w14:paraId="784160D3">
      <w:pPr>
        <w:pageBreakBefore w:val="0"/>
        <w:widowControl w:val="0"/>
        <w:kinsoku/>
        <w:wordWrap/>
        <w:overflowPunct/>
        <w:topLinePunct w:val="0"/>
        <w:autoSpaceDE/>
        <w:autoSpaceDN/>
        <w:bidi w:val="0"/>
        <w:adjustRightInd/>
        <w:snapToGrid/>
        <w:spacing w:line="240" w:lineRule="auto"/>
        <w:ind w:left="0" w:firstLine="643" w:firstLineChars="200"/>
        <w:textAlignment w:val="auto"/>
        <w:outlineLvl w:val="2"/>
        <w:rPr>
          <w:rFonts w:hint="default" w:ascii="Times New Roman" w:hAnsi="Times New Roman" w:eastAsia="仿宋" w:cs="Times New Roman"/>
          <w:b/>
          <w:color w:val="auto"/>
          <w:sz w:val="32"/>
          <w:szCs w:val="32"/>
          <w:highlight w:val="none"/>
        </w:rPr>
      </w:pPr>
      <w:bookmarkStart w:id="35" w:name="_Toc15377216"/>
      <w:r>
        <w:rPr>
          <w:rFonts w:hint="default" w:ascii="Times New Roman" w:hAnsi="Times New Roman" w:eastAsia="仿宋" w:cs="Times New Roman"/>
          <w:b/>
          <w:color w:val="auto"/>
          <w:sz w:val="32"/>
          <w:szCs w:val="32"/>
          <w:highlight w:val="none"/>
        </w:rPr>
        <w:t>（一）“三公”经费财政拨款支出决算总体情况说明</w:t>
      </w:r>
      <w:bookmarkEnd w:id="35"/>
    </w:p>
    <w:p w14:paraId="64282EC5">
      <w:pPr>
        <w:pStyle w:val="2"/>
        <w:pageBreakBefore w:val="0"/>
        <w:widowControl w:val="0"/>
        <w:kinsoku/>
        <w:wordWrap/>
        <w:overflowPunct/>
        <w:topLinePunct w:val="0"/>
        <w:autoSpaceDE/>
        <w:autoSpaceDN/>
        <w:bidi w:val="0"/>
        <w:adjustRightInd/>
        <w:snapToGrid/>
        <w:spacing w:beforeLines="0" w:line="240" w:lineRule="auto"/>
        <w:ind w:left="0"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kern w:val="2"/>
          <w:sz w:val="32"/>
          <w:szCs w:val="24"/>
          <w:lang w:val="zh-CN"/>
        </w:rPr>
        <w:t>2022年“三公”经费财政拨款支出决算为0.75万元，完成预算</w:t>
      </w:r>
      <w:r>
        <w:rPr>
          <w:rFonts w:hint="default" w:ascii="Times New Roman" w:hAnsi="Times New Roman" w:cs="Times New Roman"/>
          <w:color w:val="000000"/>
          <w:kern w:val="2"/>
          <w:sz w:val="32"/>
          <w:szCs w:val="24"/>
          <w:lang w:val="en-US" w:eastAsia="zh-CN"/>
        </w:rPr>
        <w:t>100</w:t>
      </w:r>
      <w:r>
        <w:rPr>
          <w:rFonts w:hint="default" w:ascii="Times New Roman" w:hAnsi="Times New Roman" w:eastAsia="仿宋_GB2312" w:cs="Times New Roman"/>
          <w:color w:val="000000"/>
          <w:kern w:val="2"/>
          <w:sz w:val="32"/>
          <w:szCs w:val="24"/>
          <w:lang w:val="zh-CN"/>
        </w:rPr>
        <w:t>%；较上年减少0.43万元，下降36.4%。决算数小于预算数的主要原因是</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年公务接待活动减少，根据八项规定，厉行节约。</w:t>
      </w:r>
    </w:p>
    <w:p w14:paraId="175B729C">
      <w:pPr>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outlineLvl w:val="2"/>
        <w:rPr>
          <w:rFonts w:hint="default" w:ascii="Times New Roman" w:hAnsi="Times New Roman" w:eastAsia="仿宋" w:cs="Times New Roman"/>
          <w:b/>
          <w:color w:val="auto"/>
          <w:sz w:val="32"/>
          <w:szCs w:val="32"/>
          <w:highlight w:val="none"/>
        </w:rPr>
      </w:pPr>
      <w:bookmarkStart w:id="36" w:name="_Toc15377217"/>
      <w:r>
        <w:rPr>
          <w:rFonts w:hint="default" w:ascii="Times New Roman" w:hAnsi="Times New Roman" w:eastAsia="仿宋" w:cs="Times New Roman"/>
          <w:b/>
          <w:color w:val="auto"/>
          <w:sz w:val="32"/>
          <w:szCs w:val="32"/>
          <w:highlight w:val="none"/>
        </w:rPr>
        <w:t>“三公”经费财政拨款支出决算具体情况说明</w:t>
      </w:r>
      <w:bookmarkEnd w:id="36"/>
    </w:p>
    <w:p w14:paraId="509A84C9">
      <w:pPr>
        <w:keepNext/>
        <w:keepLines/>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kern w:val="2"/>
          <w:sz w:val="32"/>
          <w:szCs w:val="24"/>
          <w:lang w:val="zh-CN"/>
        </w:rPr>
      </w:pPr>
      <w:r>
        <w:rPr>
          <w:rFonts w:hint="default" w:ascii="Times New Roman" w:hAnsi="Times New Roman" w:eastAsia="仿宋_GB2312" w:cs="Times New Roman"/>
          <w:color w:val="000000"/>
          <w:kern w:val="2"/>
          <w:sz w:val="32"/>
          <w:szCs w:val="24"/>
          <w:lang w:val="zh-CN"/>
        </w:rPr>
        <w:t>2022年“三公”经费财政拨款支出决算中，因公出国（境）费支出决算0万元，占0%；公务用车购置及运行维护费支出决算0万元，占0%；公务接待费支出决算0.75万元，占100%。具体情况如下：</w:t>
      </w:r>
    </w:p>
    <w:p w14:paraId="3CF9098F">
      <w:pPr>
        <w:pStyle w:val="2"/>
        <w:rPr>
          <w:rFonts w:hint="default" w:ascii="Times New Roman" w:hAnsi="Times New Roman" w:cs="Times New Roman"/>
        </w:rPr>
      </w:pPr>
      <w:r>
        <w:rPr>
          <w:rFonts w:hint="default" w:ascii="Times New Roman" w:hAnsi="Times New Roman" w:cs="Times New Roman"/>
          <w:lang w:val="zh-CN"/>
        </w:rPr>
        <w:drawing>
          <wp:inline distT="0" distB="0" distL="114300" distR="114300">
            <wp:extent cx="5375275" cy="3023235"/>
            <wp:effectExtent l="4445" t="4445" r="15240" b="508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EF78CF">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（图7：“三公”经费财政拨款支出结构）（饼状图）</w:t>
      </w:r>
    </w:p>
    <w:p w14:paraId="1D0D39A7">
      <w:pPr>
        <w:keepNext w:val="0"/>
        <w:keepLines w:val="0"/>
        <w:pageBreakBefore w:val="0"/>
        <w:kinsoku/>
        <w:wordWrap/>
        <w:overflowPunct/>
        <w:topLinePunct w:val="0"/>
        <w:bidi w:val="0"/>
        <w:adjustRightInd/>
        <w:snapToGrid/>
        <w:spacing w:line="240" w:lineRule="auto"/>
        <w:ind w:left="0"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rPr>
        <w:t>0万元，</w:t>
      </w:r>
      <w:r>
        <w:rPr>
          <w:rStyle w:val="17"/>
          <w:rFonts w:hint="default" w:ascii="Times New Roman" w:hAnsi="Times New Roman" w:eastAsia="仿宋" w:cs="Times New Roman"/>
          <w:b w:val="0"/>
          <w:bCs/>
          <w:sz w:val="32"/>
          <w:szCs w:val="32"/>
        </w:rPr>
        <w:t>完成预算100%。</w:t>
      </w:r>
      <w:r>
        <w:rPr>
          <w:rFonts w:hint="default" w:ascii="Times New Roman" w:hAnsi="Times New Roman" w:eastAsia="仿宋_GB2312" w:cs="Times New Roman"/>
          <w:sz w:val="32"/>
          <w:szCs w:val="32"/>
        </w:rPr>
        <w:t>全年安排因公出国（境）团组0次，出国（境）0人。因公出国（境）支出决算与202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年相等。</w:t>
      </w:r>
    </w:p>
    <w:p w14:paraId="1C198CD1">
      <w:pPr>
        <w:keepNext w:val="0"/>
        <w:keepLines w:val="0"/>
        <w:pageBreakBefore w:val="0"/>
        <w:kinsoku/>
        <w:wordWrap/>
        <w:overflowPunct/>
        <w:topLinePunct w:val="0"/>
        <w:bidi w:val="0"/>
        <w:adjustRightInd/>
        <w:snapToGrid/>
        <w:spacing w:line="240" w:lineRule="auto"/>
        <w:ind w:lef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rPr>
        <w:t>0万元,</w:t>
      </w:r>
      <w:r>
        <w:rPr>
          <w:rStyle w:val="17"/>
          <w:rFonts w:hint="default" w:ascii="Times New Roman" w:hAnsi="Times New Roman" w:eastAsia="仿宋" w:cs="Times New Roman"/>
          <w:b w:val="0"/>
          <w:bCs/>
          <w:sz w:val="32"/>
          <w:szCs w:val="32"/>
        </w:rPr>
        <w:t>完成预算100%。</w:t>
      </w:r>
      <w:r>
        <w:rPr>
          <w:rFonts w:hint="default" w:ascii="Times New Roman" w:hAnsi="Times New Roman" w:eastAsia="仿宋_GB2312" w:cs="Times New Roman"/>
          <w:sz w:val="32"/>
          <w:szCs w:val="32"/>
        </w:rPr>
        <w:t>公务用车购置及运行维护费支出决算与202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年相等。</w:t>
      </w:r>
    </w:p>
    <w:p w14:paraId="6DAB9B6A">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rPr>
        <w:t>0万元。全年按规定更新购置公务用车0辆，其中：轿车0辆、金额0万元，越野车0辆、金额0万元，小型载客汽车0辆、金额0万元，大中型载客汽车0辆、金额0万元，其他车型0辆、金额0万元。截至202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年12月底，单位共有公务用车0辆，其中：轿车0辆、越野车0辆、小型载客汽车0辆、大中型载客汽车0辆、其他车型0辆。</w:t>
      </w:r>
    </w:p>
    <w:p w14:paraId="6461D313">
      <w:pPr>
        <w:keepNext w:val="0"/>
        <w:keepLines w:val="0"/>
        <w:pageBreakBefore w:val="0"/>
        <w:kinsoku/>
        <w:wordWrap/>
        <w:overflowPunct/>
        <w:topLinePunct w:val="0"/>
        <w:bidi w:val="0"/>
        <w:adjustRightInd/>
        <w:snapToGrid/>
        <w:spacing w:line="240" w:lineRule="auto"/>
        <w:ind w:lef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rPr>
        <w:t>0万元。</w:t>
      </w:r>
    </w:p>
    <w:p w14:paraId="5CE2828C">
      <w:pPr>
        <w:keepNext w:val="0"/>
        <w:keepLines w:val="0"/>
        <w:pageBreakBefore w:val="0"/>
        <w:kinsoku/>
        <w:wordWrap/>
        <w:overflowPunct/>
        <w:topLinePunct w:val="0"/>
        <w:bidi w:val="0"/>
        <w:adjustRightInd/>
        <w:snapToGrid/>
        <w:spacing w:line="240" w:lineRule="auto"/>
        <w:ind w:lef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b w:val="0"/>
          <w:bCs/>
          <w:sz w:val="32"/>
          <w:szCs w:val="32"/>
          <w:lang w:val="en-US" w:eastAsia="zh-CN"/>
        </w:rPr>
        <w:t>0.75万元</w:t>
      </w:r>
      <w:r>
        <w:rPr>
          <w:rFonts w:hint="default" w:ascii="Times New Roman" w:hAnsi="Times New Roman" w:eastAsia="仿宋_GB2312" w:cs="Times New Roman"/>
          <w:b/>
          <w:sz w:val="32"/>
          <w:szCs w:val="32"/>
        </w:rPr>
        <w:t>，</w:t>
      </w:r>
      <w:r>
        <w:rPr>
          <w:rStyle w:val="17"/>
          <w:rFonts w:hint="default" w:ascii="Times New Roman" w:hAnsi="Times New Roman" w:eastAsia="仿宋" w:cs="Times New Roman"/>
          <w:b w:val="0"/>
          <w:bCs/>
          <w:sz w:val="32"/>
          <w:szCs w:val="32"/>
        </w:rPr>
        <w:t>完成预算</w:t>
      </w:r>
      <w:r>
        <w:rPr>
          <w:rStyle w:val="17"/>
          <w:rFonts w:hint="default" w:ascii="Times New Roman" w:hAnsi="Times New Roman" w:eastAsia="仿宋" w:cs="Times New Roman"/>
          <w:b w:val="0"/>
          <w:bCs/>
          <w:sz w:val="32"/>
          <w:szCs w:val="32"/>
          <w:lang w:val="en-US" w:eastAsia="zh-CN"/>
        </w:rPr>
        <w:t>63.01</w:t>
      </w:r>
      <w:r>
        <w:rPr>
          <w:rStyle w:val="17"/>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公务接待费支出决算比202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年减少</w:t>
      </w:r>
      <w:r>
        <w:rPr>
          <w:rFonts w:hint="default" w:ascii="Times New Roman" w:hAnsi="Times New Roman" w:eastAsia="仿宋_GB2312" w:cs="Times New Roman"/>
          <w:sz w:val="32"/>
          <w:szCs w:val="32"/>
          <w:lang w:val="en-US" w:eastAsia="zh-CN"/>
        </w:rPr>
        <w:t>0.43</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36.4</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kern w:val="0"/>
          <w:sz w:val="32"/>
          <w:szCs w:val="32"/>
        </w:rPr>
        <w:t>公务接待减少</w:t>
      </w:r>
      <w:r>
        <w:rPr>
          <w:rFonts w:hint="default" w:ascii="Times New Roman" w:hAnsi="Times New Roman" w:eastAsia="仿宋_GB2312" w:cs="Times New Roman"/>
          <w:sz w:val="32"/>
          <w:szCs w:val="32"/>
        </w:rPr>
        <w:t>。其中：</w:t>
      </w:r>
    </w:p>
    <w:p w14:paraId="363F39F9">
      <w:pPr>
        <w:keepNext w:val="0"/>
        <w:keepLines w:val="0"/>
        <w:pageBreakBefore w:val="0"/>
        <w:kinsoku/>
        <w:wordWrap/>
        <w:overflowPunct/>
        <w:topLinePunct w:val="0"/>
        <w:bidi w:val="0"/>
        <w:adjustRightInd/>
        <w:snapToGrid/>
        <w:spacing w:line="240" w:lineRule="auto"/>
        <w:ind w:left="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b/>
          <w:sz w:val="32"/>
          <w:szCs w:val="32"/>
        </w:rPr>
        <w:t>国内公务接待支出</w:t>
      </w:r>
      <w:r>
        <w:rPr>
          <w:rFonts w:hint="default" w:ascii="Times New Roman" w:hAnsi="Times New Roman" w:eastAsia="仿宋" w:cs="Times New Roman"/>
          <w:b w:val="0"/>
          <w:bCs/>
          <w:sz w:val="32"/>
          <w:szCs w:val="32"/>
          <w:lang w:val="en-US" w:eastAsia="zh-CN"/>
        </w:rPr>
        <w:t>0.75万元</w:t>
      </w:r>
      <w:r>
        <w:rPr>
          <w:rFonts w:hint="default" w:ascii="Times New Roman" w:hAnsi="Times New Roman" w:eastAsia="仿宋" w:cs="Times New Roman"/>
          <w:b/>
          <w:sz w:val="32"/>
          <w:szCs w:val="32"/>
        </w:rPr>
        <w:t>，</w:t>
      </w:r>
      <w:r>
        <w:rPr>
          <w:rFonts w:hint="default" w:ascii="Times New Roman" w:hAnsi="Times New Roman" w:eastAsia="仿宋_GB2312" w:cs="Times New Roman"/>
          <w:sz w:val="32"/>
          <w:szCs w:val="32"/>
        </w:rPr>
        <w:t>主要用于执行公务用餐费用。国内公务接待</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91</w:t>
      </w:r>
      <w:r>
        <w:rPr>
          <w:rFonts w:hint="default" w:ascii="Times New Roman" w:hAnsi="Times New Roman" w:eastAsia="仿宋_GB2312" w:cs="Times New Roman"/>
          <w:sz w:val="32"/>
          <w:szCs w:val="32"/>
        </w:rPr>
        <w:t>人次，共计支出</w:t>
      </w:r>
      <w:r>
        <w:rPr>
          <w:rFonts w:hint="default" w:ascii="Times New Roman" w:hAnsi="Times New Roman" w:eastAsia="仿宋_GB2312" w:cs="Times New Roman"/>
          <w:sz w:val="32"/>
          <w:szCs w:val="32"/>
          <w:lang w:val="en-US" w:eastAsia="zh-CN"/>
        </w:rPr>
        <w:t>0.75</w:t>
      </w:r>
      <w:r>
        <w:rPr>
          <w:rFonts w:hint="default" w:ascii="Times New Roman" w:hAnsi="Times New Roman" w:eastAsia="仿宋_GB2312" w:cs="Times New Roman"/>
          <w:sz w:val="32"/>
          <w:szCs w:val="32"/>
        </w:rPr>
        <w:t>万元，具体内容包括：支付接待盐边县信访局到仁和区交流学习信访</w:t>
      </w:r>
      <w:r>
        <w:rPr>
          <w:rFonts w:hint="default" w:ascii="Times New Roman" w:hAnsi="Times New Roman" w:eastAsia="仿宋_GB2312" w:cs="Times New Roman"/>
          <w:sz w:val="32"/>
          <w:szCs w:val="32"/>
          <w:lang w:eastAsia="zh-CN"/>
        </w:rPr>
        <w:t>工作经验</w:t>
      </w:r>
      <w:r>
        <w:rPr>
          <w:rFonts w:hint="default" w:ascii="Times New Roman" w:hAnsi="Times New Roman" w:eastAsia="仿宋_GB2312" w:cs="Times New Roman"/>
          <w:sz w:val="32"/>
          <w:szCs w:val="32"/>
        </w:rPr>
        <w:t>接待费</w:t>
      </w:r>
      <w:r>
        <w:rPr>
          <w:rFonts w:hint="default" w:ascii="Times New Roman" w:hAnsi="Times New Roman" w:eastAsia="仿宋_GB2312" w:cs="Times New Roman"/>
          <w:sz w:val="32"/>
          <w:szCs w:val="32"/>
          <w:lang w:val="en-US" w:eastAsia="zh-CN"/>
        </w:rPr>
        <w:t>0.06</w:t>
      </w:r>
      <w:r>
        <w:rPr>
          <w:rFonts w:hint="default" w:ascii="Times New Roman" w:hAnsi="Times New Roman" w:eastAsia="仿宋_GB2312" w:cs="Times New Roman"/>
          <w:sz w:val="32"/>
          <w:szCs w:val="32"/>
        </w:rPr>
        <w:t>万元，支付</w:t>
      </w:r>
      <w:r>
        <w:rPr>
          <w:rFonts w:hint="default" w:ascii="Times New Roman" w:hAnsi="Times New Roman" w:eastAsia="仿宋_GB2312" w:cs="Times New Roman"/>
          <w:sz w:val="32"/>
          <w:szCs w:val="32"/>
          <w:lang w:eastAsia="zh-CN"/>
        </w:rPr>
        <w:t>省专项工作组实地处理信访事项接待费用</w:t>
      </w:r>
      <w:r>
        <w:rPr>
          <w:rFonts w:hint="default" w:ascii="Times New Roman" w:hAnsi="Times New Roman" w:eastAsia="仿宋_GB2312" w:cs="Times New Roman"/>
          <w:sz w:val="32"/>
          <w:szCs w:val="32"/>
          <w:lang w:val="en-US" w:eastAsia="zh-CN"/>
        </w:rPr>
        <w:t>0.52万元，支付省信访局到仁和区实地核查重点信访事项接待费用0.17万元。</w:t>
      </w:r>
    </w:p>
    <w:p w14:paraId="2ABF1D75">
      <w:pPr>
        <w:keepNext w:val="0"/>
        <w:keepLines w:val="0"/>
        <w:pageBreakBefore w:val="0"/>
        <w:kinsoku/>
        <w:wordWrap/>
        <w:overflowPunct/>
        <w:topLinePunct w:val="0"/>
        <w:bidi w:val="0"/>
        <w:adjustRightInd/>
        <w:snapToGrid/>
        <w:spacing w:line="240" w:lineRule="auto"/>
        <w:ind w:left="0" w:firstLine="643"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 w:cs="Times New Roman"/>
          <w:b/>
          <w:sz w:val="32"/>
          <w:szCs w:val="32"/>
        </w:rPr>
        <w:t>外事接待支出</w:t>
      </w:r>
      <w:r>
        <w:rPr>
          <w:rFonts w:hint="default" w:ascii="Times New Roman" w:hAnsi="Times New Roman" w:eastAsia="仿宋" w:cs="Times New Roman"/>
          <w:sz w:val="32"/>
          <w:szCs w:val="32"/>
        </w:rPr>
        <w:t>0</w:t>
      </w:r>
      <w:r>
        <w:rPr>
          <w:rFonts w:hint="default" w:ascii="Times New Roman" w:hAnsi="Times New Roman" w:eastAsia="仿宋_GB2312" w:cs="Times New Roman"/>
          <w:sz w:val="32"/>
          <w:szCs w:val="32"/>
        </w:rPr>
        <w:t>万元，外事接待0批次，0人，共计支出0万元。</w:t>
      </w:r>
      <w:bookmarkStart w:id="37" w:name="_Toc15396610"/>
      <w:bookmarkStart w:id="38" w:name="_Toc15377218"/>
    </w:p>
    <w:p w14:paraId="60978D8F">
      <w:pPr>
        <w:keepNext w:val="0"/>
        <w:keepLines w:val="0"/>
        <w:pageBreakBefore w:val="0"/>
        <w:kinsoku/>
        <w:wordWrap/>
        <w:overflowPunct/>
        <w:topLinePunct w:val="0"/>
        <w:bidi w:val="0"/>
        <w:adjustRightInd/>
        <w:snapToGrid/>
        <w:spacing w:line="240" w:lineRule="auto"/>
        <w:ind w:left="0" w:firstLine="640" w:firstLineChars="200"/>
        <w:jc w:val="both"/>
        <w:textAlignment w:val="auto"/>
        <w:outlineLvl w:val="1"/>
        <w:rPr>
          <w:rStyle w:val="29"/>
          <w:rFonts w:hint="default" w:ascii="Times New Roman" w:hAnsi="Times New Roman" w:eastAsia="黑体" w:cs="Times New Roman"/>
          <w:color w:val="auto"/>
          <w:highlight w:val="none"/>
        </w:rPr>
      </w:pPr>
      <w:r>
        <w:rPr>
          <w:rFonts w:hint="default" w:ascii="Times New Roman" w:hAnsi="Times New Roman" w:eastAsia="黑体" w:cs="Times New Roman"/>
          <w:color w:val="auto"/>
          <w:sz w:val="32"/>
          <w:szCs w:val="32"/>
          <w:highlight w:val="none"/>
        </w:rPr>
        <w:t>八、</w:t>
      </w:r>
      <w:r>
        <w:rPr>
          <w:rStyle w:val="29"/>
          <w:rFonts w:hint="default" w:ascii="Times New Roman" w:hAnsi="Times New Roman" w:eastAsia="黑体" w:cs="Times New Roman"/>
          <w:b w:val="0"/>
          <w:color w:val="auto"/>
          <w:highlight w:val="none"/>
        </w:rPr>
        <w:t>政府性基金预算支出决算情况说明</w:t>
      </w:r>
      <w:bookmarkEnd w:id="37"/>
      <w:bookmarkEnd w:id="38"/>
    </w:p>
    <w:p w14:paraId="4DD6EBC7">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27.37</w:t>
      </w:r>
      <w:r>
        <w:rPr>
          <w:rFonts w:hint="default" w:ascii="Times New Roman" w:hAnsi="Times New Roman" w:eastAsia="仿宋_GB2312" w:cs="Times New Roman"/>
          <w:color w:val="auto"/>
          <w:sz w:val="32"/>
          <w:szCs w:val="32"/>
          <w:highlight w:val="none"/>
        </w:rPr>
        <w:t>万元。</w:t>
      </w:r>
    </w:p>
    <w:p w14:paraId="669BA4ED">
      <w:pPr>
        <w:keepNext w:val="0"/>
        <w:keepLines w:val="0"/>
        <w:pageBreakBefore w:val="0"/>
        <w:numPr>
          <w:ilvl w:val="0"/>
          <w:numId w:val="0"/>
        </w:numPr>
        <w:kinsoku/>
        <w:wordWrap/>
        <w:overflowPunct/>
        <w:topLinePunct w:val="0"/>
        <w:bidi w:val="0"/>
        <w:adjustRightInd/>
        <w:snapToGrid/>
        <w:spacing w:line="240" w:lineRule="auto"/>
        <w:ind w:firstLine="640" w:firstLineChars="200"/>
        <w:jc w:val="both"/>
        <w:textAlignment w:val="auto"/>
        <w:outlineLvl w:val="1"/>
        <w:rPr>
          <w:rStyle w:val="29"/>
          <w:rFonts w:hint="default" w:ascii="Times New Roman" w:hAnsi="Times New Roman" w:eastAsia="黑体" w:cs="Times New Roman"/>
          <w:b w:val="0"/>
          <w:color w:val="auto"/>
          <w:highlight w:val="none"/>
        </w:rPr>
      </w:pPr>
      <w:bookmarkStart w:id="39" w:name="_Toc15377219"/>
      <w:bookmarkStart w:id="40" w:name="_Toc15396611"/>
      <w:r>
        <w:rPr>
          <w:rStyle w:val="29"/>
          <w:rFonts w:hint="default" w:ascii="Times New Roman" w:hAnsi="Times New Roman" w:eastAsia="黑体" w:cs="Times New Roman"/>
          <w:b w:val="0"/>
          <w:color w:val="auto"/>
          <w:highlight w:val="none"/>
          <w:lang w:eastAsia="zh-CN"/>
        </w:rPr>
        <w:t>九、</w:t>
      </w:r>
      <w:r>
        <w:rPr>
          <w:rStyle w:val="29"/>
          <w:rFonts w:hint="default" w:ascii="Times New Roman" w:hAnsi="Times New Roman" w:eastAsia="黑体" w:cs="Times New Roman"/>
          <w:b w:val="0"/>
          <w:color w:val="auto"/>
          <w:highlight w:val="none"/>
        </w:rPr>
        <w:t>国有资本经营预算支出决算情况说明</w:t>
      </w:r>
      <w:bookmarkEnd w:id="39"/>
      <w:bookmarkEnd w:id="40"/>
    </w:p>
    <w:p w14:paraId="48F63768">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062B9C14">
      <w:pPr>
        <w:keepNext w:val="0"/>
        <w:keepLines w:val="0"/>
        <w:pageBreakBefore w:val="0"/>
        <w:numPr>
          <w:ilvl w:val="0"/>
          <w:numId w:val="0"/>
        </w:numPr>
        <w:kinsoku/>
        <w:wordWrap/>
        <w:overflowPunct/>
        <w:topLinePunct w:val="0"/>
        <w:bidi w:val="0"/>
        <w:adjustRightInd/>
        <w:snapToGrid/>
        <w:spacing w:line="240" w:lineRule="auto"/>
        <w:ind w:left="0" w:firstLine="640" w:firstLineChars="200"/>
        <w:jc w:val="both"/>
        <w:textAlignment w:val="auto"/>
        <w:outlineLvl w:val="1"/>
        <w:rPr>
          <w:rStyle w:val="29"/>
          <w:rFonts w:hint="default" w:ascii="Times New Roman" w:hAnsi="Times New Roman" w:eastAsia="黑体" w:cs="Times New Roman"/>
          <w:b w:val="0"/>
          <w:color w:val="auto"/>
          <w:highlight w:val="none"/>
        </w:rPr>
      </w:pPr>
      <w:bookmarkStart w:id="41" w:name="_Toc15377221"/>
      <w:bookmarkStart w:id="42" w:name="_Toc15396612"/>
      <w:r>
        <w:rPr>
          <w:rStyle w:val="29"/>
          <w:rFonts w:hint="default" w:ascii="Times New Roman" w:hAnsi="Times New Roman" w:eastAsia="黑体" w:cs="Times New Roman"/>
          <w:b w:val="0"/>
          <w:color w:val="auto"/>
          <w:highlight w:val="none"/>
          <w:lang w:eastAsia="zh-CN"/>
        </w:rPr>
        <w:t>十、</w:t>
      </w:r>
      <w:r>
        <w:rPr>
          <w:rStyle w:val="29"/>
          <w:rFonts w:hint="default" w:ascii="Times New Roman" w:hAnsi="Times New Roman" w:eastAsia="黑体" w:cs="Times New Roman"/>
          <w:b w:val="0"/>
          <w:color w:val="auto"/>
          <w:highlight w:val="none"/>
        </w:rPr>
        <w:t>其他重要事项的情况说明</w:t>
      </w:r>
      <w:bookmarkEnd w:id="41"/>
      <w:bookmarkEnd w:id="42"/>
    </w:p>
    <w:p w14:paraId="69B01FC2">
      <w:pPr>
        <w:keepNext w:val="0"/>
        <w:keepLines w:val="0"/>
        <w:pageBreakBefore w:val="0"/>
        <w:kinsoku/>
        <w:wordWrap/>
        <w:overflowPunct/>
        <w:topLinePunct w:val="0"/>
        <w:bidi w:val="0"/>
        <w:adjustRightInd/>
        <w:snapToGrid/>
        <w:spacing w:line="240" w:lineRule="auto"/>
        <w:ind w:left="0" w:firstLine="643" w:firstLineChars="200"/>
        <w:jc w:val="both"/>
        <w:textAlignment w:val="auto"/>
        <w:outlineLvl w:val="2"/>
        <w:rPr>
          <w:rFonts w:hint="default" w:ascii="Times New Roman" w:hAnsi="Times New Roman" w:eastAsia="仿宋" w:cs="Times New Roman"/>
          <w:b/>
          <w:color w:val="auto"/>
          <w:sz w:val="32"/>
          <w:szCs w:val="32"/>
          <w:highlight w:val="none"/>
        </w:rPr>
      </w:pPr>
      <w:bookmarkStart w:id="43" w:name="_Toc15377222"/>
      <w:r>
        <w:rPr>
          <w:rFonts w:hint="default" w:ascii="Times New Roman" w:hAnsi="Times New Roman" w:eastAsia="仿宋" w:cs="Times New Roman"/>
          <w:b/>
          <w:color w:val="auto"/>
          <w:sz w:val="32"/>
          <w:szCs w:val="32"/>
          <w:highlight w:val="none"/>
        </w:rPr>
        <w:t>（一）机关运行经费支出情况</w:t>
      </w:r>
      <w:bookmarkEnd w:id="43"/>
    </w:p>
    <w:p w14:paraId="01BBFE14">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2"/>
          <w:sz w:val="32"/>
          <w:szCs w:val="24"/>
          <w:lang w:val="zh-CN"/>
        </w:rPr>
        <w:t>2022年，攀枝花市仁和区信访局机关运行经费支出8.79万元，比2021年减少6.54万元，下降42.7%。主要原因是</w:t>
      </w:r>
      <w:r>
        <w:rPr>
          <w:rFonts w:hint="default" w:ascii="Times New Roman" w:hAnsi="Times New Roman" w:eastAsia="仿宋_GB2312" w:cs="Times New Roman"/>
          <w:color w:val="000000"/>
          <w:kern w:val="2"/>
          <w:sz w:val="32"/>
          <w:szCs w:val="24"/>
          <w:lang w:val="en-US" w:eastAsia="zh-CN"/>
        </w:rPr>
        <w:t>2022年</w:t>
      </w:r>
      <w:r>
        <w:rPr>
          <w:rFonts w:hint="default" w:ascii="Times New Roman" w:hAnsi="Times New Roman" w:eastAsia="仿宋_GB2312" w:cs="Times New Roman"/>
          <w:color w:val="000000"/>
          <w:kern w:val="2"/>
          <w:sz w:val="32"/>
          <w:szCs w:val="24"/>
          <w:lang w:val="zh-CN"/>
        </w:rPr>
        <w:t>财政资金困难，无法完成支付。</w:t>
      </w:r>
    </w:p>
    <w:p w14:paraId="69C95BBD">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firstLine="643" w:firstLineChars="200"/>
        <w:jc w:val="both"/>
        <w:textAlignment w:val="auto"/>
        <w:outlineLvl w:val="2"/>
        <w:rPr>
          <w:rFonts w:hint="default" w:ascii="Times New Roman" w:hAnsi="Times New Roman" w:eastAsia="仿宋" w:cs="Times New Roman"/>
          <w:b/>
          <w:color w:val="auto"/>
          <w:sz w:val="32"/>
          <w:szCs w:val="32"/>
          <w:highlight w:val="none"/>
        </w:rPr>
      </w:pPr>
      <w:bookmarkStart w:id="44" w:name="_Toc15377223"/>
      <w:r>
        <w:rPr>
          <w:rFonts w:hint="default" w:ascii="Times New Roman" w:hAnsi="Times New Roman" w:eastAsia="仿宋" w:cs="Times New Roman"/>
          <w:b/>
          <w:color w:val="auto"/>
          <w:sz w:val="32"/>
          <w:szCs w:val="32"/>
          <w:highlight w:val="none"/>
          <w:lang w:eastAsia="zh-CN"/>
        </w:rPr>
        <w:t>（二）</w:t>
      </w:r>
      <w:r>
        <w:rPr>
          <w:rFonts w:hint="default" w:ascii="Times New Roman" w:hAnsi="Times New Roman" w:eastAsia="仿宋" w:cs="Times New Roman"/>
          <w:b/>
          <w:color w:val="auto"/>
          <w:sz w:val="32"/>
          <w:szCs w:val="32"/>
          <w:highlight w:val="none"/>
        </w:rPr>
        <w:t>政府采购支出情况</w:t>
      </w:r>
      <w:bookmarkEnd w:id="44"/>
    </w:p>
    <w:p w14:paraId="760935C9">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2"/>
          <w:sz w:val="32"/>
          <w:szCs w:val="24"/>
          <w:lang w:val="zh-CN"/>
        </w:rPr>
        <w:t>2022年，攀枝花市仁和区信访局政府采购支出总额0万元，其中：政府采购货物支出0万元、政府采购工程支出0万元、政府采购服务支出0万元。</w:t>
      </w:r>
    </w:p>
    <w:p w14:paraId="49862713">
      <w:pPr>
        <w:keepNext w:val="0"/>
        <w:keepLines w:val="0"/>
        <w:pageBreakBefore w:val="0"/>
        <w:numPr>
          <w:ilvl w:val="0"/>
          <w:numId w:val="0"/>
        </w:numPr>
        <w:kinsoku/>
        <w:wordWrap/>
        <w:overflowPunct/>
        <w:topLinePunct w:val="0"/>
        <w:autoSpaceDE w:val="0"/>
        <w:autoSpaceDN w:val="0"/>
        <w:bidi w:val="0"/>
        <w:adjustRightInd/>
        <w:snapToGrid/>
        <w:spacing w:line="240" w:lineRule="auto"/>
        <w:ind w:firstLine="643" w:firstLineChars="200"/>
        <w:jc w:val="both"/>
        <w:textAlignment w:val="auto"/>
        <w:outlineLvl w:val="2"/>
        <w:rPr>
          <w:rFonts w:hint="default" w:ascii="Times New Roman" w:hAnsi="Times New Roman" w:eastAsia="仿宋" w:cs="Times New Roman"/>
          <w:b/>
          <w:color w:val="auto"/>
          <w:sz w:val="32"/>
          <w:szCs w:val="32"/>
          <w:highlight w:val="none"/>
        </w:rPr>
      </w:pPr>
      <w:bookmarkStart w:id="45" w:name="_Toc15377224"/>
      <w:r>
        <w:rPr>
          <w:rFonts w:hint="default" w:ascii="Times New Roman" w:hAnsi="Times New Roman" w:eastAsia="仿宋" w:cs="Times New Roman"/>
          <w:b/>
          <w:color w:val="auto"/>
          <w:sz w:val="32"/>
          <w:szCs w:val="32"/>
          <w:highlight w:val="none"/>
          <w:lang w:eastAsia="zh-CN"/>
        </w:rPr>
        <w:t>（三）</w:t>
      </w:r>
      <w:r>
        <w:rPr>
          <w:rFonts w:hint="default" w:ascii="Times New Roman" w:hAnsi="Times New Roman" w:eastAsia="仿宋" w:cs="Times New Roman"/>
          <w:b/>
          <w:color w:val="auto"/>
          <w:sz w:val="32"/>
          <w:szCs w:val="32"/>
          <w:highlight w:val="none"/>
        </w:rPr>
        <w:t>国有资产占有使用情况</w:t>
      </w:r>
      <w:bookmarkEnd w:id="45"/>
    </w:p>
    <w:p w14:paraId="4F763E06">
      <w:pPr>
        <w:pStyle w:val="2"/>
        <w:keepNext w:val="0"/>
        <w:keepLines w:val="0"/>
        <w:pageBreakBefore w:val="0"/>
        <w:numPr>
          <w:ilvl w:val="0"/>
          <w:numId w:val="0"/>
        </w:numPr>
        <w:kinsoku/>
        <w:wordWrap/>
        <w:overflowPunct/>
        <w:topLinePunct w:val="0"/>
        <w:bidi w:val="0"/>
        <w:adjustRightInd/>
        <w:snapToGrid/>
        <w:spacing w:beforeLines="0" w:line="240" w:lineRule="auto"/>
        <w:ind w:lef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2"/>
          <w:sz w:val="32"/>
          <w:szCs w:val="24"/>
          <w:lang w:val="zh-CN"/>
        </w:rPr>
        <w:t>截至2022年12月31日，攀枝花市仁和区信访局共有车辆0辆，其中：副部（省）级及以上领导用车0辆、主要领导干部用车0辆、机要通信用车0辆、应急保障用车0辆、执法执勤用车0辆、特种专业技术用车0辆、离退休干部用车0辆、其他用车0辆。</w:t>
      </w:r>
    </w:p>
    <w:p w14:paraId="2C4BAF6B">
      <w:pPr>
        <w:keepNext w:val="0"/>
        <w:keepLines w:val="0"/>
        <w:pageBreakBefore w:val="0"/>
        <w:numPr>
          <w:ilvl w:val="0"/>
          <w:numId w:val="0"/>
        </w:numPr>
        <w:kinsoku/>
        <w:wordWrap/>
        <w:overflowPunct/>
        <w:topLinePunct w:val="0"/>
        <w:autoSpaceDE w:val="0"/>
        <w:autoSpaceDN w:val="0"/>
        <w:bidi w:val="0"/>
        <w:adjustRightInd/>
        <w:snapToGrid/>
        <w:spacing w:line="240" w:lineRule="auto"/>
        <w:ind w:firstLine="643" w:firstLineChars="200"/>
        <w:jc w:val="both"/>
        <w:textAlignment w:val="auto"/>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lang w:eastAsia="zh-CN"/>
        </w:rPr>
        <w:t>（四）</w:t>
      </w:r>
      <w:r>
        <w:rPr>
          <w:rFonts w:hint="default" w:ascii="Times New Roman" w:hAnsi="Times New Roman" w:eastAsia="仿宋" w:cs="Times New Roman"/>
          <w:b/>
          <w:color w:val="auto"/>
          <w:sz w:val="32"/>
          <w:szCs w:val="32"/>
          <w:highlight w:val="none"/>
        </w:rPr>
        <w:t>预算绩效管理情况</w:t>
      </w:r>
    </w:p>
    <w:p w14:paraId="6D723D9D">
      <w:pPr>
        <w:pStyle w:val="2"/>
        <w:keepNext w:val="0"/>
        <w:keepLines w:val="0"/>
        <w:pageBreakBefore w:val="0"/>
        <w:numPr>
          <w:ilvl w:val="0"/>
          <w:numId w:val="0"/>
        </w:numPr>
        <w:kinsoku/>
        <w:wordWrap/>
        <w:overflowPunct/>
        <w:topLinePunct w:val="0"/>
        <w:bidi w:val="0"/>
        <w:adjustRightInd/>
        <w:snapToGrid/>
        <w:spacing w:beforeLines="0" w:line="240" w:lineRule="auto"/>
        <w:ind w:lef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根据预算绩效管理要求，本部门在年初预算编制阶段，组织对仁和区矛盾纠纷排查化解、维稳、信访事项专项资金项目，仁和区群众意见受理中心工作经费项目开展了预算事前绩效评估，对2个项目编制了绩效目标，预算执行过程中，选取</w:t>
      </w: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rPr>
        <w:t>个项目开展绩效监控。</w:t>
      </w:r>
    </w:p>
    <w:p w14:paraId="27D2EAF6">
      <w:pPr>
        <w:keepNext w:val="0"/>
        <w:keepLines w:val="0"/>
        <w:pageBreakBefore w:val="0"/>
        <w:widowControl/>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sz w:val="32"/>
          <w:szCs w:val="32"/>
          <w:highlight w:val="none"/>
        </w:rPr>
        <w:t>组织对2022年度一般公共预算、政府性基金预算、国有资本经营预算、社会保险基金预算以及资本资产、债券资金等全面开展绩效自评，形成</w:t>
      </w:r>
      <w:r>
        <w:rPr>
          <w:rFonts w:hint="default" w:ascii="Times New Roman" w:hAnsi="Times New Roman" w:eastAsia="仿宋_GB2312" w:cs="Times New Roman"/>
          <w:color w:val="auto"/>
          <w:sz w:val="32"/>
          <w:szCs w:val="32"/>
          <w:highlight w:val="none"/>
          <w:lang w:eastAsia="zh-CN"/>
        </w:rPr>
        <w:t>区信访局</w:t>
      </w:r>
      <w:r>
        <w:rPr>
          <w:rFonts w:hint="default" w:ascii="Times New Roman" w:hAnsi="Times New Roman" w:eastAsia="仿宋_GB2312" w:cs="Times New Roman"/>
          <w:color w:val="auto"/>
          <w:sz w:val="32"/>
          <w:szCs w:val="32"/>
          <w:highlight w:val="none"/>
        </w:rPr>
        <w:t>部门整体（含部门预算项目）绩效自评报告、</w:t>
      </w:r>
      <w:r>
        <w:rPr>
          <w:rFonts w:hint="default" w:ascii="Times New Roman" w:hAnsi="Times New Roman" w:eastAsia="仿宋_GB2312" w:cs="Times New Roman"/>
          <w:sz w:val="32"/>
          <w:szCs w:val="32"/>
        </w:rPr>
        <w:t>仁和区矛盾纠纷排查化解、维稳、信访事项专项资金项目，仁和区群众意见受理中心工作经费项目</w:t>
      </w:r>
      <w:r>
        <w:rPr>
          <w:rFonts w:hint="default" w:ascii="Times New Roman" w:hAnsi="Times New Roman" w:eastAsia="仿宋_GB2312" w:cs="Times New Roman"/>
          <w:color w:val="auto"/>
          <w:sz w:val="32"/>
          <w:szCs w:val="32"/>
          <w:highlight w:val="none"/>
        </w:rPr>
        <w:t>等专项预算项目绩效自评报告，其中，</w:t>
      </w:r>
      <w:r>
        <w:rPr>
          <w:rFonts w:hint="default" w:ascii="Times New Roman" w:hAnsi="Times New Roman" w:eastAsia="仿宋_GB2312" w:cs="Times New Roman"/>
          <w:color w:val="auto"/>
          <w:sz w:val="32"/>
          <w:szCs w:val="32"/>
          <w:highlight w:val="none"/>
          <w:lang w:eastAsia="zh-CN"/>
        </w:rPr>
        <w:t>区信访局</w:t>
      </w:r>
      <w:r>
        <w:rPr>
          <w:rFonts w:hint="default" w:ascii="Times New Roman" w:hAnsi="Times New Roman" w:eastAsia="仿宋_GB2312" w:cs="Times New Roman"/>
          <w:color w:val="auto"/>
          <w:sz w:val="32"/>
          <w:szCs w:val="32"/>
          <w:highlight w:val="none"/>
        </w:rPr>
        <w:t>部门整体（含部门预算项目）绩效自评得分为</w:t>
      </w:r>
      <w:r>
        <w:rPr>
          <w:rFonts w:hint="default" w:ascii="Times New Roman" w:hAnsi="Times New Roman" w:eastAsia="仿宋_GB2312" w:cs="Times New Roman"/>
          <w:color w:val="auto"/>
          <w:sz w:val="32"/>
          <w:szCs w:val="32"/>
          <w:highlight w:val="none"/>
          <w:lang w:val="en-US" w:eastAsia="zh-CN"/>
        </w:rPr>
        <w:t>92.1</w:t>
      </w:r>
      <w:r>
        <w:rPr>
          <w:rFonts w:hint="default" w:ascii="Times New Roman" w:hAnsi="Times New Roman" w:eastAsia="仿宋_GB2312" w:cs="Times New Roman"/>
          <w:color w:val="auto"/>
          <w:sz w:val="32"/>
          <w:szCs w:val="32"/>
          <w:highlight w:val="none"/>
        </w:rPr>
        <w:t>分，绩效自评综述：</w:t>
      </w:r>
      <w:r>
        <w:rPr>
          <w:rFonts w:hint="default" w:ascii="Times New Roman" w:hAnsi="Times New Roman" w:eastAsia="仿宋" w:cs="Times New Roman"/>
          <w:sz w:val="32"/>
          <w:szCs w:val="32"/>
        </w:rPr>
        <w:t>本部门按要求对 2022 年部门整体支出开展绩效自评，从评价情况来看</w:t>
      </w:r>
      <w:r>
        <w:rPr>
          <w:rFonts w:hint="default" w:ascii="Times New Roman" w:hAnsi="Times New Roman" w:eastAsia="仿宋" w:cs="Times New Roman"/>
          <w:sz w:val="32"/>
          <w:szCs w:val="32"/>
          <w:lang w:eastAsia="zh-CN"/>
        </w:rPr>
        <w:t>仁和区</w:t>
      </w:r>
      <w:r>
        <w:rPr>
          <w:rFonts w:hint="default" w:ascii="Times New Roman" w:hAnsi="Times New Roman" w:eastAsia="仿宋" w:cs="Times New Roman"/>
          <w:sz w:val="32"/>
          <w:szCs w:val="32"/>
        </w:rPr>
        <w:t>信访局按照</w:t>
      </w:r>
      <w:r>
        <w:rPr>
          <w:rFonts w:hint="default" w:ascii="Times New Roman" w:hAnsi="Times New Roman" w:eastAsia="仿宋" w:cs="Times New Roman"/>
          <w:sz w:val="32"/>
          <w:szCs w:val="32"/>
          <w:lang w:eastAsia="zh-CN"/>
        </w:rPr>
        <w:t>区</w:t>
      </w:r>
      <w:r>
        <w:rPr>
          <w:rFonts w:hint="default" w:ascii="Times New Roman" w:hAnsi="Times New Roman" w:eastAsia="仿宋" w:cs="Times New Roman"/>
          <w:sz w:val="32"/>
          <w:szCs w:val="32"/>
        </w:rPr>
        <w:t>委</w:t>
      </w:r>
      <w:r>
        <w:rPr>
          <w:rFonts w:hint="default" w:ascii="Times New Roman" w:hAnsi="Times New Roman" w:eastAsia="仿宋" w:cs="Times New Roman"/>
          <w:sz w:val="32"/>
          <w:szCs w:val="32"/>
          <w:lang w:eastAsia="zh-CN"/>
        </w:rPr>
        <w:t>区</w:t>
      </w:r>
      <w:r>
        <w:rPr>
          <w:rFonts w:hint="default" w:ascii="Times New Roman" w:hAnsi="Times New Roman" w:eastAsia="仿宋" w:cs="Times New Roman"/>
          <w:sz w:val="32"/>
          <w:szCs w:val="32"/>
        </w:rPr>
        <w:t>政府部署要求和局年度工作计划，及时办理各类信访事项，较好的完成了各项工作任务，为我</w:t>
      </w:r>
      <w:r>
        <w:rPr>
          <w:rFonts w:hint="default" w:ascii="Times New Roman" w:hAnsi="Times New Roman" w:eastAsia="仿宋" w:cs="Times New Roman"/>
          <w:sz w:val="32"/>
          <w:szCs w:val="32"/>
          <w:lang w:eastAsia="zh-CN"/>
        </w:rPr>
        <w:t>区</w:t>
      </w:r>
      <w:r>
        <w:rPr>
          <w:rFonts w:hint="default" w:ascii="Times New Roman" w:hAnsi="Times New Roman" w:eastAsia="仿宋" w:cs="Times New Roman"/>
          <w:sz w:val="32"/>
          <w:szCs w:val="32"/>
        </w:rPr>
        <w:t>营造了良好的社会氛围。同时，不断加强预算管理，严格按照各类规章制度管控和开支经费，资金使用效率较高，开支内容合法合规，部门整体支出绩效达到预期目标。</w:t>
      </w:r>
    </w:p>
    <w:p w14:paraId="76C174C5">
      <w:pPr>
        <w:pStyle w:val="2"/>
        <w:keepNext w:val="0"/>
        <w:keepLines w:val="0"/>
        <w:pageBreakBefore w:val="0"/>
        <w:kinsoku/>
        <w:wordWrap/>
        <w:overflowPunct/>
        <w:topLinePunct w:val="0"/>
        <w:bidi w:val="0"/>
        <w:adjustRightInd/>
        <w:snapToGrid/>
        <w:spacing w:beforeLines="0" w:line="240" w:lineRule="auto"/>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仁和区矛盾纠纷排查化解、维稳、信访事项专项资金项目</w:t>
      </w:r>
      <w:r>
        <w:rPr>
          <w:rFonts w:hint="default" w:ascii="Times New Roman" w:hAnsi="Times New Roman" w:cs="Times New Roman"/>
          <w:sz w:val="32"/>
          <w:szCs w:val="32"/>
          <w:lang w:eastAsia="zh-CN"/>
        </w:rPr>
        <w:t>绩效自评得分</w:t>
      </w:r>
      <w:r>
        <w:rPr>
          <w:rFonts w:hint="default" w:ascii="Times New Roman" w:hAnsi="Times New Roman" w:cs="Times New Roman"/>
          <w:sz w:val="32"/>
          <w:szCs w:val="32"/>
          <w:lang w:val="en-US" w:eastAsia="zh-CN"/>
        </w:rPr>
        <w:t>79分，</w:t>
      </w:r>
      <w:r>
        <w:rPr>
          <w:rFonts w:hint="default" w:ascii="Times New Roman" w:hAnsi="Times New Roman" w:eastAsia="仿宋_GB2312" w:cs="Times New Roman"/>
          <w:color w:val="auto"/>
          <w:sz w:val="32"/>
          <w:szCs w:val="32"/>
          <w:highlight w:val="none"/>
        </w:rPr>
        <w:t>绩效自评综述：</w:t>
      </w:r>
      <w:r>
        <w:rPr>
          <w:rFonts w:hint="default" w:ascii="Times New Roman" w:hAnsi="Times New Roman" w:eastAsia="仿宋" w:cs="Times New Roman"/>
          <w:sz w:val="32"/>
          <w:szCs w:val="32"/>
        </w:rPr>
        <w:t>通过项目实施，</w:t>
      </w:r>
      <w:r>
        <w:rPr>
          <w:rFonts w:hint="default" w:ascii="Times New Roman" w:hAnsi="Times New Roman" w:eastAsia="仿宋_GB2312" w:cs="Times New Roman"/>
          <w:kern w:val="0"/>
          <w:sz w:val="32"/>
          <w:szCs w:val="32"/>
        </w:rPr>
        <w:t>一是有效化解疑难及无责任主体的信访事项，维护仁和区的社会稳定，确保一方平安，促进地方经济发展；二是确保</w:t>
      </w:r>
      <w:r>
        <w:rPr>
          <w:rFonts w:hint="default" w:ascii="Times New Roman" w:hAnsi="Times New Roman" w:eastAsia="方正仿宋_GBK" w:cs="Times New Roman"/>
          <w:sz w:val="33"/>
          <w:szCs w:val="33"/>
          <w:lang w:bidi="ar"/>
        </w:rPr>
        <w:t>进京赴蓉值班值守、处置群众突发信访事项、协调处理跨地区、跨部门的重要信访问题工作顺利开展，出差人员差旅费得到有力保障；三是聘请法律顾问、聘请物业公司保洁人员劳务费得到有力保障，来访群众法律问题得到有效解决，接访场所环境有所提升。四是接入网络专线费用得到保障，各项网络办公能正常运行。</w:t>
      </w:r>
      <w:r>
        <w:rPr>
          <w:rFonts w:hint="default" w:ascii="Times New Roman" w:hAnsi="Times New Roman" w:eastAsia="仿宋" w:cs="Times New Roman"/>
          <w:sz w:val="32"/>
          <w:szCs w:val="32"/>
        </w:rPr>
        <w:t>绩效自评报告详见附件</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w:t>
      </w:r>
    </w:p>
    <w:p w14:paraId="3F51BAFE">
      <w:pPr>
        <w:pStyle w:val="2"/>
        <w:keepNext w:val="0"/>
        <w:keepLines w:val="0"/>
        <w:pageBreakBefore w:val="0"/>
        <w:kinsoku/>
        <w:wordWrap/>
        <w:overflowPunct/>
        <w:topLinePunct w:val="0"/>
        <w:bidi w:val="0"/>
        <w:adjustRightInd/>
        <w:snapToGrid/>
        <w:spacing w:beforeLines="0" w:line="240" w:lineRule="auto"/>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仁和区群众意见受理中心工作经费项目</w:t>
      </w:r>
      <w:r>
        <w:rPr>
          <w:rFonts w:hint="default" w:ascii="Times New Roman" w:hAnsi="Times New Roman" w:eastAsia="仿宋_GB2312" w:cs="Times New Roman"/>
          <w:color w:val="auto"/>
          <w:sz w:val="32"/>
          <w:szCs w:val="32"/>
          <w:highlight w:val="none"/>
        </w:rPr>
        <w:t>专项预算项目绩效自评得分为</w:t>
      </w:r>
      <w:r>
        <w:rPr>
          <w:rFonts w:hint="default" w:ascii="Times New Roman" w:hAnsi="Times New Roman" w:eastAsia="仿宋_GB2312" w:cs="Times New Roman"/>
          <w:color w:val="auto"/>
          <w:sz w:val="32"/>
          <w:szCs w:val="32"/>
          <w:highlight w:val="none"/>
          <w:lang w:val="en-US" w:eastAsia="zh-CN"/>
        </w:rPr>
        <w:t>93.5</w:t>
      </w:r>
      <w:r>
        <w:rPr>
          <w:rFonts w:hint="default" w:ascii="Times New Roman" w:hAnsi="Times New Roman" w:eastAsia="仿宋_GB2312" w:cs="Times New Roman"/>
          <w:color w:val="auto"/>
          <w:sz w:val="32"/>
          <w:szCs w:val="32"/>
          <w:highlight w:val="none"/>
        </w:rPr>
        <w:t>分，绩效自评综述：</w:t>
      </w:r>
      <w:r>
        <w:rPr>
          <w:rFonts w:hint="default" w:ascii="Times New Roman" w:hAnsi="Times New Roman" w:eastAsia="仿宋" w:cs="Times New Roman"/>
          <w:sz w:val="32"/>
          <w:szCs w:val="32"/>
        </w:rPr>
        <w:t>通过项目实施，</w:t>
      </w:r>
      <w:r>
        <w:rPr>
          <w:rFonts w:hint="default" w:ascii="Times New Roman" w:hAnsi="Times New Roman" w:eastAsia="仿宋_GB2312" w:cs="Times New Roman"/>
          <w:color w:val="000000"/>
          <w:sz w:val="32"/>
          <w:szCs w:val="32"/>
        </w:rPr>
        <w:t>区党群一号通暨群众意见受理中心每年处理办结辖区群众各类投诉、举报、建议和12345政务服务热线交办信访事项7000余件次，及时解决信访群众所急所盼，有效减少信访上行压力</w:t>
      </w:r>
      <w:r>
        <w:rPr>
          <w:rFonts w:hint="default" w:ascii="Times New Roman" w:hAnsi="Times New Roman" w:cs="Times New Roman"/>
          <w:color w:val="000000"/>
          <w:sz w:val="32"/>
          <w:szCs w:val="32"/>
          <w:lang w:eastAsia="zh-CN"/>
        </w:rPr>
        <w:t>，</w:t>
      </w:r>
      <w:r>
        <w:rPr>
          <w:rFonts w:hint="default" w:ascii="Times New Roman" w:hAnsi="Times New Roman" w:eastAsia="仿宋" w:cs="Times New Roman"/>
          <w:sz w:val="32"/>
          <w:szCs w:val="32"/>
        </w:rPr>
        <w:t>确保群众诉求及时受理、高效办理，不断提高群众对信访工作的满意度。同时，实现信访大数据资源共享，服务中心工作，为</w:t>
      </w:r>
      <w:r>
        <w:rPr>
          <w:rFonts w:hint="default" w:ascii="Times New Roman" w:hAnsi="Times New Roman" w:eastAsia="仿宋" w:cs="Times New Roman"/>
          <w:sz w:val="32"/>
          <w:szCs w:val="32"/>
          <w:lang w:eastAsia="zh-CN"/>
        </w:rPr>
        <w:t>区</w:t>
      </w:r>
      <w:r>
        <w:rPr>
          <w:rFonts w:hint="default" w:ascii="Times New Roman" w:hAnsi="Times New Roman" w:eastAsia="仿宋" w:cs="Times New Roman"/>
          <w:sz w:val="32"/>
          <w:szCs w:val="32"/>
        </w:rPr>
        <w:t>委</w:t>
      </w:r>
      <w:r>
        <w:rPr>
          <w:rFonts w:hint="default" w:ascii="Times New Roman" w:hAnsi="Times New Roman" w:eastAsia="仿宋" w:cs="Times New Roman"/>
          <w:sz w:val="32"/>
          <w:szCs w:val="32"/>
          <w:lang w:eastAsia="zh-CN"/>
        </w:rPr>
        <w:t>区</w:t>
      </w:r>
      <w:r>
        <w:rPr>
          <w:rFonts w:hint="default" w:ascii="Times New Roman" w:hAnsi="Times New Roman" w:eastAsia="仿宋" w:cs="Times New Roman"/>
          <w:sz w:val="32"/>
          <w:szCs w:val="32"/>
        </w:rPr>
        <w:t>政府提供决策参考。绩效自评报告详见附件</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w:t>
      </w:r>
    </w:p>
    <w:p w14:paraId="5AE8B0FB">
      <w:pPr>
        <w:pStyle w:val="2"/>
        <w:keepNext w:val="0"/>
        <w:keepLines w:val="0"/>
        <w:pageBreakBefore w:val="0"/>
        <w:kinsoku/>
        <w:wordWrap/>
        <w:overflowPunct/>
        <w:topLinePunct w:val="0"/>
        <w:bidi w:val="0"/>
        <w:adjustRightInd/>
        <w:snapToGrid/>
        <w:spacing w:beforeLines="0" w:line="240" w:lineRule="auto"/>
        <w:ind w:left="0" w:firstLine="640" w:firstLineChars="200"/>
        <w:jc w:val="both"/>
        <w:textAlignment w:val="auto"/>
        <w:rPr>
          <w:rFonts w:hint="default" w:ascii="Times New Roman" w:hAnsi="Times New Roman" w:eastAsia="仿宋" w:cs="Times New Roman"/>
          <w:sz w:val="32"/>
          <w:szCs w:val="32"/>
        </w:rPr>
      </w:pPr>
    </w:p>
    <w:p w14:paraId="04775B86">
      <w:pPr>
        <w:pStyle w:val="2"/>
        <w:keepNext w:val="0"/>
        <w:keepLines w:val="0"/>
        <w:pageBreakBefore w:val="0"/>
        <w:kinsoku/>
        <w:wordWrap/>
        <w:overflowPunct/>
        <w:topLinePunct w:val="0"/>
        <w:bidi w:val="0"/>
        <w:adjustRightInd/>
        <w:snapToGrid/>
        <w:spacing w:beforeLines="0" w:line="240" w:lineRule="auto"/>
        <w:ind w:left="0" w:firstLine="640" w:firstLineChars="200"/>
        <w:jc w:val="both"/>
        <w:textAlignment w:val="auto"/>
        <w:rPr>
          <w:rFonts w:hint="default" w:ascii="Times New Roman" w:hAnsi="Times New Roman" w:eastAsia="仿宋" w:cs="Times New Roman"/>
          <w:sz w:val="32"/>
          <w:szCs w:val="32"/>
        </w:rPr>
      </w:pPr>
    </w:p>
    <w:p w14:paraId="5A37B153">
      <w:pPr>
        <w:keepNext w:val="0"/>
        <w:keepLines w:val="0"/>
        <w:pageBreakBefore w:val="0"/>
        <w:numPr>
          <w:ilvl w:val="0"/>
          <w:numId w:val="2"/>
        </w:numPr>
        <w:kinsoku/>
        <w:wordWrap/>
        <w:overflowPunct/>
        <w:topLinePunct w:val="0"/>
        <w:bidi w:val="0"/>
        <w:adjustRightInd/>
        <w:snapToGrid/>
        <w:spacing w:line="240" w:lineRule="auto"/>
        <w:ind w:left="0" w:firstLine="880" w:firstLineChars="200"/>
        <w:jc w:val="both"/>
        <w:textAlignment w:val="auto"/>
        <w:outlineLvl w:val="0"/>
        <w:rPr>
          <w:rStyle w:val="28"/>
          <w:rFonts w:hint="default" w:ascii="Times New Roman" w:hAnsi="Times New Roman" w:eastAsia="黑体" w:cs="Times New Roman"/>
          <w:b w:val="0"/>
          <w:color w:val="auto"/>
          <w:highlight w:val="none"/>
        </w:rPr>
      </w:pPr>
      <w:bookmarkStart w:id="46" w:name="_Toc15396613"/>
      <w:bookmarkStart w:id="47" w:name="_Toc15377225"/>
      <w:r>
        <w:rPr>
          <w:rFonts w:hint="default" w:ascii="Times New Roman" w:hAnsi="Times New Roman" w:eastAsia="黑体" w:cs="Times New Roman"/>
          <w:color w:val="auto"/>
          <w:sz w:val="44"/>
          <w:szCs w:val="44"/>
          <w:highlight w:val="none"/>
        </w:rPr>
        <w:t>名</w:t>
      </w:r>
      <w:r>
        <w:rPr>
          <w:rStyle w:val="28"/>
          <w:rFonts w:hint="default" w:ascii="Times New Roman" w:hAnsi="Times New Roman" w:eastAsia="黑体" w:cs="Times New Roman"/>
          <w:b w:val="0"/>
          <w:color w:val="auto"/>
          <w:highlight w:val="none"/>
        </w:rPr>
        <w:t>词解释</w:t>
      </w:r>
      <w:bookmarkEnd w:id="46"/>
      <w:bookmarkEnd w:id="47"/>
    </w:p>
    <w:p w14:paraId="36E90AF8">
      <w:pPr>
        <w:pStyle w:val="2"/>
        <w:keepNext w:val="0"/>
        <w:keepLines w:val="0"/>
        <w:pageBreakBefore w:val="0"/>
        <w:kinsoku/>
        <w:wordWrap/>
        <w:overflowPunct/>
        <w:topLinePunct w:val="0"/>
        <w:bidi w:val="0"/>
        <w:adjustRightInd/>
        <w:snapToGrid/>
        <w:spacing w:beforeLines="0" w:line="240" w:lineRule="auto"/>
        <w:ind w:left="0" w:firstLine="880" w:firstLineChars="200"/>
        <w:jc w:val="both"/>
        <w:textAlignment w:val="auto"/>
        <w:rPr>
          <w:rStyle w:val="28"/>
          <w:rFonts w:hint="default" w:ascii="Times New Roman" w:hAnsi="Times New Roman" w:eastAsia="黑体" w:cs="Times New Roman"/>
          <w:b w:val="0"/>
          <w:color w:val="auto"/>
          <w:highlight w:val="none"/>
        </w:rPr>
      </w:pPr>
    </w:p>
    <w:p w14:paraId="0AC0F7AE">
      <w:pPr>
        <w:pStyle w:val="26"/>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14:paraId="5D1A1F35">
      <w:pPr>
        <w:pStyle w:val="26"/>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2.事业收入：指事业单位开展专业业务活动及辅助活动取得的收入。</w:t>
      </w:r>
    </w:p>
    <w:p w14:paraId="3909AE5C">
      <w:pPr>
        <w:pStyle w:val="26"/>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3.经营收入：指事业单位在专业业务活动及其辅助活动之外开展非独立核算经营活动取得的收入。</w:t>
      </w:r>
    </w:p>
    <w:p w14:paraId="730A0F4F">
      <w:pPr>
        <w:pStyle w:val="26"/>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4.其他收入：指单位取得的除上述收入以外的各项收入。主要是收到区直机关工委拨来党建活动经费。 </w:t>
      </w:r>
    </w:p>
    <w:p w14:paraId="46877E39">
      <w:pPr>
        <w:pStyle w:val="26"/>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5.使用非财政拨款结余：指事业单位使用以前年度积累的非财政拨款结余弥补当年收支差额的金额。 </w:t>
      </w:r>
    </w:p>
    <w:p w14:paraId="5D206705">
      <w:pPr>
        <w:pStyle w:val="26"/>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6.年初结转和结余：指以前年度尚未完成、结转到本年按有关规定继续使用的资金。 </w:t>
      </w:r>
    </w:p>
    <w:p w14:paraId="15E38F51">
      <w:pPr>
        <w:pStyle w:val="26"/>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14:paraId="29D7DFCE">
      <w:pPr>
        <w:pStyle w:val="26"/>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年末结转和结余：指单位按有关规定结转到下年或以后年度继续使用的资金。</w:t>
      </w:r>
    </w:p>
    <w:p w14:paraId="7AD661AA">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9.一般公共服务（类）政府办公厅（室）及相关机构事务（款）信访事项（项）：指财政部门安排的用于信访事项支出。</w:t>
      </w:r>
    </w:p>
    <w:p w14:paraId="3C3FB240">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10.一般公共服务（类）财政事务（款）信息化建设（项）：指财政部门安排的用于财务信息化建设支出。</w:t>
      </w:r>
    </w:p>
    <w:p w14:paraId="79A37708">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11.一般公共服务（类）财政事务（款）财政委托业务支出（项）：指财政部门安排的用于财务委托业务支出。</w:t>
      </w:r>
    </w:p>
    <w:p w14:paraId="68D144D7">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12.一般公共服务（类）党委办公厅（室）及相关机构事务（款）行政运行（项）：指财政部门安排的用于行政单位行政运行支出。</w:t>
      </w:r>
    </w:p>
    <w:p w14:paraId="4EC61CF9">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13.一般公共服务（类）党委办公厅（室）及相关机构事务（款）事业运行（项）：指财政部门安排的用于行政单位事业运行支出。</w:t>
      </w:r>
    </w:p>
    <w:p w14:paraId="6C825B86">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14.一般公共服务（类）党委办公厅（室）及相关机构事务（款）一般行政管理事务（项）：指财政部门安排的用于行政单位一般行政管理事务支出。</w:t>
      </w:r>
    </w:p>
    <w:p w14:paraId="1F6F3BF0">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15.社会保障和就业支出（类）行政事业单位养老支出（款）行政单位离退休（项）：指财政部门安排的用于行政单位离退休支出。</w:t>
      </w:r>
    </w:p>
    <w:p w14:paraId="0083E993">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16.社会保障和就业支出（类）行政事业单位养老支出（款）机关事业单位基本养老保险缴费支出（项）：指财政部门安排的用于机关事业单位基本养老保险缴费支出。</w:t>
      </w:r>
    </w:p>
    <w:p w14:paraId="3405DB9F">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17.社会保障和就业支出（类）行政事业单位养老支出（款）机关事业单位职业年金缴费支出（项）：指财政部门安排的用于机关事业单位职业年金缴费支出。</w:t>
      </w:r>
    </w:p>
    <w:p w14:paraId="6EA1A8F4">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18.卫生健康支出（类）行政事业单位医疗（款）行政单位医疗（项）：指财政部门安排的用于行政单位医疗支出。</w:t>
      </w:r>
    </w:p>
    <w:p w14:paraId="2B45E496">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19.卫生健康支出（类）行政事业单位医疗（款）事业单位医疗（项）：指财政部门安排的用于事业单位医疗支出。</w:t>
      </w:r>
    </w:p>
    <w:p w14:paraId="5697284D">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20.卫生健康支出（类）行政事业单位医疗（款）公务员医疗补助（项）：指财政部门安排的用于公务员医疗补助支出。</w:t>
      </w:r>
    </w:p>
    <w:p w14:paraId="7467B9B0">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21.住房保障支出（类）住房改革支出（款）住房公积金（项）：指财政部门安排的用于单位住房公积金支出。</w:t>
      </w:r>
    </w:p>
    <w:p w14:paraId="35ADAC92">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22.基本支出：指为保障机构正常运转、完成日常工作任务而发生的人员支出和公用支出。</w:t>
      </w:r>
    </w:p>
    <w:p w14:paraId="0F5C8FFC">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23.项目支出：指在基本支出之外为完成特定行政任务和事业发展目标所发生的支出。 </w:t>
      </w:r>
    </w:p>
    <w:p w14:paraId="7D27D36D">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24.经营支出：指事业单位在专业业务活动及其辅助活动之外开展非独立核算经营活动发生的支出。</w:t>
      </w:r>
    </w:p>
    <w:p w14:paraId="109A4940">
      <w:pPr>
        <w:pStyle w:val="26"/>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71678AB">
      <w:pPr>
        <w:pStyle w:val="26"/>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15D540B">
      <w:pPr>
        <w:pStyle w:val="2"/>
        <w:rPr>
          <w:rStyle w:val="28"/>
          <w:rFonts w:hint="default" w:ascii="Times New Roman" w:hAnsi="Times New Roman" w:eastAsia="黑体" w:cs="Times New Roman"/>
          <w:b w:val="0"/>
          <w:color w:val="auto"/>
          <w:highlight w:val="none"/>
        </w:rPr>
      </w:pPr>
    </w:p>
    <w:p w14:paraId="43B68216">
      <w:pPr>
        <w:spacing w:line="600" w:lineRule="exact"/>
        <w:jc w:val="center"/>
        <w:outlineLvl w:val="0"/>
        <w:rPr>
          <w:rFonts w:hint="default" w:ascii="Times New Roman" w:hAnsi="Times New Roman" w:eastAsia="黑体" w:cs="Times New Roman"/>
          <w:color w:val="auto"/>
          <w:sz w:val="44"/>
          <w:szCs w:val="44"/>
          <w:highlight w:val="none"/>
        </w:rPr>
      </w:pPr>
      <w:bookmarkStart w:id="48" w:name="_Toc15396614"/>
      <w:bookmarkStart w:id="49" w:name="_Toc15377226"/>
    </w:p>
    <w:p w14:paraId="6155F697">
      <w:pPr>
        <w:spacing w:line="600" w:lineRule="exact"/>
        <w:jc w:val="center"/>
        <w:outlineLvl w:val="0"/>
        <w:rPr>
          <w:rFonts w:hint="default" w:ascii="Times New Roman" w:hAnsi="Times New Roman" w:eastAsia="黑体" w:cs="Times New Roman"/>
          <w:color w:val="auto"/>
          <w:sz w:val="44"/>
          <w:szCs w:val="44"/>
          <w:highlight w:val="none"/>
        </w:rPr>
      </w:pPr>
    </w:p>
    <w:p w14:paraId="6EE5F68A">
      <w:pPr>
        <w:spacing w:line="600" w:lineRule="exact"/>
        <w:jc w:val="center"/>
        <w:outlineLvl w:val="0"/>
        <w:rPr>
          <w:rStyle w:val="28"/>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color w:val="auto"/>
          <w:sz w:val="44"/>
          <w:szCs w:val="44"/>
          <w:highlight w:val="none"/>
        </w:rPr>
        <w:t>第</w:t>
      </w:r>
      <w:r>
        <w:rPr>
          <w:rStyle w:val="28"/>
          <w:rFonts w:hint="default" w:ascii="Times New Roman" w:hAnsi="Times New Roman" w:eastAsia="黑体" w:cs="Times New Roman"/>
          <w:b w:val="0"/>
          <w:color w:val="auto"/>
          <w:highlight w:val="none"/>
        </w:rPr>
        <w:t>四部分 附件</w:t>
      </w:r>
      <w:bookmarkEnd w:id="48"/>
    </w:p>
    <w:p w14:paraId="185BB24E">
      <w:pPr>
        <w:keepNext w:val="0"/>
        <w:keepLines w:val="0"/>
        <w:pageBreakBefore w:val="0"/>
        <w:kinsoku/>
        <w:wordWrap/>
        <w:overflowPunct/>
        <w:topLinePunct w:val="0"/>
        <w:autoSpaceDE/>
        <w:autoSpaceDN/>
        <w:bidi w:val="0"/>
        <w:spacing w:line="572" w:lineRule="exact"/>
        <w:jc w:val="left"/>
        <w:textAlignment w:val="auto"/>
        <w:outlineLvl w:val="0"/>
        <w:rPr>
          <w:rFonts w:hint="default" w:ascii="Times New Roman" w:hAnsi="Times New Roman" w:eastAsia="黑体" w:cs="Times New Roman"/>
          <w:color w:val="auto"/>
          <w:sz w:val="44"/>
          <w:szCs w:val="44"/>
          <w:highlight w:val="none"/>
          <w:lang w:val="en-US" w:eastAsia="zh-CN"/>
        </w:rPr>
      </w:pPr>
      <w:r>
        <w:rPr>
          <w:rFonts w:hint="default" w:ascii="Times New Roman" w:hAnsi="Times New Roman" w:eastAsia="黑体" w:cs="Times New Roman"/>
          <w:color w:val="auto"/>
          <w:sz w:val="32"/>
          <w:szCs w:val="32"/>
          <w:highlight w:val="none"/>
        </w:rPr>
        <w:t>附件</w:t>
      </w:r>
    </w:p>
    <w:p w14:paraId="6A675250">
      <w:pPr>
        <w:keepNext w:val="0"/>
        <w:keepLines w:val="0"/>
        <w:pageBreakBefore w:val="0"/>
        <w:widowControl/>
        <w:kinsoku/>
        <w:wordWrap/>
        <w:overflowPunct/>
        <w:topLinePunct w:val="0"/>
        <w:autoSpaceDE/>
        <w:autoSpaceDN/>
        <w:bidi w:val="0"/>
        <w:spacing w:line="560" w:lineRule="exact"/>
        <w:contextualSpacing/>
        <w:jc w:val="center"/>
        <w:textAlignment w:val="auto"/>
        <w:rPr>
          <w:rFonts w:hint="default" w:ascii="Times New Roman" w:hAnsi="Times New Roman" w:eastAsia="宋体" w:cs="Times New Roman"/>
          <w:b/>
          <w:color w:val="auto"/>
          <w:sz w:val="32"/>
          <w:szCs w:val="32"/>
          <w:highlight w:val="none"/>
          <w:shd w:val="clear" w:color="auto" w:fill="FFFFFF"/>
        </w:rPr>
      </w:pPr>
      <w:r>
        <w:rPr>
          <w:rFonts w:hint="default" w:ascii="Times New Roman" w:hAnsi="Times New Roman" w:eastAsia="宋体" w:cs="Times New Roman"/>
          <w:b/>
          <w:color w:val="auto"/>
          <w:sz w:val="32"/>
          <w:szCs w:val="32"/>
          <w:highlight w:val="none"/>
          <w:shd w:val="clear" w:color="auto" w:fill="FFFFFF"/>
        </w:rPr>
        <w:t>20</w:t>
      </w:r>
      <w:r>
        <w:rPr>
          <w:rFonts w:hint="default" w:ascii="Times New Roman" w:hAnsi="Times New Roman" w:eastAsia="宋体" w:cs="Times New Roman"/>
          <w:b/>
          <w:color w:val="auto"/>
          <w:sz w:val="32"/>
          <w:szCs w:val="32"/>
          <w:highlight w:val="none"/>
          <w:shd w:val="clear" w:color="auto" w:fill="FFFFFF"/>
          <w:lang w:val="en-US" w:eastAsia="zh-CN"/>
        </w:rPr>
        <w:t>2</w:t>
      </w:r>
      <w:r>
        <w:rPr>
          <w:rFonts w:hint="default" w:ascii="Times New Roman" w:hAnsi="Times New Roman" w:cs="Times New Roman"/>
          <w:b/>
          <w:color w:val="auto"/>
          <w:sz w:val="32"/>
          <w:szCs w:val="32"/>
          <w:highlight w:val="none"/>
          <w:shd w:val="clear" w:color="auto" w:fill="FFFFFF"/>
          <w:lang w:val="en-US" w:eastAsia="zh-CN"/>
        </w:rPr>
        <w:t>2</w:t>
      </w:r>
      <w:r>
        <w:rPr>
          <w:rFonts w:hint="default" w:ascii="Times New Roman" w:hAnsi="Times New Roman" w:eastAsia="宋体" w:cs="Times New Roman"/>
          <w:b/>
          <w:color w:val="auto"/>
          <w:sz w:val="32"/>
          <w:szCs w:val="32"/>
          <w:highlight w:val="none"/>
          <w:shd w:val="clear" w:color="auto" w:fill="FFFFFF"/>
        </w:rPr>
        <w:t>年</w:t>
      </w:r>
      <w:r>
        <w:rPr>
          <w:rFonts w:hint="default" w:ascii="Times New Roman" w:hAnsi="Times New Roman" w:cs="Times New Roman"/>
          <w:b/>
          <w:color w:val="auto"/>
          <w:sz w:val="32"/>
          <w:szCs w:val="32"/>
          <w:highlight w:val="none"/>
          <w:shd w:val="clear" w:color="auto" w:fill="FFFFFF"/>
          <w:lang w:eastAsia="zh-CN"/>
        </w:rPr>
        <w:t>区信访局</w:t>
      </w:r>
      <w:r>
        <w:rPr>
          <w:rFonts w:hint="default" w:ascii="Times New Roman" w:hAnsi="Times New Roman" w:eastAsia="宋体" w:cs="Times New Roman"/>
          <w:b/>
          <w:color w:val="auto"/>
          <w:sz w:val="32"/>
          <w:szCs w:val="32"/>
          <w:highlight w:val="none"/>
          <w:shd w:val="clear" w:color="auto" w:fill="FFFFFF"/>
        </w:rPr>
        <w:t>部门整体绩效评价报告</w:t>
      </w:r>
    </w:p>
    <w:p w14:paraId="4D69B5A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auto"/>
          <w:kern w:val="0"/>
          <w:sz w:val="32"/>
          <w:szCs w:val="32"/>
          <w:highlight w:val="none"/>
          <w:shd w:val="clear" w:color="auto" w:fill="FFFFFF"/>
        </w:rPr>
      </w:pPr>
    </w:p>
    <w:p w14:paraId="7DEA2ED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contextualSpacing/>
        <w:jc w:val="left"/>
        <w:textAlignment w:val="auto"/>
        <w:rPr>
          <w:rFonts w:hint="default" w:ascii="Times New Roman" w:hAnsi="Times New Roman" w:cs="Times New Roman"/>
          <w:lang w:val="zh-CN"/>
        </w:rPr>
      </w:pPr>
      <w:r>
        <w:rPr>
          <w:rFonts w:hint="default" w:ascii="Times New Roman" w:hAnsi="Times New Roman" w:eastAsia="黑体" w:cs="Times New Roman"/>
          <w:color w:val="auto"/>
          <w:kern w:val="0"/>
          <w:sz w:val="32"/>
          <w:szCs w:val="32"/>
          <w:highlight w:val="none"/>
          <w:shd w:val="clear" w:color="auto" w:fill="FFFFFF"/>
          <w:lang w:val="zh-CN"/>
        </w:rPr>
        <w:t>一、基本情况</w:t>
      </w:r>
    </w:p>
    <w:p w14:paraId="76E7DF3C">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机构组成。</w:t>
      </w:r>
    </w:p>
    <w:p w14:paraId="7CADA928">
      <w:pPr>
        <w:keepNext w:val="0"/>
        <w:keepLines w:val="0"/>
        <w:pageBreakBefore w:val="0"/>
        <w:kinsoku/>
        <w:wordWrap/>
        <w:overflowPunct/>
        <w:topLinePunct w:val="0"/>
        <w:bidi w:val="0"/>
        <w:adjustRightInd/>
        <w:snapToGrid/>
        <w:spacing w:line="240" w:lineRule="auto"/>
        <w:ind w:left="0" w:firstLine="660" w:firstLineChars="200"/>
        <w:textAlignment w:val="auto"/>
        <w:outlineLvl w:val="1"/>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方正仿宋_GBK" w:cs="Times New Roman"/>
          <w:sz w:val="33"/>
          <w:szCs w:val="33"/>
          <w:lang w:bidi="ar"/>
        </w:rPr>
        <w:t>攀枝花市仁和区信访局（简称区信访局）是攀枝花市仁和区人民政府工作部门，为正科级，</w:t>
      </w:r>
      <w:r>
        <w:rPr>
          <w:rFonts w:hint="default" w:ascii="Times New Roman" w:hAnsi="Times New Roman" w:eastAsia="仿宋_GB2312" w:cs="Times New Roman"/>
          <w:sz w:val="32"/>
          <w:szCs w:val="32"/>
          <w:lang w:bidi="ar"/>
        </w:rPr>
        <w:t>下设办公室和业务股。</w:t>
      </w:r>
    </w:p>
    <w:p w14:paraId="1EDEE3E9">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firstLine="643" w:firstLineChars="200"/>
        <w:contextualSpacing/>
        <w:jc w:val="left"/>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color w:val="auto"/>
          <w:kern w:val="0"/>
          <w:sz w:val="32"/>
          <w:szCs w:val="32"/>
          <w:highlight w:val="none"/>
          <w:shd w:val="clear" w:color="auto" w:fill="FFFFFF"/>
          <w:lang w:val="zh-CN"/>
        </w:rPr>
        <w:t>机构职能和人员概况。</w:t>
      </w:r>
    </w:p>
    <w:p w14:paraId="4012788C">
      <w:pPr>
        <w:keepNext w:val="0"/>
        <w:keepLines w:val="0"/>
        <w:pageBreakBefore w:val="0"/>
        <w:kinsoku/>
        <w:wordWrap/>
        <w:overflowPunct/>
        <w:topLinePunct w:val="0"/>
        <w:bidi w:val="0"/>
        <w:adjustRightInd/>
        <w:snapToGrid/>
        <w:spacing w:line="240" w:lineRule="auto"/>
        <w:ind w:left="0" w:firstLine="420" w:firstLineChars="200"/>
        <w:textAlignment w:val="auto"/>
        <w:rPr>
          <w:rFonts w:hint="default" w:ascii="Times New Roman" w:hAnsi="Times New Roman" w:eastAsia="方正仿宋_GBK" w:cs="Times New Roman"/>
          <w:sz w:val="33"/>
          <w:szCs w:val="33"/>
        </w:rPr>
      </w:pPr>
      <w:r>
        <w:rPr>
          <w:rFonts w:hint="default" w:ascii="Times New Roman" w:hAnsi="Times New Roman" w:cs="Times New Roman"/>
          <w:color w:val="000000"/>
          <w:kern w:val="0"/>
          <w:szCs w:val="32"/>
          <w:shd w:val="clear" w:color="auto" w:fill="FFFFFF"/>
          <w:lang w:val="en-US" w:eastAsia="zh-CN"/>
        </w:rPr>
        <w:t xml:space="preserve">  </w:t>
      </w:r>
      <w:r>
        <w:rPr>
          <w:rFonts w:hint="default" w:ascii="Times New Roman" w:hAnsi="Times New Roman" w:eastAsia="方正仿宋_GBK" w:cs="Times New Roman"/>
          <w:sz w:val="33"/>
          <w:szCs w:val="33"/>
          <w:lang w:bidi="ar"/>
        </w:rPr>
        <w:t>1.贯彻落实党中央关于信访工作的方针政策和省委、市委、区委的决策部署，在履行职责过程中坚持和加强党对信访工作的集中统一领导。</w:t>
      </w:r>
      <w:r>
        <w:rPr>
          <w:rFonts w:hint="default" w:ascii="Times New Roman" w:hAnsi="Times New Roman" w:eastAsia="方正仿宋_GBK" w:cs="Times New Roman"/>
          <w:color w:val="000000"/>
          <w:sz w:val="33"/>
          <w:szCs w:val="33"/>
          <w:lang w:bidi="ar"/>
        </w:rPr>
        <w:t>起草有关信访工作的规范性文件；制定信访问题排查化解、风险评估等制度并组织实施，</w:t>
      </w:r>
      <w:r>
        <w:rPr>
          <w:rFonts w:hint="default" w:ascii="Times New Roman" w:hAnsi="Times New Roman" w:eastAsia="方正仿宋_GBK" w:cs="Times New Roman"/>
          <w:sz w:val="33"/>
          <w:szCs w:val="33"/>
          <w:lang w:bidi="ar"/>
        </w:rPr>
        <w:t>负责提出改进和加强信访工作的建议；负责本系统、本部门依法行政工作。</w:t>
      </w:r>
    </w:p>
    <w:p w14:paraId="4F78FCD2">
      <w:pPr>
        <w:keepNext w:val="0"/>
        <w:keepLines w:val="0"/>
        <w:pageBreakBefore w:val="0"/>
        <w:kinsoku/>
        <w:wordWrap/>
        <w:overflowPunct/>
        <w:topLinePunct w:val="0"/>
        <w:bidi w:val="0"/>
        <w:adjustRightInd/>
        <w:snapToGrid/>
        <w:spacing w:line="240" w:lineRule="auto"/>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bidi="ar"/>
        </w:rPr>
        <w:t>2.指导全区信访工作，督促检查各乡镇（街道）、区属各部门（单位）信访工作，总结推广信访工作经验，牵头完成信访工作宣传和信息发布。</w:t>
      </w:r>
    </w:p>
    <w:p w14:paraId="65523E92">
      <w:pPr>
        <w:keepNext w:val="0"/>
        <w:keepLines w:val="0"/>
        <w:pageBreakBefore w:val="0"/>
        <w:kinsoku/>
        <w:wordWrap/>
        <w:overflowPunct/>
        <w:topLinePunct w:val="0"/>
        <w:bidi w:val="0"/>
        <w:adjustRightInd/>
        <w:snapToGrid/>
        <w:spacing w:line="240" w:lineRule="auto"/>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bidi="ar"/>
        </w:rPr>
        <w:t>3.负责处理区内外群众、境外人士、法人及其他组织通过信访渠道给区委、区政府及领导同志的来信来电，接待来访工作。</w:t>
      </w:r>
    </w:p>
    <w:p w14:paraId="6CFCF7A1">
      <w:pPr>
        <w:keepNext w:val="0"/>
        <w:keepLines w:val="0"/>
        <w:pageBreakBefore w:val="0"/>
        <w:kinsoku/>
        <w:wordWrap/>
        <w:overflowPunct/>
        <w:topLinePunct w:val="0"/>
        <w:bidi w:val="0"/>
        <w:adjustRightInd/>
        <w:snapToGrid/>
        <w:spacing w:line="240" w:lineRule="auto"/>
        <w:ind w:left="0" w:firstLine="660" w:firstLineChars="200"/>
        <w:textAlignment w:val="auto"/>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sz w:val="33"/>
          <w:szCs w:val="33"/>
          <w:lang w:bidi="ar"/>
        </w:rPr>
        <w:t>4.承担协调处理群众进京赴省到市、区集体上访和非接待场所上访的责任</w:t>
      </w:r>
      <w:r>
        <w:rPr>
          <w:rFonts w:hint="default" w:ascii="Times New Roman" w:hAnsi="Times New Roman" w:eastAsia="方正仿宋_GBK" w:cs="Times New Roman"/>
          <w:color w:val="000000"/>
          <w:sz w:val="33"/>
          <w:szCs w:val="33"/>
          <w:lang w:bidi="ar"/>
        </w:rPr>
        <w:t>，综合协调处理跨地区、跨部门的重要信访问题。</w:t>
      </w:r>
    </w:p>
    <w:p w14:paraId="7B9FF01F">
      <w:pPr>
        <w:keepNext w:val="0"/>
        <w:keepLines w:val="0"/>
        <w:pageBreakBefore w:val="0"/>
        <w:kinsoku/>
        <w:wordWrap/>
        <w:overflowPunct/>
        <w:topLinePunct w:val="0"/>
        <w:bidi w:val="0"/>
        <w:adjustRightInd/>
        <w:snapToGrid/>
        <w:spacing w:line="240" w:lineRule="auto"/>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bidi="ar"/>
        </w:rPr>
        <w:t>5.负责向区委、区政府反映来信来电来访中提出的重要建议、意见和问题，综合研判信访信息，开展调查研究，提出相关处理建议。负责建立和完善信访信息汇集分析机制，指导信访工作信息化建设和应用。</w:t>
      </w:r>
    </w:p>
    <w:p w14:paraId="6BAFC751">
      <w:pPr>
        <w:keepNext w:val="0"/>
        <w:keepLines w:val="0"/>
        <w:pageBreakBefore w:val="0"/>
        <w:kinsoku/>
        <w:wordWrap/>
        <w:overflowPunct/>
        <w:topLinePunct w:val="0"/>
        <w:bidi w:val="0"/>
        <w:adjustRightInd/>
        <w:snapToGrid/>
        <w:spacing w:line="240" w:lineRule="auto"/>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bidi="ar"/>
        </w:rPr>
        <w:t>6.承办上级批示交办信访事项，向各乡镇（街道）、区属各部门（单位）转办、交办信访事项，督促检查重要信访事项的处理和落实。</w:t>
      </w:r>
    </w:p>
    <w:p w14:paraId="5ED1B283">
      <w:pPr>
        <w:keepNext w:val="0"/>
        <w:keepLines w:val="0"/>
        <w:pageBreakBefore w:val="0"/>
        <w:kinsoku/>
        <w:wordWrap/>
        <w:overflowPunct/>
        <w:topLinePunct w:val="0"/>
        <w:bidi w:val="0"/>
        <w:adjustRightInd/>
        <w:snapToGrid/>
        <w:spacing w:line="240" w:lineRule="auto"/>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bidi="ar"/>
        </w:rPr>
        <w:t>7.承担区信访工作联席会议、区政府信访事项复查（复核）工作，督促落实有关事项。</w:t>
      </w:r>
    </w:p>
    <w:p w14:paraId="1E6DC334">
      <w:pPr>
        <w:keepNext w:val="0"/>
        <w:keepLines w:val="0"/>
        <w:pageBreakBefore w:val="0"/>
        <w:kinsoku/>
        <w:wordWrap/>
        <w:overflowPunct/>
        <w:topLinePunct w:val="0"/>
        <w:bidi w:val="0"/>
        <w:adjustRightInd/>
        <w:snapToGrid/>
        <w:spacing w:line="240" w:lineRule="auto"/>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bidi="ar"/>
        </w:rPr>
        <w:t>8.承担网络投诉受理工作，负责对区党群一号通暨区群众意见受理中心市民投诉件（12345市民热线、四川省网上信访信息系统、“市长信箱”、区委书记信箱、区长信箱</w:t>
      </w:r>
      <w:r>
        <w:rPr>
          <w:rFonts w:hint="default" w:ascii="Times New Roman" w:hAnsi="Times New Roman" w:eastAsia="方正仿宋_GBK" w:cs="Times New Roman"/>
          <w:color w:val="000000"/>
          <w:sz w:val="33"/>
          <w:szCs w:val="33"/>
          <w:lang w:bidi="ar"/>
        </w:rPr>
        <w:t>等应用系统的投诉件</w:t>
      </w:r>
      <w:r>
        <w:rPr>
          <w:rFonts w:hint="default" w:ascii="Times New Roman" w:hAnsi="Times New Roman" w:eastAsia="方正仿宋_GBK" w:cs="Times New Roman"/>
          <w:sz w:val="33"/>
          <w:szCs w:val="33"/>
          <w:lang w:bidi="ar"/>
        </w:rPr>
        <w:t>）的受理、交办、督办、协调、处理等工作。</w:t>
      </w:r>
    </w:p>
    <w:p w14:paraId="20AF920E">
      <w:pPr>
        <w:keepNext w:val="0"/>
        <w:keepLines w:val="0"/>
        <w:pageBreakBefore w:val="0"/>
        <w:kinsoku/>
        <w:wordWrap/>
        <w:overflowPunct/>
        <w:topLinePunct w:val="0"/>
        <w:bidi w:val="0"/>
        <w:adjustRightInd/>
        <w:snapToGrid/>
        <w:spacing w:line="240" w:lineRule="auto"/>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bidi="ar"/>
        </w:rPr>
        <w:t>9.负责职责范围内的安全生产和职业健康、生态环境保护、审批服务便民化等工作。按省、市要求，指导推进相对集中行政许可权改革。</w:t>
      </w:r>
    </w:p>
    <w:p w14:paraId="54EB02DF">
      <w:pPr>
        <w:keepNext w:val="0"/>
        <w:keepLines w:val="0"/>
        <w:pageBreakBefore w:val="0"/>
        <w:kinsoku/>
        <w:wordWrap/>
        <w:overflowPunct/>
        <w:topLinePunct w:val="0"/>
        <w:bidi w:val="0"/>
        <w:adjustRightInd/>
        <w:snapToGrid/>
        <w:spacing w:line="240" w:lineRule="auto"/>
        <w:ind w:left="0" w:firstLine="660" w:firstLineChars="200"/>
        <w:textAlignment w:val="auto"/>
        <w:rPr>
          <w:rFonts w:hint="default" w:ascii="Times New Roman" w:hAnsi="Times New Roman" w:eastAsia="仿宋_GB2312" w:cs="Times New Roman"/>
          <w:color w:val="000000"/>
          <w:kern w:val="0"/>
          <w:szCs w:val="32"/>
          <w:shd w:val="clear" w:color="auto" w:fill="FFFFFF"/>
          <w:lang w:val="en-US" w:eastAsia="zh-CN"/>
        </w:rPr>
      </w:pPr>
      <w:r>
        <w:rPr>
          <w:rFonts w:hint="default" w:ascii="Times New Roman" w:hAnsi="Times New Roman" w:eastAsia="方正仿宋_GBK" w:cs="Times New Roman"/>
          <w:sz w:val="33"/>
          <w:szCs w:val="33"/>
          <w:lang w:bidi="ar"/>
        </w:rPr>
        <w:t>10.完成区委、区政府交办的其他任务。</w:t>
      </w:r>
    </w:p>
    <w:p w14:paraId="2FB57610">
      <w:pPr>
        <w:keepNext w:val="0"/>
        <w:keepLines w:val="0"/>
        <w:pageBreakBefore w:val="0"/>
        <w:kinsoku/>
        <w:wordWrap/>
        <w:overflowPunct/>
        <w:topLinePunct w:val="0"/>
        <w:bidi w:val="0"/>
        <w:adjustRightInd/>
        <w:snapToGrid/>
        <w:spacing w:line="240" w:lineRule="auto"/>
        <w:ind w:left="0" w:firstLine="660" w:firstLineChars="200"/>
        <w:textAlignment w:val="auto"/>
        <w:rPr>
          <w:rFonts w:hint="default" w:ascii="Times New Roman" w:hAnsi="Times New Roman" w:cs="Times New Roman"/>
          <w:lang w:val="zh-CN"/>
        </w:rPr>
      </w:pPr>
      <w:r>
        <w:rPr>
          <w:rFonts w:hint="default" w:ascii="Times New Roman" w:hAnsi="Times New Roman" w:eastAsia="方正仿宋_GBK" w:cs="Times New Roman"/>
          <w:sz w:val="33"/>
          <w:szCs w:val="33"/>
          <w:lang w:bidi="ar"/>
        </w:rPr>
        <w:t>区信访局行政编制3名（局长1名，副局长2名），实有人数3名。机关工勤人员编制数1名，实有1名。全额拨款事业单位编制9名（副科级领导职数1名，事业管理岗8名），实有人数9名。退休人员3名。</w:t>
      </w:r>
    </w:p>
    <w:p w14:paraId="6E81573C">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年度主要工作任务。</w:t>
      </w:r>
    </w:p>
    <w:p w14:paraId="0547C4D4">
      <w:pPr>
        <w:keepNext w:val="0"/>
        <w:keepLines w:val="0"/>
        <w:pageBreakBefore w:val="0"/>
        <w:kinsoku/>
        <w:wordWrap/>
        <w:overflowPunct/>
        <w:topLinePunct w:val="0"/>
        <w:bidi w:val="0"/>
        <w:adjustRightInd/>
        <w:snapToGrid/>
        <w:spacing w:line="240" w:lineRule="auto"/>
        <w:ind w:left="0" w:firstLine="663" w:firstLineChars="200"/>
        <w:textAlignment w:val="auto"/>
        <w:rPr>
          <w:rFonts w:hint="default" w:ascii="Times New Roman" w:hAnsi="Times New Roman" w:eastAsia="方正仿宋_GBK" w:cs="Times New Roman"/>
          <w:bCs/>
          <w:color w:val="000000"/>
          <w:sz w:val="33"/>
          <w:szCs w:val="33"/>
        </w:rPr>
      </w:pPr>
      <w:r>
        <w:rPr>
          <w:rFonts w:hint="default" w:ascii="Times New Roman" w:hAnsi="Times New Roman" w:eastAsia="方正仿宋_GBK" w:cs="Times New Roman"/>
          <w:b/>
          <w:color w:val="000000"/>
          <w:sz w:val="33"/>
          <w:szCs w:val="33"/>
          <w:lang w:val="en-US" w:eastAsia="zh-CN"/>
        </w:rPr>
        <w:t>1.</w:t>
      </w:r>
      <w:r>
        <w:rPr>
          <w:rFonts w:hint="default" w:ascii="Times New Roman" w:hAnsi="Times New Roman" w:eastAsia="方正仿宋_GBK" w:cs="Times New Roman"/>
          <w:b/>
          <w:color w:val="000000"/>
          <w:sz w:val="33"/>
          <w:szCs w:val="33"/>
        </w:rPr>
        <w:t>坚持党建引领，加强党对信访工作的全面领导。一是</w:t>
      </w:r>
      <w:r>
        <w:rPr>
          <w:rFonts w:hint="default" w:ascii="Times New Roman" w:hAnsi="Times New Roman" w:eastAsia="方正仿宋_GBK" w:cs="Times New Roman"/>
          <w:bCs/>
          <w:color w:val="000000"/>
          <w:sz w:val="33"/>
          <w:szCs w:val="33"/>
        </w:rPr>
        <w:t>始终坚持党对信访工作的全面领导，区委、区政府按季度组织召开信访工作联席会议，按季度听取信访维稳工作汇报，并及时研究部署各阶段信访维稳工作，不断加强党政领导认真履行信访工作责任制，确保信访工作始终延着正确的方向前进。</w:t>
      </w:r>
      <w:r>
        <w:rPr>
          <w:rFonts w:hint="default" w:ascii="Times New Roman" w:hAnsi="Times New Roman" w:eastAsia="方正仿宋_GBK" w:cs="Times New Roman"/>
          <w:b/>
          <w:color w:val="000000"/>
          <w:sz w:val="33"/>
          <w:szCs w:val="33"/>
        </w:rPr>
        <w:t>二是</w:t>
      </w:r>
      <w:r>
        <w:rPr>
          <w:rFonts w:hint="default" w:ascii="Times New Roman" w:hAnsi="Times New Roman" w:eastAsia="方正仿宋_GBK" w:cs="Times New Roman"/>
          <w:bCs/>
          <w:color w:val="000000"/>
          <w:sz w:val="33"/>
          <w:szCs w:val="33"/>
        </w:rPr>
        <w:t>强化党建引领信访工作，局党组坚持把党建工作与信访业务工作深度融合，齐头并进。</w:t>
      </w:r>
      <w:r>
        <w:rPr>
          <w:rFonts w:hint="default" w:ascii="Times New Roman" w:hAnsi="Times New Roman" w:eastAsia="方正仿宋_GBK" w:cs="Times New Roman"/>
          <w:b/>
          <w:color w:val="000000"/>
          <w:sz w:val="33"/>
          <w:szCs w:val="33"/>
        </w:rPr>
        <w:t>三是</w:t>
      </w:r>
      <w:r>
        <w:rPr>
          <w:rFonts w:hint="default" w:ascii="Times New Roman" w:hAnsi="Times New Roman" w:eastAsia="方正仿宋_GBK" w:cs="Times New Roman"/>
          <w:bCs/>
          <w:color w:val="000000"/>
          <w:sz w:val="33"/>
          <w:szCs w:val="33"/>
        </w:rPr>
        <w:t>狠抓党风廉政建设和反腐败工作，认真落实党风廉政建设责任制，扎实开展深入整治“中梗阻”问题 扎实推进作风建设专项行动</w:t>
      </w:r>
      <w:r>
        <w:rPr>
          <w:rFonts w:hint="default" w:ascii="Times New Roman" w:hAnsi="Times New Roman" w:eastAsia="方正仿宋_GBK" w:cs="Times New Roman"/>
          <w:b/>
          <w:bCs/>
          <w:color w:val="000000"/>
          <w:sz w:val="33"/>
          <w:szCs w:val="33"/>
        </w:rPr>
        <w:t>。</w:t>
      </w:r>
      <w:r>
        <w:rPr>
          <w:rFonts w:hint="default" w:ascii="Times New Roman" w:hAnsi="Times New Roman" w:eastAsia="方正仿宋_GBK" w:cs="Times New Roman"/>
          <w:b/>
          <w:color w:val="000000"/>
          <w:sz w:val="33"/>
          <w:szCs w:val="33"/>
        </w:rPr>
        <w:t>四是</w:t>
      </w:r>
      <w:r>
        <w:rPr>
          <w:rFonts w:hint="default" w:ascii="Times New Roman" w:hAnsi="Times New Roman" w:eastAsia="方正仿宋_GBK" w:cs="Times New Roman"/>
          <w:bCs/>
          <w:color w:val="000000"/>
          <w:sz w:val="33"/>
          <w:szCs w:val="33"/>
        </w:rPr>
        <w:t>守好意识形态“责任田”，坚持定期分析研判信访领域意识形态风险9次，加强固定阵地和网络阵地管理暨安全保障工作，筑牢意识形态“根据地”。</w:t>
      </w:r>
      <w:r>
        <w:rPr>
          <w:rFonts w:hint="default" w:ascii="Times New Roman" w:hAnsi="Times New Roman" w:eastAsia="方正仿宋_GBK" w:cs="Times New Roman"/>
          <w:b/>
          <w:sz w:val="33"/>
          <w:szCs w:val="33"/>
        </w:rPr>
        <w:t>五是</w:t>
      </w:r>
      <w:r>
        <w:rPr>
          <w:rFonts w:hint="default" w:ascii="Times New Roman" w:hAnsi="Times New Roman" w:eastAsia="方正仿宋_GBK" w:cs="Times New Roman"/>
          <w:bCs/>
          <w:sz w:val="33"/>
          <w:szCs w:val="33"/>
        </w:rPr>
        <w:t>做好《信访工作条例》学习宣传贯彻工作。组织各级各部门抓好《信访工作条例》的政策宣讲解读和培训，开展集中宣传月专项活动，组织召开专题培训会3次，培训相关人员600余人，印制发放海报1000张、宣传册2000本、宣传单20000份，在全社会营造学习宣传贯彻《信访工作条例》的浓厚氛围。</w:t>
      </w:r>
    </w:p>
    <w:p w14:paraId="73B86687">
      <w:pPr>
        <w:keepNext w:val="0"/>
        <w:keepLines w:val="0"/>
        <w:pageBreakBefore w:val="0"/>
        <w:kinsoku/>
        <w:wordWrap/>
        <w:overflowPunct/>
        <w:topLinePunct w:val="0"/>
        <w:bidi w:val="0"/>
        <w:adjustRightInd/>
        <w:snapToGrid/>
        <w:spacing w:line="240" w:lineRule="auto"/>
        <w:ind w:left="0" w:firstLine="663" w:firstLineChars="200"/>
        <w:textAlignment w:val="auto"/>
        <w:rPr>
          <w:rFonts w:hint="default" w:ascii="Times New Roman" w:hAnsi="Times New Roman" w:eastAsia="方正仿宋_GBK" w:cs="Times New Roman"/>
          <w:bCs/>
          <w:sz w:val="33"/>
          <w:szCs w:val="33"/>
        </w:rPr>
      </w:pPr>
      <w:r>
        <w:rPr>
          <w:rFonts w:hint="default" w:ascii="Times New Roman" w:hAnsi="Times New Roman" w:eastAsia="方正仿宋_GBK" w:cs="Times New Roman"/>
          <w:b/>
          <w:sz w:val="33"/>
          <w:szCs w:val="33"/>
          <w:lang w:val="en-US" w:eastAsia="zh-CN"/>
        </w:rPr>
        <w:t>2.</w:t>
      </w:r>
      <w:r>
        <w:rPr>
          <w:rFonts w:hint="default" w:ascii="Times New Roman" w:hAnsi="Times New Roman" w:eastAsia="方正仿宋_GBK" w:cs="Times New Roman"/>
          <w:b/>
          <w:sz w:val="33"/>
          <w:szCs w:val="33"/>
        </w:rPr>
        <w:t>认真开展“大接访”，依法及时规范办理信访事项。</w:t>
      </w:r>
      <w:bookmarkStart w:id="50" w:name="_Hlk105773167"/>
      <w:r>
        <w:rPr>
          <w:rFonts w:hint="default" w:ascii="Times New Roman" w:hAnsi="Times New Roman" w:eastAsia="方正仿宋_GBK" w:cs="Times New Roman"/>
          <w:b/>
          <w:sz w:val="33"/>
          <w:szCs w:val="33"/>
        </w:rPr>
        <w:t>一是</w:t>
      </w:r>
      <w:r>
        <w:rPr>
          <w:rFonts w:hint="default" w:ascii="Times New Roman" w:hAnsi="Times New Roman" w:eastAsia="方正仿宋_GBK" w:cs="Times New Roman"/>
          <w:bCs/>
          <w:sz w:val="33"/>
          <w:szCs w:val="33"/>
        </w:rPr>
        <w:t>畅通信访渠道，认真开展“大接访”活动。</w:t>
      </w:r>
      <w:bookmarkEnd w:id="50"/>
      <w:r>
        <w:rPr>
          <w:rFonts w:hint="default" w:ascii="Times New Roman" w:hAnsi="Times New Roman" w:eastAsia="方正仿宋_GBK" w:cs="Times New Roman"/>
          <w:b/>
          <w:sz w:val="33"/>
          <w:szCs w:val="33"/>
        </w:rPr>
        <w:t>二是</w:t>
      </w:r>
      <w:r>
        <w:rPr>
          <w:rFonts w:hint="default" w:ascii="Times New Roman" w:hAnsi="Times New Roman" w:eastAsia="方正仿宋_GBK" w:cs="Times New Roman"/>
          <w:bCs/>
          <w:sz w:val="33"/>
          <w:szCs w:val="33"/>
        </w:rPr>
        <w:t>规范办信事项，全力确保信访“三率”水平。</w:t>
      </w:r>
      <w:r>
        <w:rPr>
          <w:rFonts w:hint="default" w:ascii="Times New Roman" w:hAnsi="Times New Roman" w:eastAsia="方正仿宋_GBK" w:cs="Times New Roman"/>
          <w:b/>
          <w:sz w:val="33"/>
          <w:szCs w:val="33"/>
        </w:rPr>
        <w:t>三是</w:t>
      </w:r>
      <w:r>
        <w:rPr>
          <w:rFonts w:hint="default" w:ascii="Times New Roman" w:hAnsi="Times New Roman" w:eastAsia="方正仿宋_GBK" w:cs="Times New Roman"/>
          <w:bCs/>
          <w:sz w:val="33"/>
          <w:szCs w:val="33"/>
        </w:rPr>
        <w:t>主动作为，及时化解突发信访问题。今年以来，我局积极组织，配合参与相关部门协调解决欠薪、物业管理、安置房分配、违章搭建、征地拆迁补偿、集体林地纠纷、电梯安装、重点项目建设涉稳等问题87件，成功调解个人信访问题29件。</w:t>
      </w:r>
    </w:p>
    <w:p w14:paraId="38C25D02">
      <w:pPr>
        <w:keepNext w:val="0"/>
        <w:keepLines w:val="0"/>
        <w:pageBreakBefore w:val="0"/>
        <w:kinsoku/>
        <w:wordWrap/>
        <w:overflowPunct/>
        <w:topLinePunct w:val="0"/>
        <w:bidi w:val="0"/>
        <w:adjustRightInd/>
        <w:snapToGrid/>
        <w:spacing w:line="240" w:lineRule="auto"/>
        <w:ind w:left="0" w:firstLine="663" w:firstLineChars="200"/>
        <w:textAlignment w:val="auto"/>
        <w:rPr>
          <w:rFonts w:hint="default" w:ascii="Times New Roman" w:hAnsi="Times New Roman" w:eastAsia="方正仿宋_GBK" w:cs="Times New Roman"/>
          <w:bCs/>
          <w:sz w:val="33"/>
          <w:szCs w:val="33"/>
        </w:rPr>
      </w:pPr>
      <w:bookmarkStart w:id="51" w:name="_Hlk105773231"/>
      <w:r>
        <w:rPr>
          <w:rFonts w:hint="default" w:ascii="Times New Roman" w:hAnsi="Times New Roman" w:eastAsia="方正仿宋_GBK" w:cs="Times New Roman"/>
          <w:b/>
          <w:sz w:val="33"/>
          <w:szCs w:val="33"/>
          <w:lang w:val="en-US" w:eastAsia="zh-CN"/>
        </w:rPr>
        <w:t>3.强化责任落实，确保信访服务保障工作全面完成。</w:t>
      </w:r>
      <w:r>
        <w:rPr>
          <w:rFonts w:hint="default" w:ascii="Times New Roman" w:hAnsi="Times New Roman" w:eastAsia="方正仿宋_GBK" w:cs="Times New Roman"/>
          <w:b/>
          <w:bCs/>
          <w:sz w:val="33"/>
          <w:szCs w:val="33"/>
        </w:rPr>
        <w:t>一是</w:t>
      </w:r>
      <w:r>
        <w:rPr>
          <w:rFonts w:hint="default" w:ascii="Times New Roman" w:hAnsi="Times New Roman" w:eastAsia="方正仿宋_GBK" w:cs="Times New Roman"/>
          <w:sz w:val="33"/>
          <w:szCs w:val="33"/>
        </w:rPr>
        <w:t>坚决落实信访工作责任制。及时组织对中央和省、市、区关于信访工作的重要决策部署进行认真传达学习，并结合信访工作实际研究贯彻落实意见，确保上级决策部署落地落实。</w:t>
      </w:r>
      <w:r>
        <w:rPr>
          <w:rFonts w:hint="default" w:ascii="Times New Roman" w:hAnsi="Times New Roman" w:eastAsia="方正仿宋_GBK" w:cs="Times New Roman"/>
          <w:b/>
          <w:sz w:val="33"/>
          <w:szCs w:val="33"/>
        </w:rPr>
        <w:t>二是</w:t>
      </w:r>
      <w:r>
        <w:rPr>
          <w:rFonts w:hint="default" w:ascii="Times New Roman" w:hAnsi="Times New Roman" w:eastAsia="方正仿宋_GBK" w:cs="Times New Roman"/>
          <w:bCs/>
          <w:sz w:val="33"/>
          <w:szCs w:val="33"/>
        </w:rPr>
        <w:t>精心组织部署重点时段信访服务保障工作任务。始终</w:t>
      </w:r>
      <w:r>
        <w:rPr>
          <w:rFonts w:hint="default" w:ascii="Times New Roman" w:hAnsi="Times New Roman" w:eastAsia="方正仿宋_GBK" w:cs="Times New Roman"/>
          <w:sz w:val="33"/>
          <w:szCs w:val="33"/>
        </w:rPr>
        <w:t>坚持以做好党的二十大信访工作为主线，</w:t>
      </w:r>
      <w:r>
        <w:rPr>
          <w:rFonts w:hint="default" w:ascii="Times New Roman" w:hAnsi="Times New Roman" w:eastAsia="方正仿宋_GBK" w:cs="Times New Roman"/>
          <w:bCs/>
          <w:sz w:val="33"/>
          <w:szCs w:val="33"/>
        </w:rPr>
        <w:t>精心组织各阶段重大活动的信访保障工作，圆满完成了元旦、春节、冬（残）奥会、全国及地方“两会”、四川省第十二次党代会、省委书记王晓晖来攀调研、党的二十大等重点时段信访服务保障工作，得到市区领导的高度赞誉。</w:t>
      </w:r>
    </w:p>
    <w:bookmarkEnd w:id="51"/>
    <w:p w14:paraId="67172D84">
      <w:pPr>
        <w:keepNext w:val="0"/>
        <w:keepLines w:val="0"/>
        <w:pageBreakBefore w:val="0"/>
        <w:kinsoku/>
        <w:wordWrap/>
        <w:overflowPunct/>
        <w:topLinePunct w:val="0"/>
        <w:bidi w:val="0"/>
        <w:adjustRightInd/>
        <w:snapToGrid/>
        <w:spacing w:line="240" w:lineRule="auto"/>
        <w:ind w:left="0" w:firstLine="663" w:firstLineChars="200"/>
        <w:textAlignment w:val="auto"/>
        <w:rPr>
          <w:rFonts w:hint="default" w:ascii="Times New Roman" w:hAnsi="Times New Roman" w:eastAsia="方正仿宋_GBK" w:cs="Times New Roman"/>
          <w:bCs/>
          <w:sz w:val="33"/>
          <w:szCs w:val="33"/>
        </w:rPr>
      </w:pPr>
      <w:bookmarkStart w:id="52" w:name="_Hlk105772833"/>
      <w:r>
        <w:rPr>
          <w:rFonts w:hint="default" w:ascii="Times New Roman" w:hAnsi="Times New Roman" w:eastAsia="方正仿宋_GBK" w:cs="Times New Roman"/>
          <w:b/>
          <w:sz w:val="33"/>
          <w:szCs w:val="33"/>
          <w:lang w:val="en-US" w:eastAsia="zh-CN"/>
        </w:rPr>
        <w:t>4.强化源头治理，最大限度做好控增量减存量。</w:t>
      </w:r>
      <w:r>
        <w:rPr>
          <w:rFonts w:hint="default" w:ascii="Times New Roman" w:hAnsi="Times New Roman" w:eastAsia="方正仿宋_GBK" w:cs="Times New Roman"/>
          <w:b/>
          <w:sz w:val="33"/>
          <w:szCs w:val="33"/>
        </w:rPr>
        <w:t>一是</w:t>
      </w:r>
      <w:r>
        <w:rPr>
          <w:rFonts w:hint="default" w:ascii="Times New Roman" w:hAnsi="Times New Roman" w:eastAsia="方正仿宋_GBK" w:cs="Times New Roman"/>
          <w:bCs/>
          <w:sz w:val="33"/>
          <w:szCs w:val="33"/>
        </w:rPr>
        <w:t>合力攻坚“治重化积”专项工作。严格按照“2022年6月底基本化解清零”的工作目标来完成第二批集中治理重复信访、积案化解工作化解任务。</w:t>
      </w:r>
      <w:r>
        <w:rPr>
          <w:rFonts w:hint="default" w:ascii="Times New Roman" w:hAnsi="Times New Roman" w:eastAsia="方正仿宋_GBK" w:cs="Times New Roman"/>
          <w:b/>
          <w:sz w:val="33"/>
          <w:szCs w:val="33"/>
        </w:rPr>
        <w:t>二是</w:t>
      </w:r>
      <w:r>
        <w:rPr>
          <w:rFonts w:hint="default" w:ascii="Times New Roman" w:hAnsi="Times New Roman" w:eastAsia="方正仿宋_GBK" w:cs="Times New Roman"/>
          <w:bCs/>
          <w:sz w:val="33"/>
          <w:szCs w:val="33"/>
        </w:rPr>
        <w:t>推动重点领域信访矛盾化解。以党的二十大信访稳定工作为主线，全面梳理辖区各类信访涉稳问题，建立“清单制+责任制”管理责任工作台账，实行动态管理，努力做好稳控化解；组织开展第二轮省级环保</w:t>
      </w:r>
      <w:r>
        <w:rPr>
          <w:rFonts w:hint="eastAsia" w:eastAsia="方正仿宋_GBK" w:cs="Times New Roman"/>
          <w:bCs/>
          <w:sz w:val="33"/>
          <w:szCs w:val="33"/>
          <w:lang w:val="en-US" w:eastAsia="zh-CN"/>
        </w:rPr>
        <w:t>督察</w:t>
      </w:r>
      <w:bookmarkStart w:id="78" w:name="_GoBack"/>
      <w:bookmarkEnd w:id="78"/>
      <w:r>
        <w:rPr>
          <w:rFonts w:hint="default" w:ascii="Times New Roman" w:hAnsi="Times New Roman" w:eastAsia="方正仿宋_GBK" w:cs="Times New Roman"/>
          <w:bCs/>
          <w:sz w:val="33"/>
          <w:szCs w:val="33"/>
        </w:rPr>
        <w:t>件问题“回头看”工作；及时梳理突出涉稳信访问题落实区级领导包案化解，全力为党的二十大和省第十二次党代会胜利召开保驾护航。</w:t>
      </w:r>
    </w:p>
    <w:p w14:paraId="4DEE418D">
      <w:pPr>
        <w:keepNext w:val="0"/>
        <w:keepLines w:val="0"/>
        <w:pageBreakBefore w:val="0"/>
        <w:kinsoku/>
        <w:wordWrap/>
        <w:overflowPunct/>
        <w:topLinePunct w:val="0"/>
        <w:bidi w:val="0"/>
        <w:adjustRightInd/>
        <w:snapToGrid/>
        <w:spacing w:line="240" w:lineRule="auto"/>
        <w:ind w:left="0"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lang w:val="en-US" w:eastAsia="zh-CN"/>
        </w:rPr>
        <w:t>5.抓好信访基层基础，全力争创全国信访工作示范县。</w:t>
      </w:r>
      <w:r>
        <w:rPr>
          <w:rFonts w:hint="default" w:ascii="Times New Roman" w:hAnsi="Times New Roman" w:eastAsia="方正仿宋_GBK" w:cs="Times New Roman"/>
          <w:b/>
          <w:bCs/>
          <w:sz w:val="33"/>
          <w:szCs w:val="33"/>
        </w:rPr>
        <w:t>一是</w:t>
      </w:r>
      <w:r>
        <w:rPr>
          <w:rFonts w:hint="default" w:ascii="Times New Roman" w:hAnsi="Times New Roman" w:eastAsia="方正仿宋_GBK" w:cs="Times New Roman"/>
          <w:sz w:val="33"/>
          <w:szCs w:val="33"/>
        </w:rPr>
        <w:t>做实基层信访工作平台。推动乡镇（街道）全覆盖建立信访</w:t>
      </w:r>
      <w:r>
        <w:rPr>
          <w:rFonts w:hint="default" w:ascii="Times New Roman" w:hAnsi="Times New Roman" w:eastAsia="方正仿宋_GBK" w:cs="Times New Roman"/>
          <w:sz w:val="33"/>
          <w:szCs w:val="33"/>
          <w:lang w:eastAsia="zh-CN"/>
        </w:rPr>
        <w:t>工作</w:t>
      </w:r>
      <w:r>
        <w:rPr>
          <w:rFonts w:hint="default" w:ascii="Times New Roman" w:hAnsi="Times New Roman" w:eastAsia="方正仿宋_GBK" w:cs="Times New Roman"/>
          <w:sz w:val="33"/>
          <w:szCs w:val="33"/>
        </w:rPr>
        <w:t>联席会议制度，目前全区13个乡镇（街道）已全部成立信访工作联席会议制度；进一步完善人民调解组织参与信访问题化解的工作机制，</w:t>
      </w:r>
      <w:r>
        <w:rPr>
          <w:rFonts w:hint="default" w:ascii="Times New Roman" w:hAnsi="Times New Roman" w:eastAsia="方正仿宋_GBK" w:cs="Times New Roman"/>
          <w:color w:val="333333"/>
          <w:sz w:val="33"/>
          <w:szCs w:val="33"/>
        </w:rPr>
        <w:t>统筹基层社会治理资源力量参与化解矛盾纠纷，努力把各类矛盾化解在早、化解在小、化解在基层</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b/>
          <w:bCs/>
          <w:sz w:val="33"/>
          <w:szCs w:val="33"/>
        </w:rPr>
        <w:t>二是</w:t>
      </w:r>
      <w:r>
        <w:rPr>
          <w:rFonts w:hint="default" w:ascii="Times New Roman" w:hAnsi="Times New Roman" w:eastAsia="方正仿宋_GBK" w:cs="Times New Roman"/>
          <w:sz w:val="33"/>
          <w:szCs w:val="33"/>
        </w:rPr>
        <w:t>抓好网上信访工作。充分发挥四川省网上信访信息系统及区群众意见受理中心的便民服务功能优势，研究制定《关于进一步做好新时代网上信访工作的通知》，严格落实“马上办、限时办、盯着办”要求，坚持走好网上信访群众路线，着力提高网上信访事项办理水平。</w:t>
      </w:r>
      <w:bookmarkEnd w:id="52"/>
      <w:bookmarkStart w:id="53" w:name="_Hlk105773062"/>
      <w:r>
        <w:rPr>
          <w:rFonts w:hint="default" w:ascii="Times New Roman" w:hAnsi="Times New Roman" w:eastAsia="方正仿宋_GBK" w:cs="Times New Roman"/>
          <w:b/>
          <w:bCs/>
          <w:sz w:val="33"/>
          <w:szCs w:val="33"/>
        </w:rPr>
        <w:t>三是</w:t>
      </w:r>
      <w:r>
        <w:rPr>
          <w:rFonts w:hint="default" w:ascii="Times New Roman" w:hAnsi="Times New Roman" w:eastAsia="方正仿宋_GBK" w:cs="Times New Roman"/>
          <w:sz w:val="33"/>
          <w:szCs w:val="33"/>
        </w:rPr>
        <w:t>组织开展信访督查工作。着眼构建齐抓共管的工作格局，集中开展进京赴蓉到市越级访信访件和重复信访件督查督办工作，对各乡镇（街道）年度信访工作的进行督导调研全覆盖，及时掌握基层信访工作推进情况</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及时帮助化解突出信访问题。</w:t>
      </w:r>
    </w:p>
    <w:p w14:paraId="1FA28999">
      <w:pPr>
        <w:keepNext w:val="0"/>
        <w:keepLines w:val="0"/>
        <w:pageBreakBefore w:val="0"/>
        <w:kinsoku/>
        <w:wordWrap/>
        <w:overflowPunct/>
        <w:topLinePunct w:val="0"/>
        <w:bidi w:val="0"/>
        <w:adjustRightInd/>
        <w:snapToGrid/>
        <w:spacing w:line="240" w:lineRule="auto"/>
        <w:ind w:left="0" w:firstLine="663" w:firstLineChars="200"/>
        <w:textAlignment w:val="auto"/>
        <w:rPr>
          <w:rFonts w:hint="default" w:ascii="Times New Roman" w:hAnsi="Times New Roman" w:cs="Times New Roman"/>
          <w:lang w:val="zh-CN"/>
        </w:rPr>
      </w:pPr>
      <w:r>
        <w:rPr>
          <w:rFonts w:hint="default" w:ascii="Times New Roman" w:hAnsi="Times New Roman" w:eastAsia="方正仿宋_GBK" w:cs="Times New Roman"/>
          <w:b/>
          <w:sz w:val="33"/>
          <w:szCs w:val="33"/>
          <w:lang w:val="en-US" w:eastAsia="zh-CN"/>
        </w:rPr>
        <w:t>6.融入中心工作，全力服务辖区社会稳定大局。</w:t>
      </w:r>
      <w:r>
        <w:rPr>
          <w:rFonts w:hint="default" w:ascii="Times New Roman" w:hAnsi="Times New Roman" w:eastAsia="方正仿宋_GBK" w:cs="Times New Roman"/>
          <w:bCs/>
          <w:sz w:val="33"/>
          <w:szCs w:val="33"/>
        </w:rPr>
        <w:t>切实发挥信访工作服务经济社会发展的特殊作用，全面参</w:t>
      </w:r>
      <w:r>
        <w:rPr>
          <w:rFonts w:hint="default" w:ascii="Times New Roman" w:hAnsi="Times New Roman" w:eastAsia="方正仿宋_GBK" w:cs="Times New Roman"/>
          <w:sz w:val="33"/>
          <w:szCs w:val="33"/>
        </w:rPr>
        <w:t>与“项目攻坚突破年”等重点工作，及时</w:t>
      </w:r>
      <w:r>
        <w:rPr>
          <w:rFonts w:hint="default" w:ascii="Times New Roman" w:hAnsi="Times New Roman" w:eastAsia="方正仿宋_GBK" w:cs="Times New Roman"/>
          <w:bCs/>
          <w:sz w:val="33"/>
          <w:szCs w:val="33"/>
        </w:rPr>
        <w:t>化解发展中伴生的各类信访矛盾纠纷问题，助力全区高质量发展；主动配合参与新冠肺炎疫情防控、森林防灭火等工作，及时解决涉及森林防灭火、生态环境、乡村振兴等信访问题；继续推进依法治区工作，深入推进“平安仁和”建设暨市域社会治理现代化工作；</w:t>
      </w:r>
      <w:r>
        <w:rPr>
          <w:rFonts w:hint="default" w:ascii="Times New Roman" w:hAnsi="Times New Roman" w:eastAsia="方正仿宋_GBK" w:cs="Times New Roman"/>
          <w:sz w:val="33"/>
          <w:szCs w:val="33"/>
        </w:rPr>
        <w:t>严格执行区信联办《关于进一步规范信访群众到区委区政府办公场所非正常上访行为的通知》要求，</w:t>
      </w:r>
      <w:r>
        <w:rPr>
          <w:rFonts w:hint="default" w:ascii="Times New Roman" w:hAnsi="Times New Roman" w:eastAsia="方正仿宋_GBK" w:cs="Times New Roman"/>
          <w:bCs/>
          <w:sz w:val="33"/>
          <w:szCs w:val="33"/>
        </w:rPr>
        <w:t>依法规范信访秩序；配合抓好安全生产工作，为全区经济社会高质量发展贡献信访力量。</w:t>
      </w:r>
      <w:bookmarkEnd w:id="53"/>
    </w:p>
    <w:p w14:paraId="252F9F06">
      <w:pPr>
        <w:keepNext w:val="0"/>
        <w:keepLines w:val="0"/>
        <w:pageBreakBefore w:val="0"/>
        <w:widowControl/>
        <w:kinsoku/>
        <w:wordWrap/>
        <w:overflowPunct/>
        <w:topLinePunct w:val="0"/>
        <w:autoSpaceDE/>
        <w:autoSpaceDN/>
        <w:bidi w:val="0"/>
        <w:adjustRightInd/>
        <w:snapToGrid/>
        <w:spacing w:line="240" w:lineRule="auto"/>
        <w:ind w:left="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（四）部门整体支出绩效目标。</w:t>
      </w:r>
    </w:p>
    <w:p w14:paraId="55D64906">
      <w:pPr>
        <w:pStyle w:val="2"/>
        <w:keepNext w:val="0"/>
        <w:keepLines w:val="0"/>
        <w:pageBreakBefore w:val="0"/>
        <w:kinsoku/>
        <w:wordWrap/>
        <w:overflowPunct/>
        <w:topLinePunct w:val="0"/>
        <w:bidi w:val="0"/>
        <w:adjustRightInd/>
        <w:snapToGrid/>
        <w:spacing w:beforeLines="0" w:line="240" w:lineRule="auto"/>
        <w:ind w:left="0" w:firstLine="640" w:firstLineChars="200"/>
        <w:textAlignment w:val="auto"/>
        <w:rPr>
          <w:rFonts w:hint="default" w:ascii="Times New Roman" w:hAnsi="Times New Roman" w:cs="Times New Roman"/>
          <w:lang w:val="zh-CN"/>
        </w:rPr>
      </w:pPr>
      <w:r>
        <w:rPr>
          <w:rFonts w:hint="default" w:ascii="Times New Roman" w:hAnsi="Times New Roman" w:eastAsia="仿宋" w:cs="Times New Roman"/>
          <w:sz w:val="32"/>
          <w:szCs w:val="32"/>
          <w:lang w:val="zh-CN"/>
        </w:rPr>
        <w:t>仁和区信访工作以深入贯彻落实党的十九</w:t>
      </w:r>
      <w:r>
        <w:rPr>
          <w:rFonts w:hint="eastAsia" w:ascii="Times New Roman" w:eastAsia="仿宋" w:cs="Times New Roman"/>
          <w:sz w:val="32"/>
          <w:szCs w:val="32"/>
          <w:lang w:val="zh-CN"/>
        </w:rPr>
        <w:t>届</w:t>
      </w:r>
      <w:r>
        <w:rPr>
          <w:rFonts w:hint="default" w:ascii="Times New Roman" w:hAnsi="Times New Roman" w:eastAsia="仿宋" w:cs="Times New Roman"/>
          <w:sz w:val="32"/>
          <w:szCs w:val="32"/>
          <w:lang w:val="zh-CN"/>
        </w:rPr>
        <w:t>历次全会、党的二十大精神和中央、省、市信访工作会议精神，以习近平新时代中国特色社会主义思想为指导，认真贯彻落实习近平总书记关于加强和改进人民信访工作的重要思想，积极适应新时代我国社会主要矛盾的新变化，坚持以人民为中心、以社会治理创新为动力，以依法及时就地解决群众合理诉求为核心，以落实信访工作责任制为抓手，牢固树立“守土有责”、“第一要务求发展、第一责任保稳定”的思想，坚决打好重点领域、重点群体、重点问题、重点人员信访矛盾化解攻坚战，扎实推进集中治理重复信访、化解信访积案专项工作，持续夯实基层基础工作，坚持和发展“枫桥经验”，为仁和区经济社会发展和谐稳定做出贡献。</w:t>
      </w:r>
    </w:p>
    <w:p w14:paraId="3C809B81">
      <w:pPr>
        <w:keepNext w:val="0"/>
        <w:keepLines w:val="0"/>
        <w:pageBreakBefore w:val="0"/>
        <w:widowControl/>
        <w:kinsoku/>
        <w:wordWrap/>
        <w:overflowPunct/>
        <w:topLinePunct w:val="0"/>
        <w:autoSpaceDE/>
        <w:autoSpaceDN/>
        <w:bidi w:val="0"/>
        <w:adjustRightInd/>
        <w:snapToGrid/>
        <w:spacing w:line="240" w:lineRule="auto"/>
        <w:ind w:left="0" w:firstLine="640" w:firstLineChars="200"/>
        <w:contextualSpacing/>
        <w:jc w:val="left"/>
        <w:textAlignment w:val="auto"/>
        <w:rPr>
          <w:rFonts w:hint="default" w:ascii="Times New Roman" w:hAnsi="Times New Roman" w:eastAsia="黑体" w:cs="Times New Roman"/>
          <w:color w:val="auto"/>
          <w:kern w:val="0"/>
          <w:sz w:val="32"/>
          <w:szCs w:val="32"/>
          <w:highlight w:val="none"/>
          <w:shd w:val="clear" w:color="auto" w:fill="FFFFFF"/>
        </w:rPr>
      </w:pPr>
      <w:r>
        <w:rPr>
          <w:rFonts w:hint="default" w:ascii="Times New Roman" w:hAnsi="Times New Roman" w:eastAsia="黑体" w:cs="Times New Roman"/>
          <w:color w:val="auto"/>
          <w:kern w:val="0"/>
          <w:sz w:val="32"/>
          <w:szCs w:val="32"/>
          <w:highlight w:val="none"/>
          <w:shd w:val="clear" w:color="auto" w:fill="FFFFFF"/>
        </w:rPr>
        <w:t>二、</w:t>
      </w:r>
      <w:r>
        <w:rPr>
          <w:rFonts w:hint="default" w:ascii="Times New Roman" w:hAnsi="Times New Roman" w:eastAsia="黑体" w:cs="Times New Roman"/>
          <w:color w:val="auto"/>
          <w:kern w:val="0"/>
          <w:sz w:val="32"/>
          <w:szCs w:val="32"/>
          <w:highlight w:val="none"/>
          <w:shd w:val="clear" w:color="auto" w:fill="FFFFFF"/>
          <w:lang w:eastAsia="zh-CN"/>
        </w:rPr>
        <w:t>部门</w:t>
      </w:r>
      <w:r>
        <w:rPr>
          <w:rFonts w:hint="default" w:ascii="Times New Roman" w:hAnsi="Times New Roman" w:eastAsia="黑体" w:cs="Times New Roman"/>
          <w:color w:val="auto"/>
          <w:kern w:val="0"/>
          <w:sz w:val="32"/>
          <w:szCs w:val="32"/>
          <w:highlight w:val="none"/>
          <w:shd w:val="clear" w:color="auto" w:fill="FFFFFF"/>
        </w:rPr>
        <w:t>资金收支情况</w:t>
      </w:r>
    </w:p>
    <w:p w14:paraId="323C0805">
      <w:pPr>
        <w:keepNext w:val="0"/>
        <w:keepLines w:val="0"/>
        <w:pageBreakBefore w:val="0"/>
        <w:widowControl/>
        <w:kinsoku/>
        <w:wordWrap/>
        <w:overflowPunct/>
        <w:topLinePunct w:val="0"/>
        <w:autoSpaceDE/>
        <w:autoSpaceDN/>
        <w:bidi w:val="0"/>
        <w:adjustRightInd/>
        <w:snapToGrid/>
        <w:spacing w:line="240" w:lineRule="auto"/>
        <w:ind w:left="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（一）部门总体收支情况。</w:t>
      </w:r>
    </w:p>
    <w:p w14:paraId="3642C686">
      <w:pPr>
        <w:keepNext w:val="0"/>
        <w:keepLines w:val="0"/>
        <w:pageBreakBefore w:val="0"/>
        <w:widowControl/>
        <w:kinsoku/>
        <w:wordWrap/>
        <w:overflowPunct/>
        <w:topLinePunct w:val="0"/>
        <w:autoSpaceDE/>
        <w:autoSpaceDN/>
        <w:bidi w:val="0"/>
        <w:adjustRightInd/>
        <w:snapToGrid/>
        <w:spacing w:line="240" w:lineRule="auto"/>
        <w:ind w:left="0" w:firstLine="643" w:firstLineChars="200"/>
        <w:contextualSpacing/>
        <w:jc w:val="left"/>
        <w:textAlignment w:val="auto"/>
        <w:rPr>
          <w:rFonts w:hint="default" w:ascii="Times New Roman" w:hAnsi="Times New Roman" w:eastAsia="仿宋_GB2312" w:cs="Times New Roman"/>
          <w:b/>
          <w:bCs/>
          <w:color w:val="auto"/>
          <w:kern w:val="0"/>
          <w:sz w:val="32"/>
          <w:szCs w:val="32"/>
          <w:highlight w:val="none"/>
          <w:shd w:val="clear" w:color="auto" w:fill="FFFFFF"/>
          <w:lang w:val="en-US" w:eastAsia="zh-CN"/>
        </w:rPr>
      </w:pPr>
      <w:r>
        <w:rPr>
          <w:rFonts w:hint="default" w:ascii="Times New Roman" w:hAnsi="Times New Roman" w:eastAsia="仿宋_GB2312" w:cs="Times New Roman"/>
          <w:b/>
          <w:bCs/>
          <w:color w:val="auto"/>
          <w:kern w:val="0"/>
          <w:sz w:val="32"/>
          <w:szCs w:val="32"/>
          <w:highlight w:val="none"/>
          <w:shd w:val="clear" w:color="auto" w:fill="FFFFFF"/>
          <w:lang w:val="en-US" w:eastAsia="zh-CN"/>
        </w:rPr>
        <w:t>1.部门总体收入情况</w:t>
      </w:r>
    </w:p>
    <w:p w14:paraId="3E010881">
      <w:pPr>
        <w:keepNext w:val="0"/>
        <w:keepLines w:val="0"/>
        <w:pageBreakBefore w:val="0"/>
        <w:widowControl/>
        <w:kinsoku/>
        <w:wordWrap/>
        <w:overflowPunct/>
        <w:topLinePunct w:val="0"/>
        <w:bidi w:val="0"/>
        <w:adjustRightInd/>
        <w:snapToGrid/>
        <w:spacing w:line="240" w:lineRule="auto"/>
        <w:ind w:left="0" w:firstLine="640" w:firstLineChars="200"/>
        <w:contextualSpacing/>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eastAsia="zh-CN"/>
        </w:rPr>
        <w:t>仁和区信访局总体收入</w:t>
      </w:r>
      <w:r>
        <w:rPr>
          <w:rFonts w:hint="default" w:ascii="Times New Roman" w:hAnsi="Times New Roman" w:eastAsia="仿宋" w:cs="Times New Roman"/>
          <w:sz w:val="32"/>
          <w:szCs w:val="32"/>
          <w:lang w:val="en-US" w:eastAsia="zh-CN"/>
        </w:rPr>
        <w:t>309.33万元，其中：基本收入242.11万元，项目收入67.22万元。</w:t>
      </w:r>
    </w:p>
    <w:p w14:paraId="1F818E31">
      <w:pPr>
        <w:keepNext w:val="0"/>
        <w:keepLines w:val="0"/>
        <w:pageBreakBefore w:val="0"/>
        <w:widowControl/>
        <w:kinsoku/>
        <w:wordWrap/>
        <w:overflowPunct/>
        <w:topLinePunct w:val="0"/>
        <w:bidi w:val="0"/>
        <w:adjustRightInd/>
        <w:snapToGrid/>
        <w:spacing w:line="240" w:lineRule="auto"/>
        <w:ind w:left="0" w:firstLine="643" w:firstLineChars="200"/>
        <w:contextualSpacing/>
        <w:jc w:val="left"/>
        <w:textAlignment w:val="auto"/>
        <w:rPr>
          <w:rFonts w:hint="default" w:ascii="Times New Roman" w:hAnsi="Times New Roman" w:eastAsia="仿宋_GB2312" w:cs="Times New Roman"/>
          <w:b/>
          <w:bCs/>
          <w:color w:val="auto"/>
          <w:kern w:val="0"/>
          <w:sz w:val="32"/>
          <w:szCs w:val="32"/>
          <w:highlight w:val="none"/>
          <w:shd w:val="clear" w:color="auto" w:fill="FFFFFF"/>
          <w:lang w:val="en-US" w:eastAsia="zh-CN"/>
        </w:rPr>
      </w:pPr>
      <w:r>
        <w:rPr>
          <w:rFonts w:hint="default" w:ascii="Times New Roman" w:hAnsi="Times New Roman" w:eastAsia="仿宋_GB2312" w:cs="Times New Roman"/>
          <w:b/>
          <w:bCs/>
          <w:color w:val="auto"/>
          <w:kern w:val="0"/>
          <w:sz w:val="32"/>
          <w:szCs w:val="32"/>
          <w:highlight w:val="none"/>
          <w:shd w:val="clear" w:color="auto" w:fill="FFFFFF"/>
          <w:lang w:val="en-US" w:eastAsia="zh-CN"/>
        </w:rPr>
        <w:t>2.部门总体支出情况</w:t>
      </w:r>
    </w:p>
    <w:p w14:paraId="060A6DD4">
      <w:pPr>
        <w:keepNext w:val="0"/>
        <w:keepLines w:val="0"/>
        <w:pageBreakBefore w:val="0"/>
        <w:widowControl/>
        <w:kinsoku/>
        <w:wordWrap/>
        <w:overflowPunct/>
        <w:topLinePunct w:val="0"/>
        <w:bidi w:val="0"/>
        <w:adjustRightInd/>
        <w:snapToGrid/>
        <w:spacing w:line="240" w:lineRule="auto"/>
        <w:ind w:left="0" w:firstLine="640" w:firstLineChars="200"/>
        <w:contextualSpacing/>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eastAsia="zh-CN"/>
        </w:rPr>
        <w:t>仁和区信访局总体收入</w:t>
      </w:r>
      <w:r>
        <w:rPr>
          <w:rFonts w:hint="default" w:ascii="Times New Roman" w:hAnsi="Times New Roman" w:eastAsia="仿宋" w:cs="Times New Roman"/>
          <w:sz w:val="32"/>
          <w:szCs w:val="32"/>
          <w:lang w:val="en-US" w:eastAsia="zh-CN"/>
        </w:rPr>
        <w:t>309.33万元，其中：基本收入242.11万元，项目收入67.22万元。</w:t>
      </w:r>
    </w:p>
    <w:p w14:paraId="2741F58B">
      <w:pPr>
        <w:keepNext w:val="0"/>
        <w:keepLines w:val="0"/>
        <w:pageBreakBefore w:val="0"/>
        <w:widowControl/>
        <w:kinsoku/>
        <w:wordWrap/>
        <w:overflowPunct/>
        <w:topLinePunct w:val="0"/>
        <w:bidi w:val="0"/>
        <w:adjustRightInd/>
        <w:snapToGrid/>
        <w:spacing w:line="240" w:lineRule="auto"/>
        <w:ind w:left="0" w:firstLine="640" w:firstLineChars="200"/>
        <w:contextualSpacing/>
        <w:jc w:val="left"/>
        <w:textAlignment w:val="auto"/>
        <w:rPr>
          <w:rFonts w:hint="default" w:ascii="Times New Roman" w:hAnsi="Times New Roman" w:eastAsia="仿宋_GB2312" w:cs="Times New Roman"/>
          <w:b/>
          <w:bCs/>
          <w:color w:val="auto"/>
          <w:kern w:val="0"/>
          <w:sz w:val="32"/>
          <w:szCs w:val="32"/>
          <w:highlight w:val="none"/>
          <w:shd w:val="clear" w:color="auto" w:fill="FFFFFF"/>
          <w:lang w:val="en-US" w:eastAsia="zh-CN"/>
        </w:rPr>
      </w:pPr>
      <w:r>
        <w:rPr>
          <w:rFonts w:hint="default" w:ascii="Times New Roman" w:hAnsi="Times New Roman" w:eastAsia="仿宋" w:cs="Times New Roman"/>
          <w:sz w:val="32"/>
          <w:szCs w:val="32"/>
          <w:lang w:val="en-US" w:eastAsia="zh-CN"/>
        </w:rPr>
        <w:t>3.</w:t>
      </w:r>
      <w:r>
        <w:rPr>
          <w:rFonts w:hint="default" w:ascii="Times New Roman" w:hAnsi="Times New Roman" w:eastAsia="仿宋_GB2312" w:cs="Times New Roman"/>
          <w:b/>
          <w:bCs/>
          <w:color w:val="auto"/>
          <w:kern w:val="0"/>
          <w:sz w:val="32"/>
          <w:szCs w:val="32"/>
          <w:highlight w:val="none"/>
          <w:shd w:val="clear" w:color="auto" w:fill="FFFFFF"/>
          <w:lang w:val="en-US" w:eastAsia="zh-CN"/>
        </w:rPr>
        <w:t>部门总体结转结余情况</w:t>
      </w:r>
    </w:p>
    <w:p w14:paraId="66A9B4CB">
      <w:pPr>
        <w:pStyle w:val="2"/>
        <w:keepNext w:val="0"/>
        <w:keepLines w:val="0"/>
        <w:pageBreakBefore w:val="0"/>
        <w:numPr>
          <w:ilvl w:val="0"/>
          <w:numId w:val="0"/>
        </w:numPr>
        <w:kinsoku/>
        <w:wordWrap/>
        <w:overflowPunct/>
        <w:topLinePunct w:val="0"/>
        <w:bidi w:val="0"/>
        <w:adjustRightInd/>
        <w:snapToGrid/>
        <w:spacing w:beforeLines="0" w:line="240" w:lineRule="auto"/>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2022年年初仁和区信访局无结转结余情况。</w:t>
      </w:r>
    </w:p>
    <w:p w14:paraId="2FE8D9A2">
      <w:pPr>
        <w:keepNext w:val="0"/>
        <w:keepLines w:val="0"/>
        <w:pageBreakBefore w:val="0"/>
        <w:widowControl/>
        <w:kinsoku/>
        <w:wordWrap/>
        <w:overflowPunct/>
        <w:topLinePunct w:val="0"/>
        <w:autoSpaceDE/>
        <w:autoSpaceDN/>
        <w:bidi w:val="0"/>
        <w:adjustRightInd/>
        <w:snapToGrid/>
        <w:spacing w:line="240" w:lineRule="auto"/>
        <w:ind w:left="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（二）部门财政拨款收支情况。</w:t>
      </w:r>
    </w:p>
    <w:p w14:paraId="0C8F0CB6">
      <w:pPr>
        <w:keepNext w:val="0"/>
        <w:keepLines w:val="0"/>
        <w:pageBreakBefore w:val="0"/>
        <w:widowControl/>
        <w:kinsoku/>
        <w:wordWrap/>
        <w:overflowPunct/>
        <w:topLinePunct w:val="0"/>
        <w:autoSpaceDE/>
        <w:autoSpaceDN/>
        <w:bidi w:val="0"/>
        <w:adjustRightInd/>
        <w:snapToGrid/>
        <w:spacing w:line="240" w:lineRule="auto"/>
        <w:ind w:left="0" w:firstLine="643" w:firstLineChars="200"/>
        <w:contextualSpacing/>
        <w:jc w:val="left"/>
        <w:textAlignment w:val="auto"/>
        <w:rPr>
          <w:rFonts w:hint="default" w:ascii="Times New Roman" w:hAnsi="Times New Roman" w:eastAsia="仿宋_GB2312" w:cs="Times New Roman"/>
          <w:b/>
          <w:bCs/>
          <w:color w:val="auto"/>
          <w:kern w:val="0"/>
          <w:sz w:val="32"/>
          <w:szCs w:val="32"/>
          <w:highlight w:val="none"/>
          <w:shd w:val="clear" w:color="auto" w:fill="FFFFFF"/>
          <w:lang w:val="en-US" w:eastAsia="zh-CN"/>
        </w:rPr>
      </w:pPr>
      <w:r>
        <w:rPr>
          <w:rFonts w:hint="default" w:ascii="Times New Roman" w:hAnsi="Times New Roman" w:eastAsia="仿宋_GB2312" w:cs="Times New Roman"/>
          <w:b/>
          <w:bCs/>
          <w:color w:val="auto"/>
          <w:kern w:val="0"/>
          <w:sz w:val="32"/>
          <w:szCs w:val="32"/>
          <w:highlight w:val="none"/>
          <w:shd w:val="clear" w:color="auto" w:fill="FFFFFF"/>
          <w:lang w:val="en-US" w:eastAsia="zh-CN"/>
        </w:rPr>
        <w:t>1.部门财政拨款收入情况</w:t>
      </w:r>
    </w:p>
    <w:p w14:paraId="01683384">
      <w:pPr>
        <w:keepNext w:val="0"/>
        <w:keepLines w:val="0"/>
        <w:pageBreakBefore w:val="0"/>
        <w:widowControl/>
        <w:kinsoku/>
        <w:wordWrap/>
        <w:overflowPunct/>
        <w:topLinePunct w:val="0"/>
        <w:bidi w:val="0"/>
        <w:adjustRightInd/>
        <w:snapToGrid/>
        <w:spacing w:line="240" w:lineRule="auto"/>
        <w:ind w:left="0" w:firstLine="640" w:firstLineChars="200"/>
        <w:contextualSpacing/>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eastAsia="zh-CN"/>
        </w:rPr>
        <w:t>仁和区信访局财政拨款收入</w:t>
      </w:r>
      <w:r>
        <w:rPr>
          <w:rFonts w:hint="default" w:ascii="Times New Roman" w:hAnsi="Times New Roman" w:eastAsia="仿宋" w:cs="Times New Roman"/>
          <w:sz w:val="32"/>
          <w:szCs w:val="32"/>
          <w:lang w:val="en-US" w:eastAsia="zh-CN"/>
        </w:rPr>
        <w:t>309.33万元，其中：基本收入242.11万元，项目收入67.22万元。</w:t>
      </w:r>
    </w:p>
    <w:p w14:paraId="607A1C56">
      <w:pPr>
        <w:keepNext w:val="0"/>
        <w:keepLines w:val="0"/>
        <w:pageBreakBefore w:val="0"/>
        <w:widowControl/>
        <w:kinsoku/>
        <w:wordWrap/>
        <w:overflowPunct/>
        <w:topLinePunct w:val="0"/>
        <w:bidi w:val="0"/>
        <w:adjustRightInd/>
        <w:snapToGrid/>
        <w:spacing w:line="240" w:lineRule="auto"/>
        <w:ind w:left="0" w:firstLine="643" w:firstLineChars="200"/>
        <w:contextualSpacing/>
        <w:jc w:val="left"/>
        <w:textAlignment w:val="auto"/>
        <w:rPr>
          <w:rFonts w:hint="default" w:ascii="Times New Roman" w:hAnsi="Times New Roman" w:eastAsia="仿宋_GB2312" w:cs="Times New Roman"/>
          <w:b/>
          <w:bCs/>
          <w:color w:val="auto"/>
          <w:kern w:val="0"/>
          <w:sz w:val="32"/>
          <w:szCs w:val="32"/>
          <w:highlight w:val="none"/>
          <w:shd w:val="clear" w:color="auto" w:fill="FFFFFF"/>
          <w:lang w:val="en-US" w:eastAsia="zh-CN"/>
        </w:rPr>
      </w:pPr>
      <w:r>
        <w:rPr>
          <w:rFonts w:hint="default" w:ascii="Times New Roman" w:hAnsi="Times New Roman" w:eastAsia="仿宋" w:cs="Times New Roman"/>
          <w:b/>
          <w:bCs/>
          <w:sz w:val="32"/>
          <w:szCs w:val="32"/>
          <w:lang w:val="en-US" w:eastAsia="zh-CN"/>
        </w:rPr>
        <w:t>2.</w:t>
      </w:r>
      <w:r>
        <w:rPr>
          <w:rFonts w:hint="default" w:ascii="Times New Roman" w:hAnsi="Times New Roman" w:eastAsia="仿宋_GB2312" w:cs="Times New Roman"/>
          <w:b/>
          <w:bCs/>
          <w:color w:val="auto"/>
          <w:kern w:val="0"/>
          <w:sz w:val="32"/>
          <w:szCs w:val="32"/>
          <w:highlight w:val="none"/>
          <w:shd w:val="clear" w:color="auto" w:fill="FFFFFF"/>
          <w:lang w:val="en-US" w:eastAsia="zh-CN"/>
        </w:rPr>
        <w:t>部门财政拨款支出情况</w:t>
      </w:r>
    </w:p>
    <w:p w14:paraId="43A8A650">
      <w:pPr>
        <w:keepNext w:val="0"/>
        <w:keepLines w:val="0"/>
        <w:pageBreakBefore w:val="0"/>
        <w:widowControl/>
        <w:kinsoku/>
        <w:wordWrap/>
        <w:overflowPunct/>
        <w:topLinePunct w:val="0"/>
        <w:bidi w:val="0"/>
        <w:adjustRightInd/>
        <w:snapToGrid/>
        <w:spacing w:line="240" w:lineRule="auto"/>
        <w:ind w:left="0" w:firstLine="640" w:firstLineChars="200"/>
        <w:contextualSpacing/>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eastAsia="zh-CN"/>
        </w:rPr>
        <w:t>仁和区信访局财政拨款支出</w:t>
      </w:r>
      <w:r>
        <w:rPr>
          <w:rFonts w:hint="default" w:ascii="Times New Roman" w:hAnsi="Times New Roman" w:eastAsia="仿宋" w:cs="Times New Roman"/>
          <w:sz w:val="32"/>
          <w:szCs w:val="32"/>
          <w:lang w:val="en-US" w:eastAsia="zh-CN"/>
        </w:rPr>
        <w:t>309.33万元，其中：基本支出242.11万元，项目支出67.22万元。</w:t>
      </w:r>
    </w:p>
    <w:p w14:paraId="6E0AF80D">
      <w:pPr>
        <w:keepNext w:val="0"/>
        <w:keepLines w:val="0"/>
        <w:pageBreakBefore w:val="0"/>
        <w:widowControl/>
        <w:kinsoku/>
        <w:wordWrap/>
        <w:overflowPunct/>
        <w:topLinePunct w:val="0"/>
        <w:bidi w:val="0"/>
        <w:adjustRightInd/>
        <w:snapToGrid/>
        <w:spacing w:line="240" w:lineRule="auto"/>
        <w:ind w:left="0" w:firstLine="643" w:firstLineChars="200"/>
        <w:contextualSpacing/>
        <w:jc w:val="left"/>
        <w:textAlignment w:val="auto"/>
        <w:rPr>
          <w:rFonts w:hint="default" w:ascii="Times New Roman" w:hAnsi="Times New Roman" w:eastAsia="仿宋_GB2312" w:cs="Times New Roman"/>
          <w:b/>
          <w:bCs/>
          <w:color w:val="auto"/>
          <w:kern w:val="0"/>
          <w:sz w:val="32"/>
          <w:szCs w:val="32"/>
          <w:highlight w:val="none"/>
          <w:shd w:val="clear" w:color="auto" w:fill="FFFFFF"/>
          <w:lang w:val="en-US" w:eastAsia="zh-CN"/>
        </w:rPr>
      </w:pPr>
      <w:r>
        <w:rPr>
          <w:rFonts w:hint="default" w:ascii="Times New Roman" w:hAnsi="Times New Roman" w:eastAsia="仿宋" w:cs="Times New Roman"/>
          <w:b/>
          <w:bCs/>
          <w:sz w:val="32"/>
          <w:szCs w:val="32"/>
          <w:lang w:val="en-US" w:eastAsia="zh-CN"/>
        </w:rPr>
        <w:t>3.</w:t>
      </w:r>
      <w:r>
        <w:rPr>
          <w:rFonts w:hint="default" w:ascii="Times New Roman" w:hAnsi="Times New Roman" w:eastAsia="仿宋_GB2312" w:cs="Times New Roman"/>
          <w:b/>
          <w:bCs/>
          <w:color w:val="auto"/>
          <w:kern w:val="0"/>
          <w:sz w:val="32"/>
          <w:szCs w:val="32"/>
          <w:highlight w:val="none"/>
          <w:shd w:val="clear" w:color="auto" w:fill="FFFFFF"/>
          <w:lang w:val="en-US" w:eastAsia="zh-CN"/>
        </w:rPr>
        <w:t>部门财政拨款结转结余情况</w:t>
      </w:r>
    </w:p>
    <w:p w14:paraId="54AF97CE">
      <w:pPr>
        <w:pStyle w:val="2"/>
        <w:keepNext w:val="0"/>
        <w:keepLines w:val="0"/>
        <w:pageBreakBefore w:val="0"/>
        <w:numPr>
          <w:ilvl w:val="0"/>
          <w:numId w:val="0"/>
        </w:numPr>
        <w:kinsoku/>
        <w:wordWrap/>
        <w:overflowPunct/>
        <w:topLinePunct w:val="0"/>
        <w:bidi w:val="0"/>
        <w:adjustRightInd/>
        <w:snapToGrid/>
        <w:spacing w:beforeLines="0" w:line="240" w:lineRule="auto"/>
        <w:ind w:left="0" w:leftChars="0" w:firstLine="60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2022年年初仁和区信访局无财政拨款结转结余情况。</w:t>
      </w:r>
    </w:p>
    <w:p w14:paraId="3ACDCE62">
      <w:pPr>
        <w:keepNext w:val="0"/>
        <w:keepLines w:val="0"/>
        <w:pageBreakBefore w:val="0"/>
        <w:widowControl/>
        <w:kinsoku/>
        <w:wordWrap/>
        <w:overflowPunct/>
        <w:topLinePunct w:val="0"/>
        <w:autoSpaceDE/>
        <w:autoSpaceDN/>
        <w:bidi w:val="0"/>
        <w:adjustRightInd/>
        <w:snapToGrid/>
        <w:spacing w:line="240" w:lineRule="auto"/>
        <w:ind w:left="0" w:firstLine="640" w:firstLineChars="200"/>
        <w:contextualSpacing/>
        <w:jc w:val="left"/>
        <w:textAlignment w:val="auto"/>
        <w:rPr>
          <w:rFonts w:hint="default" w:ascii="Times New Roman" w:hAnsi="Times New Roman" w:eastAsia="黑体" w:cs="Times New Roman"/>
          <w:color w:val="auto"/>
          <w:kern w:val="0"/>
          <w:sz w:val="32"/>
          <w:szCs w:val="32"/>
          <w:highlight w:val="none"/>
          <w:shd w:val="clear" w:color="auto" w:fill="FFFFFF"/>
        </w:rPr>
      </w:pPr>
      <w:r>
        <w:rPr>
          <w:rFonts w:hint="default" w:ascii="Times New Roman" w:hAnsi="Times New Roman" w:eastAsia="黑体" w:cs="Times New Roman"/>
          <w:color w:val="auto"/>
          <w:kern w:val="0"/>
          <w:sz w:val="32"/>
          <w:szCs w:val="32"/>
          <w:highlight w:val="none"/>
          <w:shd w:val="clear" w:color="auto" w:fill="FFFFFF"/>
        </w:rPr>
        <w:t>三、</w:t>
      </w:r>
      <w:r>
        <w:rPr>
          <w:rFonts w:hint="default" w:ascii="Times New Roman" w:hAnsi="Times New Roman" w:eastAsia="黑体" w:cs="Times New Roman"/>
          <w:color w:val="auto"/>
          <w:kern w:val="0"/>
          <w:sz w:val="32"/>
          <w:szCs w:val="32"/>
          <w:highlight w:val="none"/>
          <w:u w:val="none"/>
          <w:shd w:val="clear" w:color="auto" w:fill="FFFFFF"/>
        </w:rPr>
        <w:t>部门整体绩效</w:t>
      </w:r>
      <w:r>
        <w:rPr>
          <w:rFonts w:hint="default" w:ascii="Times New Roman" w:hAnsi="Times New Roman" w:eastAsia="黑体" w:cs="Times New Roman"/>
          <w:color w:val="auto"/>
          <w:kern w:val="0"/>
          <w:sz w:val="32"/>
          <w:szCs w:val="32"/>
          <w:highlight w:val="none"/>
          <w:u w:val="none"/>
          <w:shd w:val="clear" w:color="auto" w:fill="FFFFFF"/>
          <w:lang w:eastAsia="zh-CN"/>
        </w:rPr>
        <w:t>分析</w:t>
      </w:r>
    </w:p>
    <w:p w14:paraId="2C32A158">
      <w:pPr>
        <w:keepNext w:val="0"/>
        <w:keepLines w:val="0"/>
        <w:pageBreakBefore w:val="0"/>
        <w:widowControl/>
        <w:kinsoku/>
        <w:wordWrap/>
        <w:overflowPunct/>
        <w:topLinePunct w:val="0"/>
        <w:autoSpaceDE/>
        <w:autoSpaceDN/>
        <w:bidi w:val="0"/>
        <w:adjustRightInd/>
        <w:snapToGrid/>
        <w:spacing w:line="240" w:lineRule="auto"/>
        <w:ind w:left="0" w:firstLine="643"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楷体_GB2312" w:cs="Times New Roman"/>
          <w:b/>
          <w:bCs/>
          <w:color w:val="auto"/>
          <w:kern w:val="0"/>
          <w:sz w:val="32"/>
          <w:szCs w:val="32"/>
          <w:highlight w:val="none"/>
          <w:shd w:val="clear" w:color="auto" w:fill="FFFFFF"/>
          <w:lang w:val="zh-CN"/>
        </w:rPr>
        <w:t>（一）部门预算项目绩效分析。</w:t>
      </w:r>
    </w:p>
    <w:p w14:paraId="6611EAEC">
      <w:pPr>
        <w:keepNext w:val="0"/>
        <w:keepLines w:val="0"/>
        <w:pageBreakBefore w:val="0"/>
        <w:widowControl/>
        <w:kinsoku/>
        <w:wordWrap/>
        <w:overflowPunct/>
        <w:topLinePunct w:val="0"/>
        <w:autoSpaceDE/>
        <w:autoSpaceDN/>
        <w:bidi w:val="0"/>
        <w:adjustRightInd/>
        <w:snapToGrid/>
        <w:spacing w:line="240" w:lineRule="auto"/>
        <w:ind w:lef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1.人员类项目绩效分析</w:t>
      </w:r>
    </w:p>
    <w:p w14:paraId="02792081">
      <w:pPr>
        <w:keepNext w:val="0"/>
        <w:keepLines w:val="0"/>
        <w:pageBreakBefore w:val="0"/>
        <w:widowControl/>
        <w:kinsoku/>
        <w:wordWrap/>
        <w:overflowPunct/>
        <w:topLinePunct w:val="0"/>
        <w:bidi w:val="0"/>
        <w:adjustRightInd/>
        <w:snapToGrid/>
        <w:spacing w:line="240" w:lineRule="auto"/>
        <w:ind w:left="0" w:firstLine="640" w:firstLineChars="200"/>
        <w:contextualSpacing/>
        <w:jc w:val="left"/>
        <w:textAlignment w:val="auto"/>
        <w:rPr>
          <w:rFonts w:hint="default" w:ascii="Times New Roman" w:hAnsi="Times New Roman" w:eastAsia="仿宋" w:cs="Times New Roman"/>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仿宋" w:cs="Times New Roman"/>
          <w:color w:val="000000" w:themeColor="text1"/>
          <w:kern w:val="0"/>
          <w:sz w:val="32"/>
          <w:szCs w:val="32"/>
          <w:shd w:val="clear" w:color="auto" w:fill="FFFFFF"/>
          <w:lang w:val="zh-CN"/>
          <w14:textFill>
            <w14:solidFill>
              <w14:schemeClr w14:val="tx1"/>
            </w14:solidFill>
          </w14:textFill>
        </w:rPr>
        <w:t>人员类经费年初预算</w:t>
      </w: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218.63</w:t>
      </w:r>
      <w:r>
        <w:rPr>
          <w:rFonts w:hint="default" w:ascii="Times New Roman" w:hAnsi="Times New Roman" w:eastAsia="仿宋" w:cs="Times New Roman"/>
          <w:color w:val="000000" w:themeColor="text1"/>
          <w:kern w:val="0"/>
          <w:sz w:val="32"/>
          <w:szCs w:val="32"/>
          <w:shd w:val="clear" w:color="auto" w:fill="FFFFFF"/>
          <w:lang w:val="zh-CN"/>
          <w14:textFill>
            <w14:solidFill>
              <w14:schemeClr w14:val="tx1"/>
            </w14:solidFill>
          </w14:textFill>
        </w:rPr>
        <w:t>万元，追加和调剂预算数</w:t>
      </w: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14.69</w:t>
      </w:r>
      <w:r>
        <w:rPr>
          <w:rFonts w:hint="default" w:ascii="Times New Roman" w:hAnsi="Times New Roman" w:eastAsia="仿宋" w:cs="Times New Roman"/>
          <w:color w:val="000000" w:themeColor="text1"/>
          <w:kern w:val="0"/>
          <w:sz w:val="32"/>
          <w:szCs w:val="32"/>
          <w:shd w:val="clear" w:color="auto" w:fill="FFFFFF"/>
          <w:lang w:val="zh-CN"/>
          <w14:textFill>
            <w14:solidFill>
              <w14:schemeClr w14:val="tx1"/>
            </w14:solidFill>
          </w14:textFill>
        </w:rPr>
        <w:t>万元，已执行</w:t>
      </w: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233.32</w:t>
      </w:r>
      <w:r>
        <w:rPr>
          <w:rFonts w:hint="default" w:ascii="Times New Roman" w:hAnsi="Times New Roman" w:eastAsia="仿宋" w:cs="Times New Roman"/>
          <w:color w:val="000000" w:themeColor="text1"/>
          <w:kern w:val="0"/>
          <w:sz w:val="32"/>
          <w:szCs w:val="32"/>
          <w:shd w:val="clear" w:color="auto" w:fill="FFFFFF"/>
          <w:lang w:val="zh-CN"/>
          <w14:textFill>
            <w14:solidFill>
              <w14:schemeClr w14:val="tx1"/>
            </w14:solidFill>
          </w14:textFill>
        </w:rPr>
        <w:t>万元，执行率100%。</w:t>
      </w:r>
    </w:p>
    <w:p w14:paraId="77023A40">
      <w:pPr>
        <w:keepNext w:val="0"/>
        <w:keepLines w:val="0"/>
        <w:pageBreakBefore w:val="0"/>
        <w:widowControl/>
        <w:kinsoku/>
        <w:wordWrap/>
        <w:overflowPunct/>
        <w:topLinePunct w:val="0"/>
        <w:autoSpaceDE/>
        <w:autoSpaceDN/>
        <w:bidi w:val="0"/>
        <w:adjustRightInd/>
        <w:snapToGrid/>
        <w:spacing w:line="240" w:lineRule="auto"/>
        <w:ind w:left="0" w:firstLine="640" w:firstLineChars="200"/>
        <w:contextualSpacing/>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2.运转类项目绩效分析</w:t>
      </w:r>
    </w:p>
    <w:p w14:paraId="48B44B01">
      <w:pPr>
        <w:keepNext w:val="0"/>
        <w:keepLines w:val="0"/>
        <w:pageBreakBefore w:val="0"/>
        <w:widowControl/>
        <w:kinsoku/>
        <w:wordWrap/>
        <w:overflowPunct/>
        <w:topLinePunct w:val="0"/>
        <w:bidi w:val="0"/>
        <w:adjustRightInd/>
        <w:snapToGrid/>
        <w:spacing w:line="240" w:lineRule="auto"/>
        <w:ind w:left="0" w:firstLine="640" w:firstLineChars="200"/>
        <w:contextualSpacing/>
        <w:jc w:val="left"/>
        <w:textAlignment w:val="auto"/>
        <w:rPr>
          <w:rFonts w:hint="default" w:ascii="Times New Roman" w:hAnsi="Times New Roman" w:eastAsia="仿宋"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 w:cs="Times New Roman"/>
          <w:color w:val="000000" w:themeColor="text1"/>
          <w:kern w:val="0"/>
          <w:sz w:val="32"/>
          <w:szCs w:val="32"/>
          <w:shd w:val="clear" w:color="auto" w:fill="FFFFFF"/>
          <w14:textFill>
            <w14:solidFill>
              <w14:schemeClr w14:val="tx1"/>
            </w14:solidFill>
          </w14:textFill>
        </w:rPr>
        <w:t>公用经费年初预算数</w:t>
      </w: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18.11</w:t>
      </w:r>
      <w:r>
        <w:rPr>
          <w:rFonts w:hint="default" w:ascii="Times New Roman" w:hAnsi="Times New Roman" w:eastAsia="仿宋" w:cs="Times New Roman"/>
          <w:color w:val="000000" w:themeColor="text1"/>
          <w:kern w:val="0"/>
          <w:sz w:val="32"/>
          <w:szCs w:val="32"/>
          <w:shd w:val="clear" w:color="auto" w:fill="FFFFFF"/>
          <w14:textFill>
            <w14:solidFill>
              <w14:schemeClr w14:val="tx1"/>
            </w14:solidFill>
          </w14:textFill>
        </w:rPr>
        <w:t>万元，已执行</w:t>
      </w: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8.79</w:t>
      </w:r>
      <w:r>
        <w:rPr>
          <w:rFonts w:hint="default" w:ascii="Times New Roman" w:hAnsi="Times New Roman" w:eastAsia="仿宋" w:cs="Times New Roman"/>
          <w:color w:val="000000" w:themeColor="text1"/>
          <w:kern w:val="0"/>
          <w:sz w:val="32"/>
          <w:szCs w:val="32"/>
          <w:shd w:val="clear" w:color="auto" w:fill="FFFFFF"/>
          <w14:textFill>
            <w14:solidFill>
              <w14:schemeClr w14:val="tx1"/>
            </w14:solidFill>
          </w14:textFill>
        </w:rPr>
        <w:t>万元，执行率</w:t>
      </w: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48.54</w:t>
      </w:r>
      <w:r>
        <w:rPr>
          <w:rFonts w:hint="default" w:ascii="Times New Roman" w:hAnsi="Times New Roman" w:eastAsia="仿宋" w:cs="Times New Roman"/>
          <w:color w:val="000000" w:themeColor="text1"/>
          <w:kern w:val="0"/>
          <w:sz w:val="32"/>
          <w:szCs w:val="32"/>
          <w:shd w:val="clear" w:color="auto" w:fill="FFFFFF"/>
          <w14:textFill>
            <w14:solidFill>
              <w14:schemeClr w14:val="tx1"/>
            </w14:solidFill>
          </w14:textFill>
        </w:rPr>
        <w:t>%，</w:t>
      </w:r>
      <w:r>
        <w:rPr>
          <w:rFonts w:hint="default" w:ascii="Times New Roman" w:hAnsi="Times New Roman" w:eastAsia="仿宋" w:cs="Times New Roman"/>
          <w:color w:val="000000" w:themeColor="text1"/>
          <w:kern w:val="0"/>
          <w:sz w:val="32"/>
          <w:szCs w:val="32"/>
          <w:shd w:val="clear" w:color="auto" w:fill="FFFFFF"/>
          <w:lang w:eastAsia="zh-CN"/>
          <w14:textFill>
            <w14:solidFill>
              <w14:schemeClr w14:val="tx1"/>
            </w14:solidFill>
          </w14:textFill>
        </w:rPr>
        <w:t>未执行完成是因为财政资金困难，无法完成支付</w:t>
      </w:r>
      <w:r>
        <w:rPr>
          <w:rFonts w:hint="default" w:ascii="Times New Roman" w:hAnsi="Times New Roman" w:eastAsia="仿宋" w:cs="Times New Roman"/>
          <w:color w:val="000000" w:themeColor="text1"/>
          <w:kern w:val="0"/>
          <w:sz w:val="32"/>
          <w:szCs w:val="32"/>
          <w:shd w:val="clear" w:color="auto" w:fill="FFFFFF"/>
          <w14:textFill>
            <w14:solidFill>
              <w14:schemeClr w14:val="tx1"/>
            </w14:solidFill>
          </w14:textFill>
        </w:rPr>
        <w:t>；其他运转类年初预算数</w:t>
      </w: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0</w:t>
      </w:r>
      <w:r>
        <w:rPr>
          <w:rFonts w:hint="default" w:ascii="Times New Roman" w:hAnsi="Times New Roman" w:eastAsia="仿宋" w:cs="Times New Roman"/>
          <w:color w:val="000000" w:themeColor="text1"/>
          <w:kern w:val="0"/>
          <w:sz w:val="32"/>
          <w:szCs w:val="32"/>
          <w:shd w:val="clear" w:color="auto" w:fill="FFFFFF"/>
          <w14:textFill>
            <w14:solidFill>
              <w14:schemeClr w14:val="tx1"/>
            </w14:solidFill>
          </w14:textFill>
        </w:rPr>
        <w:t>万元，已执行</w:t>
      </w: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0</w:t>
      </w:r>
      <w:r>
        <w:rPr>
          <w:rFonts w:hint="default" w:ascii="Times New Roman" w:hAnsi="Times New Roman" w:eastAsia="仿宋" w:cs="Times New Roman"/>
          <w:color w:val="000000" w:themeColor="text1"/>
          <w:kern w:val="0"/>
          <w:sz w:val="32"/>
          <w:szCs w:val="32"/>
          <w:shd w:val="clear" w:color="auto" w:fill="FFFFFF"/>
          <w14:textFill>
            <w14:solidFill>
              <w14:schemeClr w14:val="tx1"/>
            </w14:solidFill>
          </w14:textFill>
        </w:rPr>
        <w:t>万元。</w:t>
      </w:r>
    </w:p>
    <w:p w14:paraId="2B74F419">
      <w:pPr>
        <w:keepNext w:val="0"/>
        <w:keepLines w:val="0"/>
        <w:pageBreakBefore w:val="0"/>
        <w:widowControl/>
        <w:kinsoku/>
        <w:wordWrap/>
        <w:overflowPunct/>
        <w:topLinePunct w:val="0"/>
        <w:bidi w:val="0"/>
        <w:adjustRightInd/>
        <w:snapToGrid/>
        <w:spacing w:line="240" w:lineRule="auto"/>
        <w:ind w:lef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 w:cs="Times New Roman"/>
          <w:color w:val="000000" w:themeColor="text1"/>
          <w:kern w:val="0"/>
          <w:sz w:val="32"/>
          <w:szCs w:val="32"/>
          <w:shd w:val="clear" w:color="auto" w:fill="FFFFFF"/>
          <w:lang w:val="en-US" w:eastAsia="zh-CN"/>
          <w14:textFill>
            <w14:solidFill>
              <w14:schemeClr w14:val="tx1"/>
            </w14:solidFill>
          </w14:textFill>
        </w:rPr>
        <w:t>3.</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特定目标类项目绩效分析</w:t>
      </w:r>
    </w:p>
    <w:p w14:paraId="3CFF79DB">
      <w:pPr>
        <w:keepNext w:val="0"/>
        <w:keepLines w:val="0"/>
        <w:pageBreakBefore w:val="0"/>
        <w:kinsoku/>
        <w:wordWrap/>
        <w:overflowPunct/>
        <w:topLinePunct w:val="0"/>
        <w:autoSpaceDE w:val="0"/>
        <w:autoSpaceDN w:val="0"/>
        <w:bidi w:val="0"/>
        <w:adjustRightInd/>
        <w:snapToGrid/>
        <w:spacing w:line="240" w:lineRule="auto"/>
        <w:ind w:left="0" w:firstLine="640" w:firstLineChars="200"/>
        <w:jc w:val="left"/>
        <w:textAlignment w:val="auto"/>
        <w:rPr>
          <w:rFonts w:hint="default" w:ascii="Times New Roman" w:hAnsi="Times New Roman" w:eastAsia="方正仿宋_GBK" w:cs="Times New Roman"/>
          <w:sz w:val="33"/>
          <w:szCs w:val="33"/>
          <w:lang w:bidi="ar"/>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是保障202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年仁和区矛盾纠纷排查化解、维稳、信访、驻京驻蓉轮流值班、法律顾问、治重化积信访事项化解等工作正常开展。</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是完成202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年度仁和区疑难信访案件的化解</w:t>
      </w:r>
      <w:r>
        <w:rPr>
          <w:rFonts w:hint="default" w:ascii="Times New Roman" w:hAnsi="Times New Roman" w:eastAsia="仿宋" w:cs="Times New Roman"/>
          <w:sz w:val="32"/>
          <w:szCs w:val="32"/>
        </w:rPr>
        <w:t>及</w:t>
      </w:r>
      <w:r>
        <w:rPr>
          <w:rFonts w:hint="default" w:ascii="Times New Roman" w:hAnsi="Times New Roman" w:eastAsia="仿宋" w:cs="Times New Roman"/>
          <w:sz w:val="32"/>
          <w:szCs w:val="32"/>
          <w:lang w:eastAsia="zh-CN"/>
        </w:rPr>
        <w:t>党的二十大召开</w:t>
      </w:r>
      <w:r>
        <w:rPr>
          <w:rFonts w:hint="default" w:ascii="Times New Roman" w:hAnsi="Times New Roman" w:eastAsia="仿宋" w:cs="Times New Roman"/>
          <w:sz w:val="32"/>
          <w:szCs w:val="32"/>
        </w:rPr>
        <w:t>期间信访服务保障工作。</w:t>
      </w:r>
      <w:r>
        <w:rPr>
          <w:rFonts w:hint="default" w:ascii="Times New Roman" w:hAnsi="Times New Roman" w:eastAsia="仿宋" w:cs="Times New Roman"/>
          <w:sz w:val="32"/>
          <w:szCs w:val="32"/>
          <w:lang w:eastAsia="zh-CN"/>
        </w:rPr>
        <w:t>三</w:t>
      </w:r>
      <w:r>
        <w:rPr>
          <w:rFonts w:hint="default" w:ascii="Times New Roman" w:hAnsi="Times New Roman" w:eastAsia="仿宋" w:cs="Times New Roman"/>
          <w:sz w:val="32"/>
          <w:szCs w:val="32"/>
        </w:rPr>
        <w:t>是完成202</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w:t>
      </w:r>
      <w:r>
        <w:rPr>
          <w:rFonts w:hint="default" w:ascii="Times New Roman" w:hAnsi="Times New Roman" w:eastAsia="仿宋_GB2312" w:cs="Times New Roman"/>
          <w:sz w:val="32"/>
          <w:szCs w:val="32"/>
        </w:rPr>
        <w:t>仁和区群众意见受理中心工作正常开展。</w:t>
      </w:r>
      <w:r>
        <w:rPr>
          <w:rFonts w:hint="default" w:ascii="Times New Roman" w:hAnsi="Times New Roman" w:eastAsia="方正仿宋_GBK" w:cs="Times New Roman"/>
          <w:sz w:val="33"/>
          <w:szCs w:val="33"/>
          <w:lang w:bidi="ar"/>
        </w:rPr>
        <w:t>以上项目按进度均在202</w:t>
      </w:r>
      <w:r>
        <w:rPr>
          <w:rFonts w:hint="default" w:ascii="Times New Roman" w:hAnsi="Times New Roman" w:eastAsia="方正仿宋_GBK" w:cs="Times New Roman"/>
          <w:sz w:val="33"/>
          <w:szCs w:val="33"/>
          <w:lang w:val="en-US" w:eastAsia="zh-CN" w:bidi="ar"/>
        </w:rPr>
        <w:t>2</w:t>
      </w:r>
      <w:r>
        <w:rPr>
          <w:rFonts w:hint="default" w:ascii="Times New Roman" w:hAnsi="Times New Roman" w:eastAsia="方正仿宋_GBK" w:cs="Times New Roman"/>
          <w:sz w:val="33"/>
          <w:szCs w:val="33"/>
          <w:lang w:bidi="ar"/>
        </w:rPr>
        <w:t>年完成</w:t>
      </w:r>
      <w:r>
        <w:rPr>
          <w:rFonts w:hint="default" w:ascii="Times New Roman" w:hAnsi="Times New Roman" w:eastAsia="方正仿宋_GBK" w:cs="Times New Roman"/>
          <w:sz w:val="33"/>
          <w:szCs w:val="33"/>
          <w:lang w:eastAsia="zh-CN" w:bidi="ar"/>
        </w:rPr>
        <w:t>实施</w:t>
      </w:r>
      <w:r>
        <w:rPr>
          <w:rFonts w:hint="default" w:ascii="Times New Roman" w:hAnsi="Times New Roman" w:eastAsia="方正仿宋_GBK" w:cs="Times New Roman"/>
          <w:sz w:val="33"/>
          <w:szCs w:val="33"/>
          <w:lang w:bidi="ar"/>
        </w:rPr>
        <w:t>，年终项目实施进度100%，成本指标</w:t>
      </w:r>
      <w:r>
        <w:rPr>
          <w:rFonts w:hint="default" w:ascii="Times New Roman" w:hAnsi="Times New Roman" w:eastAsia="方正仿宋_GBK" w:cs="Times New Roman"/>
          <w:sz w:val="33"/>
          <w:szCs w:val="33"/>
          <w:lang w:val="en-US" w:eastAsia="zh-CN" w:bidi="ar"/>
        </w:rPr>
        <w:t>99.47</w:t>
      </w:r>
      <w:r>
        <w:rPr>
          <w:rFonts w:hint="default" w:ascii="Times New Roman" w:hAnsi="Times New Roman" w:eastAsia="方正仿宋_GBK" w:cs="Times New Roman"/>
          <w:sz w:val="33"/>
          <w:szCs w:val="33"/>
          <w:lang w:bidi="ar"/>
        </w:rPr>
        <w:t>万元，实际支出经费</w:t>
      </w:r>
      <w:r>
        <w:rPr>
          <w:rFonts w:hint="default" w:ascii="Times New Roman" w:hAnsi="Times New Roman" w:eastAsia="方正仿宋_GBK" w:cs="Times New Roman"/>
          <w:sz w:val="33"/>
          <w:szCs w:val="33"/>
          <w:lang w:val="en-US" w:eastAsia="zh-CN" w:bidi="ar"/>
        </w:rPr>
        <w:t>67.22</w:t>
      </w:r>
      <w:r>
        <w:rPr>
          <w:rFonts w:hint="default" w:ascii="Times New Roman" w:hAnsi="Times New Roman" w:eastAsia="方正仿宋_GBK" w:cs="Times New Roman"/>
          <w:sz w:val="33"/>
          <w:szCs w:val="33"/>
          <w:lang w:bidi="ar"/>
        </w:rPr>
        <w:t>万元</w:t>
      </w:r>
      <w:r>
        <w:rPr>
          <w:rFonts w:hint="default" w:ascii="Times New Roman" w:hAnsi="Times New Roman" w:eastAsia="方正仿宋_GBK" w:cs="Times New Roman"/>
          <w:sz w:val="33"/>
          <w:szCs w:val="33"/>
          <w:lang w:eastAsia="zh-CN" w:bidi="ar"/>
        </w:rPr>
        <w:t>，未完成支付原因是财政资金困难，无法按时完成支付</w:t>
      </w:r>
      <w:r>
        <w:rPr>
          <w:rFonts w:hint="default" w:ascii="Times New Roman" w:hAnsi="Times New Roman" w:eastAsia="方正仿宋_GBK" w:cs="Times New Roman"/>
          <w:sz w:val="33"/>
          <w:szCs w:val="33"/>
          <w:lang w:bidi="ar"/>
        </w:rPr>
        <w:t>。</w:t>
      </w:r>
    </w:p>
    <w:p w14:paraId="598ED3F0">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部门整体履职绩效分析。</w:t>
      </w:r>
    </w:p>
    <w:p w14:paraId="209614EC">
      <w:pPr>
        <w:keepNext w:val="0"/>
        <w:keepLines w:val="0"/>
        <w:pageBreakBefore w:val="0"/>
        <w:kinsoku/>
        <w:wordWrap/>
        <w:overflowPunct/>
        <w:topLinePunct w:val="0"/>
        <w:autoSpaceDE w:val="0"/>
        <w:autoSpaceDN w:val="0"/>
        <w:bidi w:val="0"/>
        <w:adjustRightInd/>
        <w:snapToGrid/>
        <w:spacing w:line="240" w:lineRule="auto"/>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产出指标完成情况分析。</w:t>
      </w:r>
      <w:bookmarkStart w:id="54" w:name="_Hlk102989190"/>
    </w:p>
    <w:p w14:paraId="3EB3C7E3">
      <w:pPr>
        <w:keepNext w:val="0"/>
        <w:keepLines w:val="0"/>
        <w:pageBreakBefore w:val="0"/>
        <w:kinsoku/>
        <w:wordWrap/>
        <w:overflowPunct/>
        <w:topLinePunct w:val="0"/>
        <w:autoSpaceDE w:val="0"/>
        <w:autoSpaceDN w:val="0"/>
        <w:bidi w:val="0"/>
        <w:adjustRightInd/>
        <w:snapToGrid/>
        <w:spacing w:line="240" w:lineRule="auto"/>
        <w:ind w:left="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在202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kern w:val="0"/>
          <w:sz w:val="32"/>
          <w:szCs w:val="32"/>
        </w:rPr>
        <w:t>维护仁和区的信访稳定，确保一方平安，促进地方经济发展</w:t>
      </w:r>
      <w:bookmarkEnd w:id="54"/>
      <w:r>
        <w:rPr>
          <w:rFonts w:hint="default" w:ascii="Times New Roman" w:hAnsi="Times New Roman" w:eastAsia="仿宋_GB2312" w:cs="Times New Roman"/>
          <w:kern w:val="0"/>
          <w:sz w:val="32"/>
          <w:szCs w:val="32"/>
        </w:rPr>
        <w:t>。</w:t>
      </w:r>
    </w:p>
    <w:p w14:paraId="2B887008">
      <w:pPr>
        <w:pStyle w:val="8"/>
        <w:keepNext w:val="0"/>
        <w:keepLines w:val="0"/>
        <w:pageBreakBefore w:val="0"/>
        <w:kinsoku/>
        <w:wordWrap/>
        <w:overflowPunct/>
        <w:topLinePunct w:val="0"/>
        <w:bidi w:val="0"/>
        <w:adjustRightInd/>
        <w:snapToGrid/>
        <w:spacing w:line="240" w:lineRule="auto"/>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效益指标完成情况分析。</w:t>
      </w:r>
    </w:p>
    <w:p w14:paraId="6A975577">
      <w:pPr>
        <w:pStyle w:val="8"/>
        <w:keepNext w:val="0"/>
        <w:keepLines w:val="0"/>
        <w:pageBreakBefore w:val="0"/>
        <w:kinsoku/>
        <w:wordWrap/>
        <w:overflowPunct/>
        <w:topLinePunct w:val="0"/>
        <w:bidi w:val="0"/>
        <w:adjustRightInd/>
        <w:snapToGrid/>
        <w:spacing w:line="240" w:lineRule="auto"/>
        <w:ind w:left="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在202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kern w:val="0"/>
          <w:sz w:val="32"/>
          <w:szCs w:val="32"/>
        </w:rPr>
        <w:t>维护仁和区的信访稳定，确保一方平安，促进地方经济发展</w:t>
      </w:r>
    </w:p>
    <w:p w14:paraId="5F0EF9EE">
      <w:pPr>
        <w:pStyle w:val="8"/>
        <w:keepNext w:val="0"/>
        <w:keepLines w:val="0"/>
        <w:pageBreakBefore w:val="0"/>
        <w:kinsoku/>
        <w:wordWrap/>
        <w:overflowPunct/>
        <w:topLinePunct w:val="0"/>
        <w:bidi w:val="0"/>
        <w:adjustRightInd/>
        <w:snapToGrid/>
        <w:spacing w:line="240" w:lineRule="auto"/>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满意度指标完成情况分析。</w:t>
      </w:r>
    </w:p>
    <w:p w14:paraId="29E5C267">
      <w:pPr>
        <w:pStyle w:val="8"/>
        <w:keepNext w:val="0"/>
        <w:keepLines w:val="0"/>
        <w:pageBreakBefore w:val="0"/>
        <w:kinsoku/>
        <w:wordWrap/>
        <w:overflowPunct/>
        <w:topLinePunct w:val="0"/>
        <w:bidi w:val="0"/>
        <w:adjustRightInd/>
        <w:snapToGrid/>
        <w:spacing w:line="240" w:lineRule="auto"/>
        <w:ind w:left="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及时办理群众来访、来信、网上信访受理、办理事项，及时化解群众诉求，群众满意度达到95%以上。</w:t>
      </w:r>
    </w:p>
    <w:p w14:paraId="05CD670E">
      <w:pPr>
        <w:pStyle w:val="8"/>
        <w:keepNext w:val="0"/>
        <w:keepLines w:val="0"/>
        <w:pageBreakBefore w:val="0"/>
        <w:kinsoku/>
        <w:wordWrap/>
        <w:overflowPunct/>
        <w:topLinePunct w:val="0"/>
        <w:bidi w:val="0"/>
        <w:adjustRightInd/>
        <w:snapToGrid/>
        <w:spacing w:line="240" w:lineRule="auto"/>
        <w:ind w:left="0" w:firstLine="640" w:firstLineChars="200"/>
        <w:jc w:val="left"/>
        <w:textAlignment w:val="auto"/>
        <w:rPr>
          <w:rFonts w:hint="default" w:ascii="Times New Roman" w:hAnsi="Times New Roman" w:eastAsia="仿宋" w:cs="Times New Roman"/>
          <w:kern w:val="0"/>
          <w:sz w:val="32"/>
          <w:szCs w:val="32"/>
          <w:lang w:val="zh-CN"/>
        </w:rPr>
      </w:pPr>
      <w:r>
        <w:rPr>
          <w:rFonts w:hint="default" w:ascii="Times New Roman" w:hAnsi="Times New Roman" w:eastAsia="仿宋" w:cs="Times New Roman"/>
          <w:kern w:val="0"/>
          <w:sz w:val="32"/>
          <w:szCs w:val="32"/>
          <w:lang w:val="en-US" w:eastAsia="zh-CN"/>
        </w:rPr>
        <w:t>仁和区信访局2022年财政资金支出控制在预算范围内，未超预算，资金处置及时，按财政要求进度进行执行。2022年年初预算数336.49万元，实际完成数309.33万元，未完成原因是2022年财政财力紧张，一些项目资金不能按时完成支付。无资金结余和无违规记录情况。</w:t>
      </w:r>
    </w:p>
    <w:p w14:paraId="6E0D509F">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结果应用情况。</w:t>
      </w:r>
    </w:p>
    <w:p w14:paraId="626F34BA">
      <w:pPr>
        <w:pStyle w:val="8"/>
        <w:keepNext w:val="0"/>
        <w:keepLines w:val="0"/>
        <w:pageBreakBefore w:val="0"/>
        <w:kinsoku/>
        <w:wordWrap/>
        <w:overflowPunct/>
        <w:topLinePunct w:val="0"/>
        <w:bidi w:val="0"/>
        <w:adjustRightInd/>
        <w:snapToGrid/>
        <w:spacing w:line="240" w:lineRule="auto"/>
        <w:ind w:left="0" w:firstLine="420" w:firstLineChars="200"/>
        <w:jc w:val="left"/>
        <w:textAlignment w:val="auto"/>
        <w:rPr>
          <w:rFonts w:hint="default" w:ascii="Times New Roman" w:hAnsi="Times New Roman" w:cs="Times New Roman"/>
          <w:lang w:val="zh-CN"/>
        </w:rPr>
      </w:pPr>
      <w:r>
        <w:rPr>
          <w:rFonts w:hint="default" w:ascii="Times New Roman" w:hAnsi="Times New Roman" w:cs="Times New Roman"/>
          <w:color w:val="000000"/>
          <w:kern w:val="0"/>
          <w:szCs w:val="32"/>
          <w:shd w:val="clear" w:color="auto" w:fill="FFFFFF"/>
          <w:lang w:val="en-US" w:eastAsia="zh-CN"/>
        </w:rPr>
        <w:t xml:space="preserve"> </w:t>
      </w:r>
      <w:r>
        <w:rPr>
          <w:rFonts w:hint="default" w:ascii="Times New Roman" w:hAnsi="Times New Roman" w:eastAsia="方正仿宋_GBK" w:cs="Times New Roman"/>
          <w:sz w:val="32"/>
          <w:szCs w:val="32"/>
        </w:rPr>
        <w:t>绩效自评结果将应用到平时的工作中，对工作起到监督作用。自评结果在仁和区人民政府政务信息网上进行公开。</w:t>
      </w:r>
      <w:r>
        <w:rPr>
          <w:rFonts w:hint="default" w:ascii="Times New Roman" w:hAnsi="Times New Roman" w:eastAsia="仿宋" w:cs="Times New Roman"/>
          <w:kern w:val="0"/>
          <w:sz w:val="32"/>
          <w:szCs w:val="32"/>
          <w:shd w:val="clear" w:color="auto" w:fill="FFFFFF"/>
        </w:rPr>
        <w:t>下一步，我局将按照相关规定，进一步规范预算管理及执行，加强对部门预算整体绩效评价和绩效运行监控</w:t>
      </w:r>
      <w:r>
        <w:rPr>
          <w:rFonts w:hint="default" w:ascii="Times New Roman" w:hAnsi="Times New Roman" w:eastAsia="仿宋" w:cs="Times New Roman"/>
          <w:kern w:val="0"/>
          <w:sz w:val="32"/>
          <w:szCs w:val="32"/>
          <w:shd w:val="clear" w:color="auto" w:fill="FFFFFF"/>
          <w:lang w:eastAsia="zh-CN"/>
        </w:rPr>
        <w:t>。</w:t>
      </w:r>
    </w:p>
    <w:p w14:paraId="2F3E710C">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自评质量。</w:t>
      </w:r>
    </w:p>
    <w:p w14:paraId="48C2EE86">
      <w:pPr>
        <w:keepNext w:val="0"/>
        <w:keepLines w:val="0"/>
        <w:pageBreakBefore w:val="0"/>
        <w:widowControl/>
        <w:kinsoku/>
        <w:wordWrap/>
        <w:overflowPunct/>
        <w:topLinePunct w:val="0"/>
        <w:bidi w:val="0"/>
        <w:adjustRightInd/>
        <w:snapToGrid/>
        <w:spacing w:line="240" w:lineRule="auto"/>
        <w:ind w:left="0" w:firstLine="420" w:firstLineChars="200"/>
        <w:contextualSpacing/>
        <w:jc w:val="left"/>
        <w:textAlignment w:val="auto"/>
        <w:rPr>
          <w:rFonts w:hint="default" w:ascii="Times New Roman" w:hAnsi="Times New Roman" w:eastAsia="仿宋"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lang w:val="en-US" w:eastAsia="zh-CN"/>
        </w:rPr>
        <w:t xml:space="preserve">  </w:t>
      </w:r>
      <w:r>
        <w:rPr>
          <w:rFonts w:hint="default" w:ascii="Times New Roman" w:hAnsi="Times New Roman" w:eastAsia="仿宋" w:cs="Times New Roman"/>
          <w:sz w:val="32"/>
          <w:szCs w:val="32"/>
          <w:lang w:eastAsia="zh-CN"/>
        </w:rPr>
        <w:t>仁和区信访局</w:t>
      </w:r>
      <w:r>
        <w:rPr>
          <w:rFonts w:hint="default" w:ascii="Times New Roman" w:hAnsi="Times New Roman" w:eastAsia="仿宋" w:cs="Times New Roman"/>
          <w:sz w:val="32"/>
          <w:szCs w:val="32"/>
        </w:rPr>
        <w:t>在开展本次部门整体支出绩效评价工作中，对全年资金执行情况进行全面梳理、核对。对照绩效评价指标体系逐项自评，自评准确度较高，资金数据和部门决算一致。</w:t>
      </w:r>
    </w:p>
    <w:p w14:paraId="0AD6F8B0">
      <w:pPr>
        <w:keepNext w:val="0"/>
        <w:keepLines w:val="0"/>
        <w:pageBreakBefore w:val="0"/>
        <w:widowControl/>
        <w:kinsoku/>
        <w:wordWrap/>
        <w:overflowPunct/>
        <w:topLinePunct w:val="0"/>
        <w:autoSpaceDE/>
        <w:autoSpaceDN/>
        <w:bidi w:val="0"/>
        <w:adjustRightInd/>
        <w:snapToGrid/>
        <w:spacing w:line="240" w:lineRule="auto"/>
        <w:ind w:left="0" w:firstLine="640" w:firstLineChars="200"/>
        <w:contextualSpacing/>
        <w:jc w:val="left"/>
        <w:textAlignment w:val="auto"/>
        <w:rPr>
          <w:rFonts w:hint="default" w:ascii="Times New Roman" w:hAnsi="Times New Roman" w:eastAsia="黑体" w:cs="Times New Roman"/>
          <w:color w:val="auto"/>
          <w:kern w:val="0"/>
          <w:sz w:val="32"/>
          <w:szCs w:val="32"/>
          <w:highlight w:val="none"/>
          <w:shd w:val="clear" w:color="auto" w:fill="FFFFFF"/>
        </w:rPr>
      </w:pPr>
      <w:r>
        <w:rPr>
          <w:rFonts w:hint="default" w:ascii="Times New Roman" w:hAnsi="Times New Roman" w:eastAsia="黑体" w:cs="Times New Roman"/>
          <w:color w:val="auto"/>
          <w:kern w:val="0"/>
          <w:sz w:val="32"/>
          <w:szCs w:val="32"/>
          <w:highlight w:val="none"/>
          <w:shd w:val="clear" w:color="auto" w:fill="FFFFFF"/>
        </w:rPr>
        <w:t>四、评价结论及建议</w:t>
      </w:r>
    </w:p>
    <w:p w14:paraId="07BF124B">
      <w:pPr>
        <w:keepNext w:val="0"/>
        <w:keepLines w:val="0"/>
        <w:pageBreakBefore w:val="0"/>
        <w:widowControl/>
        <w:kinsoku/>
        <w:wordWrap/>
        <w:overflowPunct/>
        <w:topLinePunct w:val="0"/>
        <w:autoSpaceDE/>
        <w:autoSpaceDN/>
        <w:bidi w:val="0"/>
        <w:adjustRightInd/>
        <w:snapToGrid/>
        <w:spacing w:line="240" w:lineRule="auto"/>
        <w:ind w:left="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（一）评价结论。</w:t>
      </w:r>
    </w:p>
    <w:p w14:paraId="1FE77539">
      <w:pPr>
        <w:keepNext w:val="0"/>
        <w:keepLines w:val="0"/>
        <w:pageBreakBefore w:val="0"/>
        <w:widowControl/>
        <w:kinsoku/>
        <w:wordWrap/>
        <w:overflowPunct/>
        <w:topLinePunct w:val="0"/>
        <w:autoSpaceDE/>
        <w:autoSpaceDN/>
        <w:bidi w:val="0"/>
        <w:adjustRightInd/>
        <w:snapToGrid/>
        <w:spacing w:line="240" w:lineRule="auto"/>
        <w:ind w:left="0" w:firstLine="640" w:firstLineChars="200"/>
        <w:contextualSpacing/>
        <w:jc w:val="left"/>
        <w:textAlignment w:val="auto"/>
        <w:rPr>
          <w:rFonts w:hint="default" w:ascii="Times New Roman" w:hAnsi="Times New Roman" w:eastAsia="仿宋" w:cs="Times New Roman"/>
          <w:color w:val="000000"/>
          <w:kern w:val="0"/>
          <w:sz w:val="32"/>
          <w:szCs w:val="32"/>
          <w:shd w:val="clear" w:color="auto" w:fill="FFFFFF"/>
          <w:lang w:val="en-US" w:eastAsia="zh-CN"/>
        </w:rPr>
      </w:pPr>
      <w:r>
        <w:rPr>
          <w:rFonts w:hint="default" w:ascii="Times New Roman" w:hAnsi="Times New Roman" w:eastAsia="仿宋" w:cs="Times New Roman"/>
          <w:color w:val="000000"/>
          <w:kern w:val="0"/>
          <w:sz w:val="32"/>
          <w:szCs w:val="32"/>
          <w:shd w:val="clear" w:color="auto" w:fill="FFFFFF"/>
          <w:lang w:val="en-US" w:eastAsia="zh-CN"/>
        </w:rPr>
        <w:t>结合项目自身特点、评价重点及管理办法等要求，围绕项目决策、项目管理、项目绩效三个方面对项目进行总体评价，完成了2022年全年工作计划。</w:t>
      </w:r>
    </w:p>
    <w:p w14:paraId="6499872A">
      <w:pPr>
        <w:keepNext w:val="0"/>
        <w:keepLines w:val="0"/>
        <w:pageBreakBefore w:val="0"/>
        <w:widowControl/>
        <w:kinsoku/>
        <w:wordWrap/>
        <w:overflowPunct/>
        <w:topLinePunct w:val="0"/>
        <w:autoSpaceDE/>
        <w:autoSpaceDN/>
        <w:bidi w:val="0"/>
        <w:adjustRightInd/>
        <w:snapToGrid/>
        <w:spacing w:line="240" w:lineRule="auto"/>
        <w:ind w:left="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en-US" w:eastAsia="zh-CN"/>
        </w:rPr>
        <w:t>（二）</w:t>
      </w:r>
      <w:r>
        <w:rPr>
          <w:rFonts w:hint="default" w:ascii="Times New Roman" w:hAnsi="Times New Roman" w:eastAsia="楷体_GB2312" w:cs="Times New Roman"/>
          <w:b/>
          <w:bCs/>
          <w:color w:val="auto"/>
          <w:kern w:val="0"/>
          <w:sz w:val="32"/>
          <w:szCs w:val="32"/>
          <w:highlight w:val="none"/>
          <w:shd w:val="clear" w:color="auto" w:fill="FFFFFF"/>
          <w:lang w:val="zh-CN"/>
        </w:rPr>
        <w:t>存在问题。</w:t>
      </w:r>
    </w:p>
    <w:p w14:paraId="281AA28D">
      <w:pPr>
        <w:keepNext w:val="0"/>
        <w:keepLines w:val="0"/>
        <w:pageBreakBefore w:val="0"/>
        <w:widowControl/>
        <w:numPr>
          <w:ilvl w:val="0"/>
          <w:numId w:val="0"/>
        </w:numPr>
        <w:kinsoku/>
        <w:wordWrap/>
        <w:overflowPunct/>
        <w:topLinePunct w:val="0"/>
        <w:bidi w:val="0"/>
        <w:adjustRightInd/>
        <w:snapToGrid/>
        <w:spacing w:line="240" w:lineRule="auto"/>
        <w:ind w:left="0" w:firstLine="640" w:firstLineChars="200"/>
        <w:contextualSpacing/>
        <w:jc w:val="left"/>
        <w:textAlignment w:val="auto"/>
        <w:rPr>
          <w:rFonts w:hint="default" w:ascii="Times New Roman" w:hAnsi="Times New Roman" w:eastAsia="仿宋" w:cs="Times New Roman"/>
          <w:color w:val="000000"/>
          <w:kern w:val="0"/>
          <w:sz w:val="32"/>
          <w:szCs w:val="32"/>
          <w:shd w:val="clear" w:color="auto" w:fill="FFFFFF"/>
          <w:lang w:val="en-US" w:eastAsia="zh-CN"/>
        </w:rPr>
      </w:pPr>
      <w:r>
        <w:rPr>
          <w:rFonts w:hint="default" w:ascii="Times New Roman" w:hAnsi="Times New Roman" w:eastAsia="仿宋" w:cs="Times New Roman"/>
          <w:color w:val="000000"/>
          <w:kern w:val="0"/>
          <w:sz w:val="32"/>
          <w:szCs w:val="32"/>
          <w:shd w:val="clear" w:color="auto" w:fill="FFFFFF"/>
          <w:lang w:val="en-US" w:eastAsia="zh-CN"/>
        </w:rPr>
        <w:t>2022年，仁和区信访局预算项目存在资金支付偏差，导致资金执行进度滞后。</w:t>
      </w:r>
    </w:p>
    <w:p w14:paraId="4A389E5C">
      <w:pPr>
        <w:keepNext w:val="0"/>
        <w:keepLines w:val="0"/>
        <w:pageBreakBefore w:val="0"/>
        <w:widowControl/>
        <w:numPr>
          <w:ilvl w:val="0"/>
          <w:numId w:val="0"/>
        </w:numPr>
        <w:kinsoku/>
        <w:wordWrap/>
        <w:overflowPunct/>
        <w:topLinePunct w:val="0"/>
        <w:bidi w:val="0"/>
        <w:adjustRightInd/>
        <w:snapToGrid/>
        <w:spacing w:line="240" w:lineRule="auto"/>
        <w:ind w:left="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en-US" w:eastAsia="zh-CN"/>
        </w:rPr>
        <w:t>（三）</w:t>
      </w:r>
      <w:r>
        <w:rPr>
          <w:rFonts w:hint="default" w:ascii="Times New Roman" w:hAnsi="Times New Roman" w:eastAsia="楷体_GB2312" w:cs="Times New Roman"/>
          <w:b/>
          <w:bCs/>
          <w:color w:val="auto"/>
          <w:kern w:val="0"/>
          <w:sz w:val="32"/>
          <w:szCs w:val="32"/>
          <w:highlight w:val="none"/>
          <w:shd w:val="clear" w:color="auto" w:fill="FFFFFF"/>
          <w:lang w:val="zh-CN"/>
        </w:rPr>
        <w:t>改进建议。</w:t>
      </w:r>
    </w:p>
    <w:p w14:paraId="7E69B797">
      <w:pPr>
        <w:keepNext w:val="0"/>
        <w:keepLines w:val="0"/>
        <w:pageBreakBefore w:val="0"/>
        <w:widowControl/>
        <w:numPr>
          <w:ilvl w:val="0"/>
          <w:numId w:val="0"/>
        </w:numPr>
        <w:kinsoku/>
        <w:wordWrap/>
        <w:overflowPunct/>
        <w:topLinePunct w:val="0"/>
        <w:bidi w:val="0"/>
        <w:adjustRightInd/>
        <w:snapToGrid/>
        <w:spacing w:line="240" w:lineRule="auto"/>
        <w:ind w:left="0" w:firstLine="640" w:firstLineChars="200"/>
        <w:contextualSpacing/>
        <w:jc w:val="left"/>
        <w:textAlignment w:val="auto"/>
        <w:rPr>
          <w:rFonts w:hint="default" w:ascii="Times New Roman" w:hAnsi="Times New Roman" w:eastAsia="仿宋" w:cs="Times New Roman"/>
          <w:color w:val="000000"/>
          <w:kern w:val="0"/>
          <w:sz w:val="32"/>
          <w:szCs w:val="32"/>
          <w:shd w:val="clear" w:color="auto" w:fill="FFFFFF"/>
          <w:lang w:val="en-US" w:eastAsia="zh-CN"/>
        </w:rPr>
      </w:pPr>
      <w:r>
        <w:rPr>
          <w:rFonts w:hint="default" w:ascii="Times New Roman" w:hAnsi="Times New Roman" w:eastAsia="仿宋" w:cs="Times New Roman"/>
          <w:color w:val="000000"/>
          <w:kern w:val="0"/>
          <w:sz w:val="32"/>
          <w:szCs w:val="32"/>
          <w:shd w:val="clear" w:color="auto" w:fill="FFFFFF"/>
          <w:lang w:val="zh-CN"/>
        </w:rPr>
        <w:t>加强与区财政局沟通协调，清理已实施未支付的</w:t>
      </w:r>
      <w:r>
        <w:rPr>
          <w:rFonts w:hint="default" w:ascii="Times New Roman" w:hAnsi="Times New Roman" w:eastAsia="仿宋" w:cs="Times New Roman"/>
          <w:color w:val="000000"/>
          <w:kern w:val="0"/>
          <w:sz w:val="32"/>
          <w:szCs w:val="32"/>
          <w:shd w:val="clear" w:color="auto" w:fill="FFFFFF"/>
          <w:lang w:val="en-US" w:eastAsia="zh-CN"/>
        </w:rPr>
        <w:t>2022年部门预算项目，</w:t>
      </w:r>
      <w:r>
        <w:rPr>
          <w:rFonts w:hint="default" w:ascii="Times New Roman" w:hAnsi="Times New Roman" w:eastAsia="仿宋" w:cs="Times New Roman"/>
          <w:color w:val="000000"/>
          <w:kern w:val="0"/>
          <w:sz w:val="32"/>
          <w:szCs w:val="32"/>
          <w:shd w:val="clear" w:color="auto" w:fill="FFFFFF"/>
          <w:lang w:val="zh-CN"/>
        </w:rPr>
        <w:t>积极协调资金完成支付，并继续开展</w:t>
      </w:r>
      <w:r>
        <w:rPr>
          <w:rFonts w:hint="default" w:ascii="Times New Roman" w:hAnsi="Times New Roman" w:eastAsia="仿宋" w:cs="Times New Roman"/>
          <w:color w:val="000000"/>
          <w:kern w:val="0"/>
          <w:sz w:val="32"/>
          <w:szCs w:val="32"/>
          <w:shd w:val="clear" w:color="auto" w:fill="FFFFFF"/>
          <w:lang w:val="en-US" w:eastAsia="zh-CN"/>
        </w:rPr>
        <w:t>2023年部门预算项目绩效监控，加强对项目序时进度执行评价，并及时纠偏。</w:t>
      </w:r>
    </w:p>
    <w:p w14:paraId="2A77F655">
      <w:pPr>
        <w:pStyle w:val="14"/>
        <w:keepNext w:val="0"/>
        <w:keepLines w:val="0"/>
        <w:pageBreakBefore w:val="0"/>
        <w:numPr>
          <w:ilvl w:val="0"/>
          <w:numId w:val="0"/>
        </w:numPr>
        <w:kinsoku/>
        <w:wordWrap/>
        <w:overflowPunct/>
        <w:topLinePunct w:val="0"/>
        <w:autoSpaceDE/>
        <w:autoSpaceDN/>
        <w:bidi w:val="0"/>
        <w:adjustRightInd/>
        <w:snapToGrid/>
        <w:spacing w:after="0" w:line="240" w:lineRule="auto"/>
        <w:ind w:left="0" w:firstLine="640" w:firstLineChars="200"/>
        <w:textAlignment w:val="auto"/>
        <w:rPr>
          <w:rFonts w:hint="default" w:ascii="Times New Roman" w:hAnsi="Times New Roman" w:eastAsia="仿宋_GB2312" w:cs="Times New Roman"/>
          <w:color w:val="auto"/>
          <w:sz w:val="32"/>
          <w:szCs w:val="32"/>
          <w:highlight w:val="none"/>
          <w:lang w:val="zh-CN" w:eastAsia="zh-CN"/>
        </w:rPr>
      </w:pPr>
      <w:r>
        <w:rPr>
          <w:rFonts w:hint="default" w:ascii="Times New Roman" w:hAnsi="Times New Roman" w:eastAsia="仿宋_GB2312" w:cs="Times New Roman"/>
          <w:color w:val="auto"/>
          <w:sz w:val="32"/>
          <w:szCs w:val="32"/>
          <w:highlight w:val="none"/>
          <w:lang w:val="zh-CN" w:eastAsia="zh-CN"/>
        </w:rPr>
        <w:t>附表：</w:t>
      </w:r>
      <w:r>
        <w:rPr>
          <w:rFonts w:hint="default" w:ascii="Times New Roman" w:hAnsi="Times New Roman" w:eastAsia="仿宋_GB2312" w:cs="Times New Roman"/>
          <w:color w:val="auto"/>
          <w:sz w:val="32"/>
          <w:szCs w:val="32"/>
          <w:highlight w:val="none"/>
          <w:lang w:val="en-US" w:eastAsia="zh-CN"/>
        </w:rPr>
        <w:t>部门预算项目支出绩效自评表（2022年度）</w:t>
      </w:r>
    </w:p>
    <w:p w14:paraId="6B94C4CB">
      <w:pPr>
        <w:pStyle w:val="2"/>
        <w:numPr>
          <w:ilvl w:val="0"/>
          <w:numId w:val="0"/>
        </w:numPr>
        <w:ind w:leftChars="200"/>
        <w:rPr>
          <w:rFonts w:hint="default" w:ascii="Times New Roman" w:hAnsi="Times New Roman" w:cs="Times New Roman"/>
          <w:lang w:val="zh-CN"/>
        </w:rPr>
      </w:pPr>
    </w:p>
    <w:p w14:paraId="69FD84CB">
      <w:pPr>
        <w:pStyle w:val="14"/>
        <w:keepNext w:val="0"/>
        <w:keepLines w:val="0"/>
        <w:pageBreakBefore w:val="0"/>
        <w:numPr>
          <w:ilvl w:val="0"/>
          <w:numId w:val="0"/>
        </w:numPr>
        <w:kinsoku/>
        <w:wordWrap/>
        <w:overflowPunct/>
        <w:topLinePunct w:val="0"/>
        <w:autoSpaceDE/>
        <w:autoSpaceDN/>
        <w:bidi w:val="0"/>
        <w:spacing w:line="560" w:lineRule="exact"/>
        <w:textAlignment w:val="auto"/>
        <w:rPr>
          <w:rFonts w:hint="default" w:ascii="Times New Roman" w:hAnsi="Times New Roman" w:cs="Times New Roman"/>
          <w:color w:val="auto"/>
          <w:sz w:val="32"/>
          <w:szCs w:val="32"/>
          <w:highlight w:val="none"/>
          <w:lang w:val="zh-CN" w:eastAsia="zh-CN"/>
        </w:rPr>
      </w:pPr>
    </w:p>
    <w:p w14:paraId="4E203C02">
      <w:pPr>
        <w:pStyle w:val="14"/>
        <w:keepNext w:val="0"/>
        <w:keepLines w:val="0"/>
        <w:pageBreakBefore w:val="0"/>
        <w:numPr>
          <w:ilvl w:val="0"/>
          <w:numId w:val="0"/>
        </w:numPr>
        <w:kinsoku/>
        <w:wordWrap/>
        <w:overflowPunct/>
        <w:topLinePunct w:val="0"/>
        <w:autoSpaceDE/>
        <w:autoSpaceDN/>
        <w:bidi w:val="0"/>
        <w:spacing w:line="560" w:lineRule="exact"/>
        <w:textAlignment w:val="auto"/>
        <w:rPr>
          <w:rFonts w:hint="default" w:ascii="Times New Roman" w:hAnsi="Times New Roman" w:cs="Times New Roman"/>
          <w:color w:val="auto"/>
          <w:sz w:val="32"/>
          <w:szCs w:val="32"/>
          <w:highlight w:val="none"/>
          <w:lang w:val="zh-CN" w:eastAsia="zh-CN"/>
        </w:rPr>
      </w:pPr>
    </w:p>
    <w:p w14:paraId="44FBFC47">
      <w:pPr>
        <w:pStyle w:val="14"/>
        <w:keepNext w:val="0"/>
        <w:keepLines w:val="0"/>
        <w:pageBreakBefore w:val="0"/>
        <w:numPr>
          <w:ilvl w:val="0"/>
          <w:numId w:val="0"/>
        </w:numPr>
        <w:kinsoku/>
        <w:wordWrap/>
        <w:overflowPunct/>
        <w:topLinePunct w:val="0"/>
        <w:autoSpaceDE/>
        <w:autoSpaceDN/>
        <w:bidi w:val="0"/>
        <w:spacing w:line="560" w:lineRule="exact"/>
        <w:textAlignment w:val="auto"/>
        <w:rPr>
          <w:rFonts w:hint="default" w:ascii="Times New Roman" w:hAnsi="Times New Roman" w:cs="Times New Roman"/>
          <w:color w:val="auto"/>
          <w:sz w:val="32"/>
          <w:szCs w:val="32"/>
          <w:highlight w:val="none"/>
          <w:lang w:val="zh-CN" w:eastAsia="zh-CN"/>
        </w:rPr>
      </w:pPr>
    </w:p>
    <w:p w14:paraId="79742C6E">
      <w:pPr>
        <w:pStyle w:val="14"/>
        <w:keepNext w:val="0"/>
        <w:keepLines w:val="0"/>
        <w:pageBreakBefore w:val="0"/>
        <w:numPr>
          <w:ilvl w:val="0"/>
          <w:numId w:val="0"/>
        </w:numPr>
        <w:kinsoku/>
        <w:wordWrap/>
        <w:overflowPunct/>
        <w:topLinePunct w:val="0"/>
        <w:autoSpaceDE/>
        <w:autoSpaceDN/>
        <w:bidi w:val="0"/>
        <w:spacing w:line="560" w:lineRule="exact"/>
        <w:textAlignment w:val="auto"/>
        <w:rPr>
          <w:rFonts w:hint="default" w:ascii="Times New Roman" w:hAnsi="Times New Roman" w:cs="Times New Roman"/>
          <w:color w:val="auto"/>
          <w:sz w:val="32"/>
          <w:szCs w:val="32"/>
          <w:highlight w:val="none"/>
          <w:lang w:val="zh-CN" w:eastAsia="zh-CN"/>
        </w:rPr>
      </w:pPr>
    </w:p>
    <w:p w14:paraId="7E2C5561">
      <w:pPr>
        <w:pStyle w:val="14"/>
        <w:keepNext w:val="0"/>
        <w:keepLines w:val="0"/>
        <w:pageBreakBefore w:val="0"/>
        <w:numPr>
          <w:ilvl w:val="0"/>
          <w:numId w:val="0"/>
        </w:numPr>
        <w:kinsoku/>
        <w:wordWrap/>
        <w:overflowPunct/>
        <w:topLinePunct w:val="0"/>
        <w:autoSpaceDE/>
        <w:autoSpaceDN/>
        <w:bidi w:val="0"/>
        <w:spacing w:line="560" w:lineRule="exact"/>
        <w:textAlignment w:val="auto"/>
        <w:rPr>
          <w:rFonts w:hint="default" w:ascii="Times New Roman" w:hAnsi="Times New Roman" w:cs="Times New Roman"/>
          <w:color w:val="auto"/>
          <w:sz w:val="32"/>
          <w:szCs w:val="32"/>
          <w:highlight w:val="none"/>
          <w:lang w:val="zh-CN" w:eastAsia="zh-CN"/>
        </w:rPr>
      </w:pPr>
    </w:p>
    <w:p w14:paraId="757FADA7">
      <w:pPr>
        <w:pStyle w:val="14"/>
        <w:keepNext w:val="0"/>
        <w:keepLines w:val="0"/>
        <w:pageBreakBefore w:val="0"/>
        <w:numPr>
          <w:ilvl w:val="0"/>
          <w:numId w:val="0"/>
        </w:numPr>
        <w:kinsoku/>
        <w:wordWrap/>
        <w:overflowPunct/>
        <w:topLinePunct w:val="0"/>
        <w:autoSpaceDE/>
        <w:autoSpaceDN/>
        <w:bidi w:val="0"/>
        <w:spacing w:line="560" w:lineRule="exact"/>
        <w:textAlignment w:val="auto"/>
        <w:rPr>
          <w:rFonts w:hint="default" w:ascii="Times New Roman" w:hAnsi="Times New Roman" w:cs="Times New Roman"/>
          <w:color w:val="auto"/>
          <w:sz w:val="32"/>
          <w:szCs w:val="32"/>
          <w:highlight w:val="none"/>
          <w:lang w:val="zh-CN" w:eastAsia="zh-CN"/>
        </w:rPr>
      </w:pPr>
    </w:p>
    <w:p w14:paraId="3E80388B">
      <w:pPr>
        <w:pStyle w:val="14"/>
        <w:keepNext w:val="0"/>
        <w:keepLines w:val="0"/>
        <w:pageBreakBefore w:val="0"/>
        <w:numPr>
          <w:ilvl w:val="0"/>
          <w:numId w:val="0"/>
        </w:numPr>
        <w:kinsoku/>
        <w:wordWrap/>
        <w:overflowPunct/>
        <w:topLinePunct w:val="0"/>
        <w:autoSpaceDE/>
        <w:autoSpaceDN/>
        <w:bidi w:val="0"/>
        <w:spacing w:line="560" w:lineRule="exact"/>
        <w:textAlignment w:val="auto"/>
        <w:rPr>
          <w:rFonts w:hint="default" w:ascii="Times New Roman" w:hAnsi="Times New Roman" w:cs="Times New Roman"/>
          <w:color w:val="auto"/>
          <w:sz w:val="32"/>
          <w:szCs w:val="32"/>
          <w:highlight w:val="none"/>
          <w:lang w:val="zh-CN" w:eastAsia="zh-CN"/>
        </w:rPr>
      </w:pPr>
    </w:p>
    <w:p w14:paraId="67526425">
      <w:pPr>
        <w:pStyle w:val="14"/>
        <w:keepNext w:val="0"/>
        <w:keepLines w:val="0"/>
        <w:pageBreakBefore w:val="0"/>
        <w:numPr>
          <w:ilvl w:val="0"/>
          <w:numId w:val="0"/>
        </w:numPr>
        <w:kinsoku/>
        <w:wordWrap/>
        <w:overflowPunct/>
        <w:topLinePunct w:val="0"/>
        <w:autoSpaceDE/>
        <w:autoSpaceDN/>
        <w:bidi w:val="0"/>
        <w:spacing w:line="560" w:lineRule="exact"/>
        <w:textAlignment w:val="auto"/>
        <w:rPr>
          <w:rFonts w:hint="default" w:ascii="Times New Roman" w:hAnsi="Times New Roman" w:cs="Times New Roman"/>
          <w:color w:val="auto"/>
          <w:sz w:val="32"/>
          <w:szCs w:val="32"/>
          <w:highlight w:val="none"/>
          <w:lang w:val="zh-CN" w:eastAsia="zh-CN"/>
        </w:rPr>
      </w:pPr>
    </w:p>
    <w:p w14:paraId="22E16E9E">
      <w:pPr>
        <w:pStyle w:val="14"/>
        <w:keepNext w:val="0"/>
        <w:keepLines w:val="0"/>
        <w:pageBreakBefore w:val="0"/>
        <w:numPr>
          <w:ilvl w:val="0"/>
          <w:numId w:val="0"/>
        </w:numPr>
        <w:kinsoku/>
        <w:wordWrap/>
        <w:overflowPunct/>
        <w:topLinePunct w:val="0"/>
        <w:autoSpaceDE/>
        <w:autoSpaceDN/>
        <w:bidi w:val="0"/>
        <w:spacing w:line="560" w:lineRule="exact"/>
        <w:textAlignment w:val="auto"/>
        <w:rPr>
          <w:rFonts w:hint="default" w:ascii="Times New Roman" w:hAnsi="Times New Roman" w:cs="Times New Roman"/>
          <w:color w:val="auto"/>
          <w:sz w:val="32"/>
          <w:szCs w:val="32"/>
          <w:highlight w:val="none"/>
          <w:lang w:val="zh-CN" w:eastAsia="zh-CN"/>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tbl>
      <w:tblPr>
        <w:tblStyle w:val="15"/>
        <w:tblW w:w="128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828"/>
        <w:gridCol w:w="1584"/>
        <w:gridCol w:w="2025"/>
        <w:gridCol w:w="468"/>
        <w:gridCol w:w="1498"/>
        <w:gridCol w:w="468"/>
        <w:gridCol w:w="980"/>
        <w:gridCol w:w="531"/>
        <w:gridCol w:w="564"/>
        <w:gridCol w:w="2279"/>
      </w:tblGrid>
      <w:tr w14:paraId="58B0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8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F2D9C0A">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14:paraId="70861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591C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10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CAA380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51041121Y000000068012-基本公用经费定额（行政）</w:t>
            </w:r>
          </w:p>
        </w:tc>
      </w:tr>
      <w:tr w14:paraId="0A06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9488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D3C9E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攀枝花市仁和区信访局部门</w:t>
            </w:r>
          </w:p>
        </w:tc>
        <w:tc>
          <w:tcPr>
            <w:tcW w:w="982" w:type="dxa"/>
            <w:tcBorders>
              <w:top w:val="nil"/>
              <w:left w:val="nil"/>
              <w:bottom w:val="nil"/>
              <w:right w:val="nil"/>
            </w:tcBorders>
            <w:shd w:val="clear" w:color="auto" w:fill="auto"/>
            <w:vAlign w:val="center"/>
          </w:tcPr>
          <w:p w14:paraId="5991A8A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78A3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攀枝花市仁和区信访局</w:t>
            </w:r>
          </w:p>
        </w:tc>
      </w:tr>
      <w:tr w14:paraId="38454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80F3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20D6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F33F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20D7E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738CC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81E7C">
            <w:pP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6A08F">
            <w:pPr>
              <w:rPr>
                <w:rFonts w:hint="default" w:ascii="Times New Roman" w:hAnsi="Times New Roman" w:eastAsia="宋体" w:cs="Times New Roman"/>
                <w:i w:val="0"/>
                <w:iCs w:val="0"/>
                <w:color w:val="000000"/>
                <w:sz w:val="18"/>
                <w:szCs w:val="18"/>
                <w:u w:val="none"/>
              </w:rPr>
            </w:pP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9B570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保障单位日常运转，提高预算编制质量，严格执行预算</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AAFB2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2022年未完成年度目标</w:t>
            </w:r>
          </w:p>
        </w:tc>
      </w:tr>
      <w:tr w14:paraId="5CB0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559FE">
            <w:pP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735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10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FB1F5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保障单位日常运转，因财政资金紧张，执行情况良好。</w:t>
            </w:r>
          </w:p>
        </w:tc>
      </w:tr>
      <w:tr w14:paraId="759A3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6E1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06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71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6D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5439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20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76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CE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1B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1E2D1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90C28">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46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C7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6.87</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04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6.64</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FCE9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4E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78.11%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37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C2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2D82B">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default" w:ascii="Times New Roman" w:hAnsi="Times New Roman" w:eastAsia="黑体" w:cs="Times New Roman"/>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165E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FB6B0">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66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E9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6.87</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9F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6.64</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644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82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78.11%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23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58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39829">
            <w:pPr>
              <w:rPr>
                <w:rFonts w:hint="default" w:ascii="Times New Roman" w:hAnsi="Times New Roman" w:eastAsia="黑体" w:cs="Times New Roman"/>
                <w:i/>
                <w:iCs/>
                <w:color w:val="000000"/>
                <w:sz w:val="18"/>
                <w:szCs w:val="18"/>
                <w:u w:val="none"/>
              </w:rPr>
            </w:pPr>
          </w:p>
        </w:tc>
      </w:tr>
      <w:tr w14:paraId="6CE84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0F4A8">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51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79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CE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6E06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31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DA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9F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3AF30">
            <w:pPr>
              <w:rPr>
                <w:rFonts w:hint="default" w:ascii="Times New Roman" w:hAnsi="Times New Roman" w:eastAsia="黑体" w:cs="Times New Roman"/>
                <w:i/>
                <w:iCs/>
                <w:color w:val="000000"/>
                <w:sz w:val="18"/>
                <w:szCs w:val="18"/>
                <w:u w:val="none"/>
              </w:rPr>
            </w:pPr>
          </w:p>
        </w:tc>
      </w:tr>
      <w:tr w14:paraId="36707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F5208">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AE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D3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FC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CE0B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48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52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40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83F95">
            <w:pPr>
              <w:rPr>
                <w:rFonts w:hint="default" w:ascii="Times New Roman" w:hAnsi="Times New Roman" w:eastAsia="黑体" w:cs="Times New Roman"/>
                <w:i/>
                <w:iCs/>
                <w:color w:val="000000"/>
                <w:sz w:val="18"/>
                <w:szCs w:val="18"/>
                <w:u w:val="none"/>
              </w:rPr>
            </w:pPr>
          </w:p>
        </w:tc>
      </w:tr>
      <w:tr w14:paraId="21D5B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5EF81">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04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6BB1">
            <w:pPr>
              <w:jc w:val="center"/>
              <w:rPr>
                <w:rFonts w:hint="default" w:ascii="Times New Roman" w:hAnsi="Times New Roman" w:eastAsia="微软雅黑" w:cs="Times New Roman"/>
                <w:i/>
                <w:iCs/>
                <w:color w:val="000000"/>
                <w:sz w:val="16"/>
                <w:szCs w:val="16"/>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D164">
            <w:pPr>
              <w:jc w:val="center"/>
              <w:rPr>
                <w:rFonts w:hint="default" w:ascii="Times New Roman" w:hAnsi="Times New Roman" w:eastAsia="微软雅黑" w:cs="Times New Roman"/>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FEF99">
            <w:pPr>
              <w:jc w:val="center"/>
              <w:rPr>
                <w:rFonts w:hint="default" w:ascii="Times New Roman" w:hAnsi="Times New Roman" w:eastAsia="微软雅黑" w:cs="Times New Roman"/>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A228">
            <w:pPr>
              <w:jc w:val="center"/>
              <w:rPr>
                <w:rFonts w:hint="default" w:ascii="Times New Roman" w:hAnsi="Times New Roman" w:eastAsia="微软雅黑" w:cs="Times New Roman"/>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D7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43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958A5">
            <w:pPr>
              <w:rPr>
                <w:rFonts w:hint="default" w:ascii="Times New Roman" w:hAnsi="Times New Roman" w:eastAsia="黑体" w:cs="Times New Roman"/>
                <w:i/>
                <w:iCs/>
                <w:color w:val="000000"/>
                <w:sz w:val="18"/>
                <w:szCs w:val="18"/>
                <w:u w:val="none"/>
              </w:rPr>
            </w:pPr>
          </w:p>
        </w:tc>
      </w:tr>
      <w:tr w14:paraId="2A49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FEC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B6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39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9F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36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E0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EA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F8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45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34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8D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040F7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37394">
            <w:pPr>
              <w:jc w:val="center"/>
              <w:rPr>
                <w:rFonts w:hint="default" w:ascii="Times New Roman" w:hAnsi="Times New Roman" w:eastAsia="宋体" w:cs="Times New Roman"/>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644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B5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DE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科目调整次数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F2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6E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55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9559">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8F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4E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EB5D">
            <w:pPr>
              <w:jc w:val="center"/>
              <w:rPr>
                <w:rFonts w:hint="default" w:ascii="Times New Roman" w:hAnsi="Times New Roman" w:eastAsia="微软雅黑" w:cs="Times New Roman"/>
                <w:i/>
                <w:iCs/>
                <w:color w:val="000000"/>
                <w:sz w:val="16"/>
                <w:szCs w:val="16"/>
                <w:u w:val="none"/>
              </w:rPr>
            </w:pPr>
          </w:p>
        </w:tc>
      </w:tr>
      <w:tr w14:paraId="36CA1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107B6">
            <w:pPr>
              <w:jc w:val="cente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FAF7B">
            <w:pPr>
              <w:jc w:val="center"/>
              <w:rPr>
                <w:rFonts w:hint="default" w:ascii="Times New Roman" w:hAnsi="Times New Roman" w:eastAsia="宋体" w:cs="Times New Roman"/>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07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D5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预算编制准确率（计算方法为：∣（执行数-预算数）/预算数∣）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F4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B6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07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4E01">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45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5B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FAAB">
            <w:pPr>
              <w:jc w:val="center"/>
              <w:rPr>
                <w:rFonts w:hint="default" w:ascii="Times New Roman" w:hAnsi="Times New Roman" w:eastAsia="微软雅黑" w:cs="Times New Roman"/>
                <w:i/>
                <w:iCs/>
                <w:color w:val="000000"/>
                <w:sz w:val="16"/>
                <w:szCs w:val="16"/>
                <w:u w:val="none"/>
              </w:rPr>
            </w:pPr>
          </w:p>
        </w:tc>
      </w:tr>
      <w:tr w14:paraId="2463B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12383">
            <w:pPr>
              <w:jc w:val="center"/>
              <w:rPr>
                <w:rFonts w:hint="default" w:ascii="Times New Roman" w:hAnsi="Times New Roman" w:eastAsia="宋体" w:cs="Times New Roman"/>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2BA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16F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46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“三公”经费控制率[计算方法为：（</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三公</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经费实际支出数/预算安排数]×100%）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7B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9B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E9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0765">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FC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0A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6BD4">
            <w:pPr>
              <w:jc w:val="center"/>
              <w:rPr>
                <w:rFonts w:hint="default" w:ascii="Times New Roman" w:hAnsi="Times New Roman" w:eastAsia="微软雅黑" w:cs="Times New Roman"/>
                <w:i/>
                <w:iCs/>
                <w:color w:val="000000"/>
                <w:sz w:val="16"/>
                <w:szCs w:val="16"/>
                <w:u w:val="none"/>
              </w:rPr>
            </w:pPr>
          </w:p>
        </w:tc>
      </w:tr>
      <w:tr w14:paraId="3C90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06053">
            <w:pPr>
              <w:jc w:val="cente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78B22">
            <w:pPr>
              <w:jc w:val="center"/>
              <w:rPr>
                <w:rFonts w:hint="default" w:ascii="Times New Roman" w:hAnsi="Times New Roman" w:eastAsia="宋体" w:cs="Times New Roman"/>
                <w:i w:val="0"/>
                <w:iCs w:val="0"/>
                <w:color w:val="000000"/>
                <w:sz w:val="18"/>
                <w:szCs w:val="18"/>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F7649">
            <w:pPr>
              <w:jc w:val="center"/>
              <w:rPr>
                <w:rFonts w:hint="default" w:ascii="Times New Roman" w:hAnsi="Times New Roman" w:eastAsia="宋体" w:cs="Times New Roman"/>
                <w:i w:val="0"/>
                <w:iCs w:val="0"/>
                <w:color w:val="000000"/>
                <w:sz w:val="18"/>
                <w:szCs w:val="18"/>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94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运转保障率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42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4D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88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333C">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90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F9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2F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D12D">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财政资金困难</w:t>
            </w:r>
          </w:p>
        </w:tc>
      </w:tr>
      <w:tr w14:paraId="17AFA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5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30E1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9A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385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8508">
            <w:pPr>
              <w:rPr>
                <w:rFonts w:hint="default" w:ascii="Times New Roman" w:hAnsi="Times New Roman" w:eastAsia="宋体" w:cs="Times New Roman"/>
                <w:i w:val="0"/>
                <w:iCs w:val="0"/>
                <w:color w:val="000000"/>
                <w:sz w:val="18"/>
                <w:szCs w:val="18"/>
                <w:u w:val="none"/>
              </w:rPr>
            </w:pPr>
          </w:p>
        </w:tc>
      </w:tr>
      <w:tr w14:paraId="4883D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A6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D79722">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本项目2022年度预算执行情况及绩效评价良好，因受年度财政资金等不可控因素影响，预算执行灵敏还未能全部达到年初预算数。</w:t>
            </w:r>
          </w:p>
        </w:tc>
      </w:tr>
      <w:tr w14:paraId="322A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F0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81F7FA">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财政资金紧张，预算执行无法全部到位。</w:t>
            </w:r>
          </w:p>
        </w:tc>
      </w:tr>
      <w:tr w14:paraId="62B4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7C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FDC895">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积极与财政沟通协调，争取保运转资金，统筹开支。</w:t>
            </w:r>
          </w:p>
        </w:tc>
      </w:tr>
      <w:tr w14:paraId="1635A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471B4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c>
          <w:tcPr>
            <w:tcW w:w="6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EAE66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r>
      <w:tr w14:paraId="5AE24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435ABC0F">
            <w:pPr>
              <w:rPr>
                <w:rFonts w:hint="default" w:ascii="Times New Roman" w:hAnsi="Times New Roman" w:eastAsia="宋体" w:cs="Times New Roman"/>
                <w:i w:val="0"/>
                <w:iCs w:val="0"/>
                <w:color w:val="000000"/>
                <w:sz w:val="18"/>
                <w:szCs w:val="18"/>
                <w:u w:val="none"/>
              </w:rPr>
            </w:pPr>
          </w:p>
        </w:tc>
        <w:tc>
          <w:tcPr>
            <w:tcW w:w="1847" w:type="dxa"/>
            <w:tcBorders>
              <w:top w:val="nil"/>
              <w:left w:val="nil"/>
              <w:bottom w:val="nil"/>
              <w:right w:val="nil"/>
            </w:tcBorders>
            <w:shd w:val="clear" w:color="auto" w:fill="auto"/>
            <w:vAlign w:val="center"/>
          </w:tcPr>
          <w:p w14:paraId="415C4976">
            <w:pPr>
              <w:rPr>
                <w:rFonts w:hint="default" w:ascii="Times New Roman" w:hAnsi="Times New Roman" w:eastAsia="宋体" w:cs="Times New Roman"/>
                <w:i w:val="0"/>
                <w:iCs w:val="0"/>
                <w:color w:val="000000"/>
                <w:sz w:val="18"/>
                <w:szCs w:val="18"/>
                <w:u w:val="none"/>
              </w:rPr>
            </w:pPr>
          </w:p>
        </w:tc>
        <w:tc>
          <w:tcPr>
            <w:tcW w:w="1598" w:type="dxa"/>
            <w:tcBorders>
              <w:top w:val="nil"/>
              <w:left w:val="nil"/>
              <w:bottom w:val="nil"/>
              <w:right w:val="nil"/>
            </w:tcBorders>
            <w:shd w:val="clear" w:color="auto" w:fill="auto"/>
            <w:vAlign w:val="center"/>
          </w:tcPr>
          <w:p w14:paraId="5944BDFB">
            <w:pPr>
              <w:rPr>
                <w:rFonts w:hint="default" w:ascii="Times New Roman" w:hAnsi="Times New Roman" w:eastAsia="宋体" w:cs="Times New Roman"/>
                <w:i w:val="0"/>
                <w:iCs w:val="0"/>
                <w:color w:val="000000"/>
                <w:sz w:val="18"/>
                <w:szCs w:val="18"/>
                <w:u w:val="none"/>
              </w:rPr>
            </w:pPr>
          </w:p>
        </w:tc>
        <w:tc>
          <w:tcPr>
            <w:tcW w:w="2038" w:type="dxa"/>
            <w:tcBorders>
              <w:top w:val="nil"/>
              <w:left w:val="nil"/>
              <w:bottom w:val="nil"/>
              <w:right w:val="nil"/>
            </w:tcBorders>
            <w:shd w:val="clear" w:color="auto" w:fill="auto"/>
            <w:vAlign w:val="center"/>
          </w:tcPr>
          <w:p w14:paraId="3294C908">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1DEEDA45">
            <w:pPr>
              <w:rPr>
                <w:rFonts w:hint="default" w:ascii="Times New Roman" w:hAnsi="Times New Roman" w:eastAsia="宋体" w:cs="Times New Roman"/>
                <w:i w:val="0"/>
                <w:iCs w:val="0"/>
                <w:color w:val="000000"/>
                <w:sz w:val="18"/>
                <w:szCs w:val="18"/>
                <w:u w:val="none"/>
              </w:rPr>
            </w:pPr>
          </w:p>
        </w:tc>
        <w:tc>
          <w:tcPr>
            <w:tcW w:w="1509" w:type="dxa"/>
            <w:tcBorders>
              <w:top w:val="nil"/>
              <w:left w:val="nil"/>
              <w:bottom w:val="nil"/>
              <w:right w:val="nil"/>
            </w:tcBorders>
            <w:shd w:val="clear" w:color="auto" w:fill="auto"/>
            <w:vAlign w:val="center"/>
          </w:tcPr>
          <w:p w14:paraId="1AA560E6">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5931DA64">
            <w:pPr>
              <w:rPr>
                <w:rFonts w:hint="default" w:ascii="Times New Roman" w:hAnsi="Times New Roman" w:eastAsia="宋体" w:cs="Times New Roman"/>
                <w:i w:val="0"/>
                <w:iCs w:val="0"/>
                <w:color w:val="000000"/>
                <w:sz w:val="18"/>
                <w:szCs w:val="18"/>
                <w:u w:val="none"/>
              </w:rPr>
            </w:pPr>
          </w:p>
        </w:tc>
        <w:tc>
          <w:tcPr>
            <w:tcW w:w="982" w:type="dxa"/>
            <w:tcBorders>
              <w:top w:val="nil"/>
              <w:left w:val="nil"/>
              <w:bottom w:val="nil"/>
              <w:right w:val="nil"/>
            </w:tcBorders>
            <w:shd w:val="clear" w:color="auto" w:fill="auto"/>
            <w:vAlign w:val="center"/>
          </w:tcPr>
          <w:p w14:paraId="2284E0E9">
            <w:pPr>
              <w:rPr>
                <w:rFonts w:hint="default" w:ascii="Times New Roman" w:hAnsi="Times New Roman" w:eastAsia="宋体" w:cs="Times New Roman"/>
                <w:i w:val="0"/>
                <w:iCs w:val="0"/>
                <w:color w:val="000000"/>
                <w:sz w:val="18"/>
                <w:szCs w:val="18"/>
                <w:u w:val="none"/>
              </w:rPr>
            </w:pPr>
          </w:p>
        </w:tc>
        <w:tc>
          <w:tcPr>
            <w:tcW w:w="455" w:type="dxa"/>
            <w:tcBorders>
              <w:top w:val="nil"/>
              <w:left w:val="nil"/>
              <w:bottom w:val="nil"/>
              <w:right w:val="nil"/>
            </w:tcBorders>
            <w:shd w:val="clear" w:color="auto" w:fill="auto"/>
            <w:vAlign w:val="center"/>
          </w:tcPr>
          <w:p w14:paraId="454A80C8">
            <w:pPr>
              <w:rPr>
                <w:rFonts w:hint="default" w:ascii="Times New Roman" w:hAnsi="Times New Roman" w:eastAsia="宋体" w:cs="Times New Roman"/>
                <w:i w:val="0"/>
                <w:iCs w:val="0"/>
                <w:color w:val="000000"/>
                <w:sz w:val="18"/>
                <w:szCs w:val="18"/>
                <w:u w:val="none"/>
              </w:rPr>
            </w:pPr>
          </w:p>
        </w:tc>
        <w:tc>
          <w:tcPr>
            <w:tcW w:w="564" w:type="dxa"/>
            <w:tcBorders>
              <w:top w:val="nil"/>
              <w:left w:val="nil"/>
              <w:bottom w:val="nil"/>
              <w:right w:val="nil"/>
            </w:tcBorders>
            <w:shd w:val="clear" w:color="auto" w:fill="auto"/>
            <w:vAlign w:val="center"/>
          </w:tcPr>
          <w:p w14:paraId="53BFFB7D">
            <w:pPr>
              <w:rPr>
                <w:rFonts w:hint="default" w:ascii="Times New Roman" w:hAnsi="Times New Roman" w:eastAsia="宋体" w:cs="Times New Roman"/>
                <w:i w:val="0"/>
                <w:iCs w:val="0"/>
                <w:color w:val="000000"/>
                <w:sz w:val="18"/>
                <w:szCs w:val="18"/>
                <w:u w:val="none"/>
              </w:rPr>
            </w:pPr>
          </w:p>
        </w:tc>
        <w:tc>
          <w:tcPr>
            <w:tcW w:w="2301" w:type="dxa"/>
            <w:tcBorders>
              <w:top w:val="nil"/>
              <w:left w:val="nil"/>
              <w:bottom w:val="nil"/>
              <w:right w:val="nil"/>
            </w:tcBorders>
            <w:shd w:val="clear" w:color="auto" w:fill="auto"/>
            <w:vAlign w:val="center"/>
          </w:tcPr>
          <w:p w14:paraId="5C6C0019">
            <w:pPr>
              <w:rPr>
                <w:rFonts w:hint="default" w:ascii="Times New Roman" w:hAnsi="Times New Roman" w:eastAsia="宋体" w:cs="Times New Roman"/>
                <w:i w:val="0"/>
                <w:iCs w:val="0"/>
                <w:color w:val="000000"/>
                <w:sz w:val="18"/>
                <w:szCs w:val="18"/>
                <w:u w:val="none"/>
              </w:rPr>
            </w:pPr>
          </w:p>
        </w:tc>
      </w:tr>
      <w:tr w14:paraId="3EEF8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094C5DB9">
            <w:pPr>
              <w:rPr>
                <w:rFonts w:hint="default" w:ascii="Times New Roman" w:hAnsi="Times New Roman" w:eastAsia="宋体" w:cs="Times New Roman"/>
                <w:i w:val="0"/>
                <w:iCs w:val="0"/>
                <w:color w:val="000000"/>
                <w:sz w:val="18"/>
                <w:szCs w:val="18"/>
                <w:u w:val="none"/>
              </w:rPr>
            </w:pPr>
          </w:p>
          <w:p w14:paraId="57E4101F">
            <w:pPr>
              <w:rPr>
                <w:rFonts w:hint="default" w:ascii="Times New Roman" w:hAnsi="Times New Roman" w:eastAsia="宋体" w:cs="Times New Roman"/>
                <w:i w:val="0"/>
                <w:iCs w:val="0"/>
                <w:color w:val="000000"/>
                <w:sz w:val="18"/>
                <w:szCs w:val="18"/>
                <w:u w:val="none"/>
              </w:rPr>
            </w:pPr>
          </w:p>
          <w:p w14:paraId="2F25F8FC">
            <w:pPr>
              <w:rPr>
                <w:rFonts w:hint="default" w:ascii="Times New Roman" w:hAnsi="Times New Roman" w:eastAsia="宋体" w:cs="Times New Roman"/>
                <w:i w:val="0"/>
                <w:iCs w:val="0"/>
                <w:color w:val="000000"/>
                <w:sz w:val="18"/>
                <w:szCs w:val="18"/>
                <w:u w:val="none"/>
              </w:rPr>
            </w:pPr>
          </w:p>
          <w:p w14:paraId="0ADC084F">
            <w:pPr>
              <w:rPr>
                <w:rFonts w:hint="default" w:ascii="Times New Roman" w:hAnsi="Times New Roman" w:eastAsia="宋体" w:cs="Times New Roman"/>
                <w:i w:val="0"/>
                <w:iCs w:val="0"/>
                <w:color w:val="000000"/>
                <w:sz w:val="18"/>
                <w:szCs w:val="18"/>
                <w:u w:val="none"/>
              </w:rPr>
            </w:pPr>
          </w:p>
          <w:p w14:paraId="165109CB">
            <w:pPr>
              <w:rPr>
                <w:rFonts w:hint="default" w:ascii="Times New Roman" w:hAnsi="Times New Roman" w:eastAsia="宋体" w:cs="Times New Roman"/>
                <w:i w:val="0"/>
                <w:iCs w:val="0"/>
                <w:color w:val="000000"/>
                <w:sz w:val="18"/>
                <w:szCs w:val="18"/>
                <w:u w:val="none"/>
              </w:rPr>
            </w:pPr>
          </w:p>
        </w:tc>
        <w:tc>
          <w:tcPr>
            <w:tcW w:w="1847" w:type="dxa"/>
            <w:tcBorders>
              <w:top w:val="nil"/>
              <w:left w:val="nil"/>
              <w:bottom w:val="nil"/>
              <w:right w:val="nil"/>
            </w:tcBorders>
            <w:shd w:val="clear" w:color="auto" w:fill="auto"/>
            <w:vAlign w:val="center"/>
          </w:tcPr>
          <w:p w14:paraId="6B97FCC1">
            <w:pPr>
              <w:rPr>
                <w:rFonts w:hint="default" w:ascii="Times New Roman" w:hAnsi="Times New Roman" w:eastAsia="宋体" w:cs="Times New Roman"/>
                <w:i w:val="0"/>
                <w:iCs w:val="0"/>
                <w:color w:val="000000"/>
                <w:sz w:val="18"/>
                <w:szCs w:val="18"/>
                <w:u w:val="none"/>
              </w:rPr>
            </w:pPr>
          </w:p>
        </w:tc>
        <w:tc>
          <w:tcPr>
            <w:tcW w:w="1598" w:type="dxa"/>
            <w:tcBorders>
              <w:top w:val="nil"/>
              <w:left w:val="nil"/>
              <w:bottom w:val="nil"/>
              <w:right w:val="nil"/>
            </w:tcBorders>
            <w:shd w:val="clear" w:color="auto" w:fill="auto"/>
            <w:vAlign w:val="center"/>
          </w:tcPr>
          <w:p w14:paraId="66E4A381">
            <w:pPr>
              <w:rPr>
                <w:rFonts w:hint="default" w:ascii="Times New Roman" w:hAnsi="Times New Roman" w:eastAsia="宋体" w:cs="Times New Roman"/>
                <w:i w:val="0"/>
                <w:iCs w:val="0"/>
                <w:color w:val="000000"/>
                <w:sz w:val="18"/>
                <w:szCs w:val="18"/>
                <w:u w:val="none"/>
              </w:rPr>
            </w:pPr>
          </w:p>
        </w:tc>
        <w:tc>
          <w:tcPr>
            <w:tcW w:w="2038" w:type="dxa"/>
            <w:tcBorders>
              <w:top w:val="nil"/>
              <w:left w:val="nil"/>
              <w:bottom w:val="nil"/>
              <w:right w:val="nil"/>
            </w:tcBorders>
            <w:shd w:val="clear" w:color="auto" w:fill="auto"/>
            <w:vAlign w:val="center"/>
          </w:tcPr>
          <w:p w14:paraId="4A8AFF04">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72CD07B6">
            <w:pPr>
              <w:rPr>
                <w:rFonts w:hint="default" w:ascii="Times New Roman" w:hAnsi="Times New Roman" w:eastAsia="宋体" w:cs="Times New Roman"/>
                <w:i w:val="0"/>
                <w:iCs w:val="0"/>
                <w:color w:val="000000"/>
                <w:sz w:val="18"/>
                <w:szCs w:val="18"/>
                <w:u w:val="none"/>
              </w:rPr>
            </w:pPr>
          </w:p>
        </w:tc>
        <w:tc>
          <w:tcPr>
            <w:tcW w:w="1509" w:type="dxa"/>
            <w:tcBorders>
              <w:top w:val="nil"/>
              <w:left w:val="nil"/>
              <w:bottom w:val="nil"/>
              <w:right w:val="nil"/>
            </w:tcBorders>
            <w:shd w:val="clear" w:color="auto" w:fill="auto"/>
            <w:vAlign w:val="center"/>
          </w:tcPr>
          <w:p w14:paraId="5D32ED38">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4E34FEA0">
            <w:pPr>
              <w:rPr>
                <w:rFonts w:hint="default" w:ascii="Times New Roman" w:hAnsi="Times New Roman" w:eastAsia="宋体" w:cs="Times New Roman"/>
                <w:i w:val="0"/>
                <w:iCs w:val="0"/>
                <w:color w:val="000000"/>
                <w:sz w:val="18"/>
                <w:szCs w:val="18"/>
                <w:u w:val="none"/>
              </w:rPr>
            </w:pPr>
          </w:p>
        </w:tc>
        <w:tc>
          <w:tcPr>
            <w:tcW w:w="982" w:type="dxa"/>
            <w:tcBorders>
              <w:top w:val="nil"/>
              <w:left w:val="nil"/>
              <w:bottom w:val="nil"/>
              <w:right w:val="nil"/>
            </w:tcBorders>
            <w:shd w:val="clear" w:color="auto" w:fill="auto"/>
            <w:vAlign w:val="center"/>
          </w:tcPr>
          <w:p w14:paraId="189B2416">
            <w:pPr>
              <w:rPr>
                <w:rFonts w:hint="default" w:ascii="Times New Roman" w:hAnsi="Times New Roman" w:eastAsia="宋体" w:cs="Times New Roman"/>
                <w:i w:val="0"/>
                <w:iCs w:val="0"/>
                <w:color w:val="000000"/>
                <w:sz w:val="18"/>
                <w:szCs w:val="18"/>
                <w:u w:val="none"/>
              </w:rPr>
            </w:pPr>
          </w:p>
        </w:tc>
        <w:tc>
          <w:tcPr>
            <w:tcW w:w="455" w:type="dxa"/>
            <w:tcBorders>
              <w:top w:val="nil"/>
              <w:left w:val="nil"/>
              <w:bottom w:val="nil"/>
              <w:right w:val="nil"/>
            </w:tcBorders>
            <w:shd w:val="clear" w:color="auto" w:fill="auto"/>
            <w:vAlign w:val="center"/>
          </w:tcPr>
          <w:p w14:paraId="1B5357B4">
            <w:pPr>
              <w:rPr>
                <w:rFonts w:hint="default" w:ascii="Times New Roman" w:hAnsi="Times New Roman" w:eastAsia="宋体" w:cs="Times New Roman"/>
                <w:i w:val="0"/>
                <w:iCs w:val="0"/>
                <w:color w:val="000000"/>
                <w:sz w:val="18"/>
                <w:szCs w:val="18"/>
                <w:u w:val="none"/>
              </w:rPr>
            </w:pPr>
          </w:p>
        </w:tc>
        <w:tc>
          <w:tcPr>
            <w:tcW w:w="564" w:type="dxa"/>
            <w:tcBorders>
              <w:top w:val="nil"/>
              <w:left w:val="nil"/>
              <w:bottom w:val="nil"/>
              <w:right w:val="nil"/>
            </w:tcBorders>
            <w:shd w:val="clear" w:color="auto" w:fill="auto"/>
            <w:vAlign w:val="center"/>
          </w:tcPr>
          <w:p w14:paraId="729481B8">
            <w:pPr>
              <w:rPr>
                <w:rFonts w:hint="default" w:ascii="Times New Roman" w:hAnsi="Times New Roman" w:eastAsia="宋体" w:cs="Times New Roman"/>
                <w:i w:val="0"/>
                <w:iCs w:val="0"/>
                <w:color w:val="000000"/>
                <w:sz w:val="18"/>
                <w:szCs w:val="18"/>
                <w:u w:val="none"/>
              </w:rPr>
            </w:pPr>
          </w:p>
        </w:tc>
        <w:tc>
          <w:tcPr>
            <w:tcW w:w="2301" w:type="dxa"/>
            <w:tcBorders>
              <w:top w:val="nil"/>
              <w:left w:val="nil"/>
              <w:bottom w:val="nil"/>
              <w:right w:val="nil"/>
            </w:tcBorders>
            <w:shd w:val="clear" w:color="auto" w:fill="auto"/>
            <w:vAlign w:val="center"/>
          </w:tcPr>
          <w:p w14:paraId="098E2BE3">
            <w:pPr>
              <w:rPr>
                <w:rFonts w:hint="default" w:ascii="Times New Roman" w:hAnsi="Times New Roman" w:eastAsia="宋体" w:cs="Times New Roman"/>
                <w:i w:val="0"/>
                <w:iCs w:val="0"/>
                <w:color w:val="000000"/>
                <w:sz w:val="18"/>
                <w:szCs w:val="18"/>
                <w:u w:val="none"/>
              </w:rPr>
            </w:pPr>
          </w:p>
        </w:tc>
      </w:tr>
      <w:tr w14:paraId="39738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8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CCCAF0">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14:paraId="37520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716A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10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1C0DF7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51041121Y000000068013-基本公用经费定额（事业）</w:t>
            </w:r>
          </w:p>
        </w:tc>
      </w:tr>
      <w:tr w14:paraId="7441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74F1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09AF6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攀枝花市仁和区信访局部门</w:t>
            </w:r>
          </w:p>
        </w:tc>
        <w:tc>
          <w:tcPr>
            <w:tcW w:w="982" w:type="dxa"/>
            <w:tcBorders>
              <w:top w:val="nil"/>
              <w:left w:val="nil"/>
              <w:bottom w:val="nil"/>
              <w:right w:val="nil"/>
            </w:tcBorders>
            <w:shd w:val="clear" w:color="auto" w:fill="auto"/>
            <w:vAlign w:val="center"/>
          </w:tcPr>
          <w:p w14:paraId="1D602F3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C12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攀枝花市仁和区信访局</w:t>
            </w:r>
          </w:p>
        </w:tc>
      </w:tr>
      <w:tr w14:paraId="2A87C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58E6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32B1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36FA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640F3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11784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98836">
            <w:pP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673FA">
            <w:pPr>
              <w:rPr>
                <w:rFonts w:hint="default" w:ascii="Times New Roman" w:hAnsi="Times New Roman" w:eastAsia="宋体" w:cs="Times New Roman"/>
                <w:i w:val="0"/>
                <w:iCs w:val="0"/>
                <w:color w:val="000000"/>
                <w:sz w:val="18"/>
                <w:szCs w:val="18"/>
                <w:u w:val="none"/>
              </w:rPr>
            </w:pP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18A32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保障单位日常运转，提高预算编制质量，严格执行预算</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D3381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2022年未完成年度目标</w:t>
            </w:r>
          </w:p>
        </w:tc>
      </w:tr>
      <w:tr w14:paraId="6EBD7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BC5F8">
            <w:pP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0DB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10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6BBA76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保障单位日常运转，因财政资金紧张，执行情况一般。</w:t>
            </w:r>
          </w:p>
        </w:tc>
      </w:tr>
      <w:tr w14:paraId="11F74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501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80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46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C5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B41E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74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F7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DC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56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5DF17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D49D8">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95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66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2.63</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A5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2.63</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A54A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5B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58.32%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30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AF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019F2">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default" w:ascii="Times New Roman" w:hAnsi="Times New Roman" w:eastAsia="黑体" w:cs="Times New Roman"/>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59F4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5667F">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3F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7E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2.63</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59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2.63</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B3AB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35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58.32%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78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E3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13088">
            <w:pPr>
              <w:rPr>
                <w:rFonts w:hint="default" w:ascii="Times New Roman" w:hAnsi="Times New Roman" w:eastAsia="黑体" w:cs="Times New Roman"/>
                <w:i/>
                <w:iCs/>
                <w:color w:val="000000"/>
                <w:sz w:val="18"/>
                <w:szCs w:val="18"/>
                <w:u w:val="none"/>
              </w:rPr>
            </w:pPr>
          </w:p>
        </w:tc>
      </w:tr>
      <w:tr w14:paraId="0F17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9984C">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FE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A2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F2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3D0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B3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F9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FD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8AB58">
            <w:pPr>
              <w:rPr>
                <w:rFonts w:hint="default" w:ascii="Times New Roman" w:hAnsi="Times New Roman" w:eastAsia="黑体" w:cs="Times New Roman"/>
                <w:i/>
                <w:iCs/>
                <w:color w:val="000000"/>
                <w:sz w:val="18"/>
                <w:szCs w:val="18"/>
                <w:u w:val="none"/>
              </w:rPr>
            </w:pPr>
          </w:p>
        </w:tc>
      </w:tr>
      <w:tr w14:paraId="3C248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4EEB0">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B2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9A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A6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2EAF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D9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83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D9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FCD60">
            <w:pPr>
              <w:rPr>
                <w:rFonts w:hint="default" w:ascii="Times New Roman" w:hAnsi="Times New Roman" w:eastAsia="黑体" w:cs="Times New Roman"/>
                <w:i/>
                <w:iCs/>
                <w:color w:val="000000"/>
                <w:sz w:val="18"/>
                <w:szCs w:val="18"/>
                <w:u w:val="none"/>
              </w:rPr>
            </w:pPr>
          </w:p>
        </w:tc>
      </w:tr>
      <w:tr w14:paraId="06C04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BFB40">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57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A7A9">
            <w:pPr>
              <w:jc w:val="center"/>
              <w:rPr>
                <w:rFonts w:hint="default" w:ascii="Times New Roman" w:hAnsi="Times New Roman" w:eastAsia="微软雅黑" w:cs="Times New Roman"/>
                <w:i/>
                <w:iCs/>
                <w:color w:val="000000"/>
                <w:sz w:val="16"/>
                <w:szCs w:val="16"/>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38E5">
            <w:pPr>
              <w:jc w:val="center"/>
              <w:rPr>
                <w:rFonts w:hint="default" w:ascii="Times New Roman" w:hAnsi="Times New Roman" w:eastAsia="微软雅黑" w:cs="Times New Roman"/>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152725">
            <w:pPr>
              <w:jc w:val="center"/>
              <w:rPr>
                <w:rFonts w:hint="default" w:ascii="Times New Roman" w:hAnsi="Times New Roman" w:eastAsia="微软雅黑" w:cs="Times New Roman"/>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C418">
            <w:pPr>
              <w:jc w:val="center"/>
              <w:rPr>
                <w:rFonts w:hint="default" w:ascii="Times New Roman" w:hAnsi="Times New Roman" w:eastAsia="微软雅黑" w:cs="Times New Roman"/>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0F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55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F128F">
            <w:pPr>
              <w:rPr>
                <w:rFonts w:hint="default" w:ascii="Times New Roman" w:hAnsi="Times New Roman" w:eastAsia="黑体" w:cs="Times New Roman"/>
                <w:i/>
                <w:iCs/>
                <w:color w:val="000000"/>
                <w:sz w:val="18"/>
                <w:szCs w:val="18"/>
                <w:u w:val="none"/>
              </w:rPr>
            </w:pPr>
          </w:p>
        </w:tc>
      </w:tr>
      <w:tr w14:paraId="3107A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BF9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D9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A5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6E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89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F4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14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E6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51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D2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29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6547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0C067">
            <w:pPr>
              <w:jc w:val="center"/>
              <w:rPr>
                <w:rFonts w:hint="default" w:ascii="Times New Roman" w:hAnsi="Times New Roman" w:eastAsia="宋体" w:cs="Times New Roman"/>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FCD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77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CE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科目调整次数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C6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31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15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5BEB">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79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AD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75F7">
            <w:pPr>
              <w:jc w:val="center"/>
              <w:rPr>
                <w:rFonts w:hint="default" w:ascii="Times New Roman" w:hAnsi="Times New Roman" w:eastAsia="微软雅黑" w:cs="Times New Roman"/>
                <w:i/>
                <w:iCs/>
                <w:color w:val="000000"/>
                <w:sz w:val="16"/>
                <w:szCs w:val="16"/>
                <w:u w:val="none"/>
              </w:rPr>
            </w:pPr>
          </w:p>
        </w:tc>
      </w:tr>
      <w:tr w14:paraId="50AD0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4F94A">
            <w:pPr>
              <w:jc w:val="cente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816AA">
            <w:pPr>
              <w:jc w:val="center"/>
              <w:rPr>
                <w:rFonts w:hint="default" w:ascii="Times New Roman" w:hAnsi="Times New Roman" w:eastAsia="宋体" w:cs="Times New Roman"/>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AF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5A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预算编制准确率（计算方法为：∣（执行数-预算数）/预算数∣）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50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53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30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F596">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59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9F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FF46">
            <w:pPr>
              <w:jc w:val="center"/>
              <w:rPr>
                <w:rFonts w:hint="default" w:ascii="Times New Roman" w:hAnsi="Times New Roman" w:eastAsia="微软雅黑" w:cs="Times New Roman"/>
                <w:i/>
                <w:iCs/>
                <w:color w:val="000000"/>
                <w:sz w:val="16"/>
                <w:szCs w:val="16"/>
                <w:u w:val="none"/>
              </w:rPr>
            </w:pPr>
          </w:p>
        </w:tc>
      </w:tr>
      <w:tr w14:paraId="0EDB7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87F91">
            <w:pPr>
              <w:jc w:val="center"/>
              <w:rPr>
                <w:rFonts w:hint="default" w:ascii="Times New Roman" w:hAnsi="Times New Roman" w:eastAsia="宋体" w:cs="Times New Roman"/>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520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8D3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E1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运转保障率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2D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34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96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EAAB">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13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26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A62E">
            <w:pPr>
              <w:jc w:val="center"/>
              <w:rPr>
                <w:rFonts w:hint="default" w:ascii="Times New Roman" w:hAnsi="Times New Roman" w:eastAsia="微软雅黑" w:cs="Times New Roman"/>
                <w:i/>
                <w:iCs/>
                <w:color w:val="000000"/>
                <w:sz w:val="16"/>
                <w:szCs w:val="16"/>
                <w:u w:val="none"/>
              </w:rPr>
            </w:pPr>
          </w:p>
        </w:tc>
      </w:tr>
      <w:tr w14:paraId="4D47C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C20A3">
            <w:pPr>
              <w:jc w:val="cente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42B99">
            <w:pPr>
              <w:jc w:val="center"/>
              <w:rPr>
                <w:rFonts w:hint="default" w:ascii="Times New Roman" w:hAnsi="Times New Roman" w:eastAsia="宋体" w:cs="Times New Roman"/>
                <w:i w:val="0"/>
                <w:iCs w:val="0"/>
                <w:color w:val="000000"/>
                <w:sz w:val="18"/>
                <w:szCs w:val="18"/>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7A558">
            <w:pPr>
              <w:jc w:val="center"/>
              <w:rPr>
                <w:rFonts w:hint="default" w:ascii="Times New Roman" w:hAnsi="Times New Roman" w:eastAsia="宋体" w:cs="Times New Roman"/>
                <w:i w:val="0"/>
                <w:iCs w:val="0"/>
                <w:color w:val="000000"/>
                <w:sz w:val="18"/>
                <w:szCs w:val="18"/>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D6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“三公”经费控制率[计算方法为：（</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三公</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经费实际支出数/预算安排数]×100%）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E6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32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4B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9089">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80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87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A2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4325">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财政资金困难</w:t>
            </w:r>
          </w:p>
        </w:tc>
      </w:tr>
      <w:tr w14:paraId="2AC58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5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B488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BA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CAE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9D5E">
            <w:pPr>
              <w:rPr>
                <w:rFonts w:hint="default" w:ascii="Times New Roman" w:hAnsi="Times New Roman" w:eastAsia="宋体" w:cs="Times New Roman"/>
                <w:i w:val="0"/>
                <w:iCs w:val="0"/>
                <w:color w:val="000000"/>
                <w:sz w:val="18"/>
                <w:szCs w:val="18"/>
                <w:u w:val="none"/>
              </w:rPr>
            </w:pPr>
          </w:p>
        </w:tc>
      </w:tr>
      <w:tr w14:paraId="4B29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14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7DB9D4">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本项目2022年度预算执行情况及绩效评价一般，因受年度财政资金等不可控因素影响，预算执行灵敏还未能全部达到年初预算数。</w:t>
            </w:r>
          </w:p>
        </w:tc>
      </w:tr>
      <w:tr w14:paraId="12761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96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726EC4">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财政资金紧张，预算执行无法全部到位。</w:t>
            </w:r>
          </w:p>
        </w:tc>
      </w:tr>
      <w:tr w14:paraId="61B70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3E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008A1D">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积极与财政沟通协调，争取保运转资金，统筹开支。</w:t>
            </w:r>
          </w:p>
        </w:tc>
      </w:tr>
      <w:tr w14:paraId="205DE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5CC06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c>
          <w:tcPr>
            <w:tcW w:w="6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6FEC5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r>
      <w:tr w14:paraId="4AD9E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4A5D0525">
            <w:pPr>
              <w:rPr>
                <w:rFonts w:hint="default" w:ascii="Times New Roman" w:hAnsi="Times New Roman" w:eastAsia="宋体" w:cs="Times New Roman"/>
                <w:i w:val="0"/>
                <w:iCs w:val="0"/>
                <w:color w:val="000000"/>
                <w:sz w:val="18"/>
                <w:szCs w:val="18"/>
                <w:u w:val="none"/>
              </w:rPr>
            </w:pPr>
          </w:p>
        </w:tc>
        <w:tc>
          <w:tcPr>
            <w:tcW w:w="1847" w:type="dxa"/>
            <w:tcBorders>
              <w:top w:val="nil"/>
              <w:left w:val="nil"/>
              <w:bottom w:val="nil"/>
              <w:right w:val="nil"/>
            </w:tcBorders>
            <w:shd w:val="clear" w:color="auto" w:fill="auto"/>
            <w:vAlign w:val="center"/>
          </w:tcPr>
          <w:p w14:paraId="576C9BD6">
            <w:pPr>
              <w:rPr>
                <w:rFonts w:hint="default" w:ascii="Times New Roman" w:hAnsi="Times New Roman" w:eastAsia="宋体" w:cs="Times New Roman"/>
                <w:i w:val="0"/>
                <w:iCs w:val="0"/>
                <w:color w:val="000000"/>
                <w:sz w:val="18"/>
                <w:szCs w:val="18"/>
                <w:u w:val="none"/>
              </w:rPr>
            </w:pPr>
          </w:p>
        </w:tc>
        <w:tc>
          <w:tcPr>
            <w:tcW w:w="1598" w:type="dxa"/>
            <w:tcBorders>
              <w:top w:val="nil"/>
              <w:left w:val="nil"/>
              <w:bottom w:val="nil"/>
              <w:right w:val="nil"/>
            </w:tcBorders>
            <w:shd w:val="clear" w:color="auto" w:fill="auto"/>
            <w:vAlign w:val="center"/>
          </w:tcPr>
          <w:p w14:paraId="0FE2BB9B">
            <w:pPr>
              <w:rPr>
                <w:rFonts w:hint="default" w:ascii="Times New Roman" w:hAnsi="Times New Roman" w:eastAsia="宋体" w:cs="Times New Roman"/>
                <w:i w:val="0"/>
                <w:iCs w:val="0"/>
                <w:color w:val="000000"/>
                <w:sz w:val="18"/>
                <w:szCs w:val="18"/>
                <w:u w:val="none"/>
              </w:rPr>
            </w:pPr>
          </w:p>
        </w:tc>
        <w:tc>
          <w:tcPr>
            <w:tcW w:w="2038" w:type="dxa"/>
            <w:tcBorders>
              <w:top w:val="nil"/>
              <w:left w:val="nil"/>
              <w:bottom w:val="nil"/>
              <w:right w:val="nil"/>
            </w:tcBorders>
            <w:shd w:val="clear" w:color="auto" w:fill="auto"/>
            <w:vAlign w:val="center"/>
          </w:tcPr>
          <w:p w14:paraId="79688A5D">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3C6B7C7C">
            <w:pPr>
              <w:rPr>
                <w:rFonts w:hint="default" w:ascii="Times New Roman" w:hAnsi="Times New Roman" w:eastAsia="宋体" w:cs="Times New Roman"/>
                <w:i w:val="0"/>
                <w:iCs w:val="0"/>
                <w:color w:val="000000"/>
                <w:sz w:val="18"/>
                <w:szCs w:val="18"/>
                <w:u w:val="none"/>
              </w:rPr>
            </w:pPr>
          </w:p>
        </w:tc>
        <w:tc>
          <w:tcPr>
            <w:tcW w:w="1509" w:type="dxa"/>
            <w:tcBorders>
              <w:top w:val="nil"/>
              <w:left w:val="nil"/>
              <w:bottom w:val="nil"/>
              <w:right w:val="nil"/>
            </w:tcBorders>
            <w:shd w:val="clear" w:color="auto" w:fill="auto"/>
            <w:vAlign w:val="center"/>
          </w:tcPr>
          <w:p w14:paraId="2F4A2F39">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230B8208">
            <w:pPr>
              <w:rPr>
                <w:rFonts w:hint="default" w:ascii="Times New Roman" w:hAnsi="Times New Roman" w:eastAsia="宋体" w:cs="Times New Roman"/>
                <w:i w:val="0"/>
                <w:iCs w:val="0"/>
                <w:color w:val="000000"/>
                <w:sz w:val="18"/>
                <w:szCs w:val="18"/>
                <w:u w:val="none"/>
              </w:rPr>
            </w:pPr>
          </w:p>
        </w:tc>
        <w:tc>
          <w:tcPr>
            <w:tcW w:w="982" w:type="dxa"/>
            <w:tcBorders>
              <w:top w:val="nil"/>
              <w:left w:val="nil"/>
              <w:bottom w:val="nil"/>
              <w:right w:val="nil"/>
            </w:tcBorders>
            <w:shd w:val="clear" w:color="auto" w:fill="auto"/>
            <w:vAlign w:val="center"/>
          </w:tcPr>
          <w:p w14:paraId="4201F646">
            <w:pPr>
              <w:rPr>
                <w:rFonts w:hint="default" w:ascii="Times New Roman" w:hAnsi="Times New Roman" w:eastAsia="宋体" w:cs="Times New Roman"/>
                <w:i w:val="0"/>
                <w:iCs w:val="0"/>
                <w:color w:val="000000"/>
                <w:sz w:val="18"/>
                <w:szCs w:val="18"/>
                <w:u w:val="none"/>
              </w:rPr>
            </w:pPr>
          </w:p>
        </w:tc>
        <w:tc>
          <w:tcPr>
            <w:tcW w:w="455" w:type="dxa"/>
            <w:tcBorders>
              <w:top w:val="nil"/>
              <w:left w:val="nil"/>
              <w:bottom w:val="nil"/>
              <w:right w:val="nil"/>
            </w:tcBorders>
            <w:shd w:val="clear" w:color="auto" w:fill="auto"/>
            <w:vAlign w:val="center"/>
          </w:tcPr>
          <w:p w14:paraId="3F162D06">
            <w:pPr>
              <w:rPr>
                <w:rFonts w:hint="default" w:ascii="Times New Roman" w:hAnsi="Times New Roman" w:eastAsia="宋体" w:cs="Times New Roman"/>
                <w:i w:val="0"/>
                <w:iCs w:val="0"/>
                <w:color w:val="000000"/>
                <w:sz w:val="18"/>
                <w:szCs w:val="18"/>
                <w:u w:val="none"/>
              </w:rPr>
            </w:pPr>
          </w:p>
        </w:tc>
        <w:tc>
          <w:tcPr>
            <w:tcW w:w="564" w:type="dxa"/>
            <w:tcBorders>
              <w:top w:val="nil"/>
              <w:left w:val="nil"/>
              <w:bottom w:val="nil"/>
              <w:right w:val="nil"/>
            </w:tcBorders>
            <w:shd w:val="clear" w:color="auto" w:fill="auto"/>
            <w:vAlign w:val="center"/>
          </w:tcPr>
          <w:p w14:paraId="6DBB3E8A">
            <w:pPr>
              <w:rPr>
                <w:rFonts w:hint="default" w:ascii="Times New Roman" w:hAnsi="Times New Roman" w:eastAsia="宋体" w:cs="Times New Roman"/>
                <w:i w:val="0"/>
                <w:iCs w:val="0"/>
                <w:color w:val="000000"/>
                <w:sz w:val="18"/>
                <w:szCs w:val="18"/>
                <w:u w:val="none"/>
              </w:rPr>
            </w:pPr>
          </w:p>
        </w:tc>
        <w:tc>
          <w:tcPr>
            <w:tcW w:w="2301" w:type="dxa"/>
            <w:tcBorders>
              <w:top w:val="nil"/>
              <w:left w:val="nil"/>
              <w:bottom w:val="nil"/>
              <w:right w:val="nil"/>
            </w:tcBorders>
            <w:shd w:val="clear" w:color="auto" w:fill="auto"/>
            <w:vAlign w:val="center"/>
          </w:tcPr>
          <w:p w14:paraId="636A9453">
            <w:pPr>
              <w:rPr>
                <w:rFonts w:hint="default" w:ascii="Times New Roman" w:hAnsi="Times New Roman" w:eastAsia="宋体" w:cs="Times New Roman"/>
                <w:i w:val="0"/>
                <w:iCs w:val="0"/>
                <w:color w:val="000000"/>
                <w:sz w:val="18"/>
                <w:szCs w:val="18"/>
                <w:u w:val="none"/>
              </w:rPr>
            </w:pPr>
          </w:p>
        </w:tc>
      </w:tr>
      <w:tr w14:paraId="34C4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4D04AEBF">
            <w:pPr>
              <w:rPr>
                <w:rFonts w:hint="default" w:ascii="Times New Roman" w:hAnsi="Times New Roman" w:eastAsia="宋体" w:cs="Times New Roman"/>
                <w:i w:val="0"/>
                <w:iCs w:val="0"/>
                <w:color w:val="000000"/>
                <w:sz w:val="18"/>
                <w:szCs w:val="18"/>
                <w:u w:val="none"/>
              </w:rPr>
            </w:pPr>
          </w:p>
          <w:p w14:paraId="5B34624A">
            <w:pPr>
              <w:rPr>
                <w:rFonts w:hint="default" w:ascii="Times New Roman" w:hAnsi="Times New Roman" w:eastAsia="宋体" w:cs="Times New Roman"/>
                <w:i w:val="0"/>
                <w:iCs w:val="0"/>
                <w:color w:val="000000"/>
                <w:sz w:val="18"/>
                <w:szCs w:val="18"/>
                <w:u w:val="none"/>
              </w:rPr>
            </w:pPr>
          </w:p>
          <w:p w14:paraId="58B8A060">
            <w:pPr>
              <w:rPr>
                <w:rFonts w:hint="default" w:ascii="Times New Roman" w:hAnsi="Times New Roman" w:eastAsia="宋体" w:cs="Times New Roman"/>
                <w:i w:val="0"/>
                <w:iCs w:val="0"/>
                <w:color w:val="000000"/>
                <w:sz w:val="18"/>
                <w:szCs w:val="18"/>
                <w:u w:val="none"/>
              </w:rPr>
            </w:pPr>
          </w:p>
          <w:p w14:paraId="5C802D7B">
            <w:pPr>
              <w:rPr>
                <w:rFonts w:hint="default" w:ascii="Times New Roman" w:hAnsi="Times New Roman" w:eastAsia="宋体" w:cs="Times New Roman"/>
                <w:i w:val="0"/>
                <w:iCs w:val="0"/>
                <w:color w:val="000000"/>
                <w:sz w:val="18"/>
                <w:szCs w:val="18"/>
                <w:u w:val="none"/>
              </w:rPr>
            </w:pPr>
          </w:p>
          <w:p w14:paraId="1A0D3450">
            <w:pPr>
              <w:rPr>
                <w:rFonts w:hint="default" w:ascii="Times New Roman" w:hAnsi="Times New Roman" w:eastAsia="宋体" w:cs="Times New Roman"/>
                <w:i w:val="0"/>
                <w:iCs w:val="0"/>
                <w:color w:val="000000"/>
                <w:sz w:val="18"/>
                <w:szCs w:val="18"/>
                <w:u w:val="none"/>
              </w:rPr>
            </w:pPr>
          </w:p>
        </w:tc>
        <w:tc>
          <w:tcPr>
            <w:tcW w:w="1847" w:type="dxa"/>
            <w:tcBorders>
              <w:top w:val="nil"/>
              <w:left w:val="nil"/>
              <w:bottom w:val="nil"/>
              <w:right w:val="nil"/>
            </w:tcBorders>
            <w:shd w:val="clear" w:color="auto" w:fill="auto"/>
            <w:vAlign w:val="center"/>
          </w:tcPr>
          <w:p w14:paraId="69FD44EE">
            <w:pPr>
              <w:rPr>
                <w:rFonts w:hint="default" w:ascii="Times New Roman" w:hAnsi="Times New Roman" w:eastAsia="宋体" w:cs="Times New Roman"/>
                <w:i w:val="0"/>
                <w:iCs w:val="0"/>
                <w:color w:val="000000"/>
                <w:sz w:val="18"/>
                <w:szCs w:val="18"/>
                <w:u w:val="none"/>
              </w:rPr>
            </w:pPr>
          </w:p>
        </w:tc>
        <w:tc>
          <w:tcPr>
            <w:tcW w:w="1598" w:type="dxa"/>
            <w:tcBorders>
              <w:top w:val="nil"/>
              <w:left w:val="nil"/>
              <w:bottom w:val="nil"/>
              <w:right w:val="nil"/>
            </w:tcBorders>
            <w:shd w:val="clear" w:color="auto" w:fill="auto"/>
            <w:vAlign w:val="center"/>
          </w:tcPr>
          <w:p w14:paraId="10789E1F">
            <w:pPr>
              <w:rPr>
                <w:rFonts w:hint="default" w:ascii="Times New Roman" w:hAnsi="Times New Roman" w:eastAsia="宋体" w:cs="Times New Roman"/>
                <w:i w:val="0"/>
                <w:iCs w:val="0"/>
                <w:color w:val="000000"/>
                <w:sz w:val="18"/>
                <w:szCs w:val="18"/>
                <w:u w:val="none"/>
              </w:rPr>
            </w:pPr>
          </w:p>
        </w:tc>
        <w:tc>
          <w:tcPr>
            <w:tcW w:w="2038" w:type="dxa"/>
            <w:tcBorders>
              <w:top w:val="nil"/>
              <w:left w:val="nil"/>
              <w:bottom w:val="nil"/>
              <w:right w:val="nil"/>
            </w:tcBorders>
            <w:shd w:val="clear" w:color="auto" w:fill="auto"/>
            <w:vAlign w:val="center"/>
          </w:tcPr>
          <w:p w14:paraId="10972C3A">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53BA83F4">
            <w:pPr>
              <w:rPr>
                <w:rFonts w:hint="default" w:ascii="Times New Roman" w:hAnsi="Times New Roman" w:eastAsia="宋体" w:cs="Times New Roman"/>
                <w:i w:val="0"/>
                <w:iCs w:val="0"/>
                <w:color w:val="000000"/>
                <w:sz w:val="18"/>
                <w:szCs w:val="18"/>
                <w:u w:val="none"/>
              </w:rPr>
            </w:pPr>
          </w:p>
        </w:tc>
        <w:tc>
          <w:tcPr>
            <w:tcW w:w="1509" w:type="dxa"/>
            <w:tcBorders>
              <w:top w:val="nil"/>
              <w:left w:val="nil"/>
              <w:bottom w:val="nil"/>
              <w:right w:val="nil"/>
            </w:tcBorders>
            <w:shd w:val="clear" w:color="auto" w:fill="auto"/>
            <w:vAlign w:val="center"/>
          </w:tcPr>
          <w:p w14:paraId="5C6CB189">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5F96B2CB">
            <w:pPr>
              <w:rPr>
                <w:rFonts w:hint="default" w:ascii="Times New Roman" w:hAnsi="Times New Roman" w:eastAsia="宋体" w:cs="Times New Roman"/>
                <w:i w:val="0"/>
                <w:iCs w:val="0"/>
                <w:color w:val="000000"/>
                <w:sz w:val="18"/>
                <w:szCs w:val="18"/>
                <w:u w:val="none"/>
              </w:rPr>
            </w:pPr>
          </w:p>
        </w:tc>
        <w:tc>
          <w:tcPr>
            <w:tcW w:w="982" w:type="dxa"/>
            <w:tcBorders>
              <w:top w:val="nil"/>
              <w:left w:val="nil"/>
              <w:bottom w:val="nil"/>
              <w:right w:val="nil"/>
            </w:tcBorders>
            <w:shd w:val="clear" w:color="auto" w:fill="auto"/>
            <w:vAlign w:val="center"/>
          </w:tcPr>
          <w:p w14:paraId="2734E5D1">
            <w:pPr>
              <w:rPr>
                <w:rFonts w:hint="default" w:ascii="Times New Roman" w:hAnsi="Times New Roman" w:eastAsia="宋体" w:cs="Times New Roman"/>
                <w:i w:val="0"/>
                <w:iCs w:val="0"/>
                <w:color w:val="000000"/>
                <w:sz w:val="18"/>
                <w:szCs w:val="18"/>
                <w:u w:val="none"/>
              </w:rPr>
            </w:pPr>
          </w:p>
        </w:tc>
        <w:tc>
          <w:tcPr>
            <w:tcW w:w="455" w:type="dxa"/>
            <w:tcBorders>
              <w:top w:val="nil"/>
              <w:left w:val="nil"/>
              <w:bottom w:val="nil"/>
              <w:right w:val="nil"/>
            </w:tcBorders>
            <w:shd w:val="clear" w:color="auto" w:fill="auto"/>
            <w:vAlign w:val="center"/>
          </w:tcPr>
          <w:p w14:paraId="2CBE5096">
            <w:pPr>
              <w:rPr>
                <w:rFonts w:hint="default" w:ascii="Times New Roman" w:hAnsi="Times New Roman" w:eastAsia="宋体" w:cs="Times New Roman"/>
                <w:i w:val="0"/>
                <w:iCs w:val="0"/>
                <w:color w:val="000000"/>
                <w:sz w:val="18"/>
                <w:szCs w:val="18"/>
                <w:u w:val="none"/>
              </w:rPr>
            </w:pPr>
          </w:p>
        </w:tc>
        <w:tc>
          <w:tcPr>
            <w:tcW w:w="564" w:type="dxa"/>
            <w:tcBorders>
              <w:top w:val="nil"/>
              <w:left w:val="nil"/>
              <w:bottom w:val="nil"/>
              <w:right w:val="nil"/>
            </w:tcBorders>
            <w:shd w:val="clear" w:color="auto" w:fill="auto"/>
            <w:vAlign w:val="center"/>
          </w:tcPr>
          <w:p w14:paraId="01C99D9F">
            <w:pPr>
              <w:rPr>
                <w:rFonts w:hint="default" w:ascii="Times New Roman" w:hAnsi="Times New Roman" w:eastAsia="宋体" w:cs="Times New Roman"/>
                <w:i w:val="0"/>
                <w:iCs w:val="0"/>
                <w:color w:val="000000"/>
                <w:sz w:val="18"/>
                <w:szCs w:val="18"/>
                <w:u w:val="none"/>
              </w:rPr>
            </w:pPr>
          </w:p>
        </w:tc>
        <w:tc>
          <w:tcPr>
            <w:tcW w:w="2301" w:type="dxa"/>
            <w:tcBorders>
              <w:top w:val="nil"/>
              <w:left w:val="nil"/>
              <w:bottom w:val="nil"/>
              <w:right w:val="nil"/>
            </w:tcBorders>
            <w:shd w:val="clear" w:color="auto" w:fill="auto"/>
            <w:vAlign w:val="center"/>
          </w:tcPr>
          <w:p w14:paraId="5441FED0">
            <w:pPr>
              <w:rPr>
                <w:rFonts w:hint="default" w:ascii="Times New Roman" w:hAnsi="Times New Roman" w:eastAsia="宋体" w:cs="Times New Roman"/>
                <w:i w:val="0"/>
                <w:iCs w:val="0"/>
                <w:color w:val="000000"/>
                <w:sz w:val="18"/>
                <w:szCs w:val="18"/>
                <w:u w:val="none"/>
              </w:rPr>
            </w:pPr>
          </w:p>
        </w:tc>
      </w:tr>
      <w:tr w14:paraId="5EE1D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8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70E5F0">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14:paraId="67CB5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2EB4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10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2B1506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51041121Y000000068015-基本公用经费支出总额（行政）</w:t>
            </w:r>
          </w:p>
        </w:tc>
      </w:tr>
      <w:tr w14:paraId="76271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50E2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6F676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攀枝花市仁和区信访局部门</w:t>
            </w:r>
          </w:p>
        </w:tc>
        <w:tc>
          <w:tcPr>
            <w:tcW w:w="982" w:type="dxa"/>
            <w:tcBorders>
              <w:top w:val="nil"/>
              <w:left w:val="nil"/>
              <w:bottom w:val="nil"/>
              <w:right w:val="nil"/>
            </w:tcBorders>
            <w:shd w:val="clear" w:color="auto" w:fill="auto"/>
            <w:vAlign w:val="center"/>
          </w:tcPr>
          <w:p w14:paraId="503C26E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1706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攀枝花市仁和区信访局</w:t>
            </w:r>
          </w:p>
        </w:tc>
      </w:tr>
      <w:tr w14:paraId="37FD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B383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9140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3F02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68F9C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6B670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BD6E3">
            <w:pP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5AE68">
            <w:pPr>
              <w:rPr>
                <w:rFonts w:hint="default" w:ascii="Times New Roman" w:hAnsi="Times New Roman" w:eastAsia="宋体" w:cs="Times New Roman"/>
                <w:i w:val="0"/>
                <w:iCs w:val="0"/>
                <w:color w:val="000000"/>
                <w:sz w:val="18"/>
                <w:szCs w:val="18"/>
                <w:u w:val="none"/>
              </w:rPr>
            </w:pP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EADA1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保障单位日常运转，提高预算编制质量，严格执行预算</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2992C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2022年未完成年度目标</w:t>
            </w:r>
          </w:p>
        </w:tc>
      </w:tr>
      <w:tr w14:paraId="5DA34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3A028">
            <w:pP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07F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10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E39D9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保障单位日常运转，因财政资金紧张，执行情况一般。</w:t>
            </w:r>
          </w:p>
        </w:tc>
      </w:tr>
      <w:tr w14:paraId="7F13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D00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9E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D4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59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0E57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3D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5D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CA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B0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1DDBD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DD017">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3B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0D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57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D6A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46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37.11%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E0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83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A3F84">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default" w:ascii="Times New Roman" w:hAnsi="Times New Roman" w:eastAsia="黑体" w:cs="Times New Roman"/>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814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48C04">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48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A8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37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EA31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8B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37.11%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BD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AF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271CE">
            <w:pPr>
              <w:rPr>
                <w:rFonts w:hint="default" w:ascii="Times New Roman" w:hAnsi="Times New Roman" w:eastAsia="黑体" w:cs="Times New Roman"/>
                <w:i/>
                <w:iCs/>
                <w:color w:val="000000"/>
                <w:sz w:val="18"/>
                <w:szCs w:val="18"/>
                <w:u w:val="none"/>
              </w:rPr>
            </w:pPr>
          </w:p>
        </w:tc>
      </w:tr>
      <w:tr w14:paraId="3E86B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0C305">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C3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AD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AE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7A5F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E8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9F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99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DACD8">
            <w:pPr>
              <w:rPr>
                <w:rFonts w:hint="default" w:ascii="Times New Roman" w:hAnsi="Times New Roman" w:eastAsia="黑体" w:cs="Times New Roman"/>
                <w:i/>
                <w:iCs/>
                <w:color w:val="000000"/>
                <w:sz w:val="18"/>
                <w:szCs w:val="18"/>
                <w:u w:val="none"/>
              </w:rPr>
            </w:pPr>
          </w:p>
        </w:tc>
      </w:tr>
      <w:tr w14:paraId="34163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954D7">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72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82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CB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99E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77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DA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10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13075">
            <w:pPr>
              <w:rPr>
                <w:rFonts w:hint="default" w:ascii="Times New Roman" w:hAnsi="Times New Roman" w:eastAsia="黑体" w:cs="Times New Roman"/>
                <w:i/>
                <w:iCs/>
                <w:color w:val="000000"/>
                <w:sz w:val="18"/>
                <w:szCs w:val="18"/>
                <w:u w:val="none"/>
              </w:rPr>
            </w:pPr>
          </w:p>
        </w:tc>
      </w:tr>
      <w:tr w14:paraId="4AA0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1BA7D">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A2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B9A9">
            <w:pPr>
              <w:jc w:val="center"/>
              <w:rPr>
                <w:rFonts w:hint="default" w:ascii="Times New Roman" w:hAnsi="Times New Roman" w:eastAsia="微软雅黑" w:cs="Times New Roman"/>
                <w:i/>
                <w:iCs/>
                <w:color w:val="000000"/>
                <w:sz w:val="16"/>
                <w:szCs w:val="16"/>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C988">
            <w:pPr>
              <w:jc w:val="center"/>
              <w:rPr>
                <w:rFonts w:hint="default" w:ascii="Times New Roman" w:hAnsi="Times New Roman" w:eastAsia="微软雅黑" w:cs="Times New Roman"/>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F71C1C">
            <w:pPr>
              <w:jc w:val="center"/>
              <w:rPr>
                <w:rFonts w:hint="default" w:ascii="Times New Roman" w:hAnsi="Times New Roman" w:eastAsia="微软雅黑" w:cs="Times New Roman"/>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E485">
            <w:pPr>
              <w:jc w:val="center"/>
              <w:rPr>
                <w:rFonts w:hint="default" w:ascii="Times New Roman" w:hAnsi="Times New Roman" w:eastAsia="微软雅黑" w:cs="Times New Roman"/>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39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B5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6858E">
            <w:pPr>
              <w:rPr>
                <w:rFonts w:hint="default" w:ascii="Times New Roman" w:hAnsi="Times New Roman" w:eastAsia="黑体" w:cs="Times New Roman"/>
                <w:i/>
                <w:iCs/>
                <w:color w:val="000000"/>
                <w:sz w:val="18"/>
                <w:szCs w:val="18"/>
                <w:u w:val="none"/>
              </w:rPr>
            </w:pPr>
          </w:p>
        </w:tc>
      </w:tr>
      <w:tr w14:paraId="56F31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A007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F3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52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6B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4F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BE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CB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28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F7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6B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0F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5A2C9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EF003">
            <w:pPr>
              <w:jc w:val="center"/>
              <w:rPr>
                <w:rFonts w:hint="default" w:ascii="Times New Roman" w:hAnsi="Times New Roman" w:eastAsia="宋体" w:cs="Times New Roman"/>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31A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99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E2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科目调整次数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ED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99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D6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7746">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02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F3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D9CC">
            <w:pPr>
              <w:jc w:val="center"/>
              <w:rPr>
                <w:rFonts w:hint="default" w:ascii="Times New Roman" w:hAnsi="Times New Roman" w:eastAsia="微软雅黑" w:cs="Times New Roman"/>
                <w:i/>
                <w:iCs/>
                <w:color w:val="000000"/>
                <w:sz w:val="16"/>
                <w:szCs w:val="16"/>
                <w:u w:val="none"/>
              </w:rPr>
            </w:pPr>
          </w:p>
        </w:tc>
      </w:tr>
      <w:tr w14:paraId="1E6A0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95CF6">
            <w:pPr>
              <w:jc w:val="cente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06AA8">
            <w:pPr>
              <w:jc w:val="center"/>
              <w:rPr>
                <w:rFonts w:hint="default" w:ascii="Times New Roman" w:hAnsi="Times New Roman" w:eastAsia="宋体" w:cs="Times New Roman"/>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54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25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预算编制准确率（计算方法为：∣（执行数-预算数）/预算数∣）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C6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C0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AC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6388">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0B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51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AD5A">
            <w:pPr>
              <w:jc w:val="center"/>
              <w:rPr>
                <w:rFonts w:hint="default" w:ascii="Times New Roman" w:hAnsi="Times New Roman" w:eastAsia="微软雅黑" w:cs="Times New Roman"/>
                <w:i/>
                <w:iCs/>
                <w:color w:val="000000"/>
                <w:sz w:val="16"/>
                <w:szCs w:val="16"/>
                <w:u w:val="none"/>
              </w:rPr>
            </w:pPr>
          </w:p>
        </w:tc>
      </w:tr>
      <w:tr w14:paraId="0177D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F0A72">
            <w:pPr>
              <w:jc w:val="center"/>
              <w:rPr>
                <w:rFonts w:hint="default" w:ascii="Times New Roman" w:hAnsi="Times New Roman" w:eastAsia="宋体" w:cs="Times New Roman"/>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D5F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8FC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70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运转保障率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43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F0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18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1D35">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70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99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4D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8BEB">
            <w:pPr>
              <w:jc w:val="center"/>
              <w:rPr>
                <w:rFonts w:hint="default" w:ascii="Times New Roman" w:hAnsi="Times New Roman" w:eastAsia="微软雅黑" w:cs="Times New Roman"/>
                <w:i/>
                <w:iCs/>
                <w:color w:val="000000"/>
                <w:sz w:val="16"/>
                <w:szCs w:val="16"/>
                <w:u w:val="none"/>
              </w:rPr>
            </w:pPr>
          </w:p>
        </w:tc>
      </w:tr>
      <w:tr w14:paraId="4CAB2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2F451">
            <w:pPr>
              <w:jc w:val="cente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8E791">
            <w:pPr>
              <w:jc w:val="center"/>
              <w:rPr>
                <w:rFonts w:hint="default" w:ascii="Times New Roman" w:hAnsi="Times New Roman" w:eastAsia="宋体" w:cs="Times New Roman"/>
                <w:i w:val="0"/>
                <w:iCs w:val="0"/>
                <w:color w:val="000000"/>
                <w:sz w:val="18"/>
                <w:szCs w:val="18"/>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63DD1">
            <w:pPr>
              <w:jc w:val="center"/>
              <w:rPr>
                <w:rFonts w:hint="default" w:ascii="Times New Roman" w:hAnsi="Times New Roman" w:eastAsia="宋体" w:cs="Times New Roman"/>
                <w:i w:val="0"/>
                <w:iCs w:val="0"/>
                <w:color w:val="000000"/>
                <w:sz w:val="18"/>
                <w:szCs w:val="18"/>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92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“三”公经费控制率[计算方法为：（</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三公</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经费实际支出数/预算安排数]×100%）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94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14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BD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0E82">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70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9D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E3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A105">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财政资金困难</w:t>
            </w:r>
          </w:p>
        </w:tc>
      </w:tr>
      <w:tr w14:paraId="139B8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5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D115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14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203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69</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1AB0">
            <w:pPr>
              <w:rPr>
                <w:rFonts w:hint="default" w:ascii="Times New Roman" w:hAnsi="Times New Roman" w:eastAsia="宋体" w:cs="Times New Roman"/>
                <w:i w:val="0"/>
                <w:iCs w:val="0"/>
                <w:color w:val="000000"/>
                <w:sz w:val="18"/>
                <w:szCs w:val="18"/>
                <w:u w:val="none"/>
              </w:rPr>
            </w:pPr>
          </w:p>
        </w:tc>
      </w:tr>
      <w:tr w14:paraId="53C63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C3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06E922">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本项目2022年度预算执行情况及绩效评价一般，因受年度财政资金等不可控因素影响，预算执行灵敏还未能全部达到年初预算数。</w:t>
            </w:r>
          </w:p>
        </w:tc>
      </w:tr>
      <w:tr w14:paraId="3338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FF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ED510A">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财政资金紧张，预算执行无法全部到位。</w:t>
            </w:r>
          </w:p>
        </w:tc>
      </w:tr>
      <w:tr w14:paraId="42158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C2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7413B3">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积极与财政沟通协调，争取保运转资金，统筹开支。</w:t>
            </w:r>
          </w:p>
        </w:tc>
      </w:tr>
      <w:tr w14:paraId="17D9C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F4B82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c>
          <w:tcPr>
            <w:tcW w:w="6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CC6E0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r>
      <w:tr w14:paraId="7E8BE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1F0259F5">
            <w:pPr>
              <w:rPr>
                <w:rFonts w:hint="default" w:ascii="Times New Roman" w:hAnsi="Times New Roman" w:eastAsia="宋体" w:cs="Times New Roman"/>
                <w:i w:val="0"/>
                <w:iCs w:val="0"/>
                <w:color w:val="000000"/>
                <w:sz w:val="18"/>
                <w:szCs w:val="18"/>
                <w:u w:val="none"/>
              </w:rPr>
            </w:pPr>
          </w:p>
        </w:tc>
        <w:tc>
          <w:tcPr>
            <w:tcW w:w="1847" w:type="dxa"/>
            <w:tcBorders>
              <w:top w:val="nil"/>
              <w:left w:val="nil"/>
              <w:bottom w:val="nil"/>
              <w:right w:val="nil"/>
            </w:tcBorders>
            <w:shd w:val="clear" w:color="auto" w:fill="auto"/>
            <w:vAlign w:val="center"/>
          </w:tcPr>
          <w:p w14:paraId="1A73EB66">
            <w:pPr>
              <w:rPr>
                <w:rFonts w:hint="default" w:ascii="Times New Roman" w:hAnsi="Times New Roman" w:eastAsia="宋体" w:cs="Times New Roman"/>
                <w:i w:val="0"/>
                <w:iCs w:val="0"/>
                <w:color w:val="000000"/>
                <w:sz w:val="18"/>
                <w:szCs w:val="18"/>
                <w:u w:val="none"/>
              </w:rPr>
            </w:pPr>
          </w:p>
        </w:tc>
        <w:tc>
          <w:tcPr>
            <w:tcW w:w="1598" w:type="dxa"/>
            <w:tcBorders>
              <w:top w:val="nil"/>
              <w:left w:val="nil"/>
              <w:bottom w:val="nil"/>
              <w:right w:val="nil"/>
            </w:tcBorders>
            <w:shd w:val="clear" w:color="auto" w:fill="auto"/>
            <w:vAlign w:val="center"/>
          </w:tcPr>
          <w:p w14:paraId="3690F73C">
            <w:pPr>
              <w:rPr>
                <w:rFonts w:hint="default" w:ascii="Times New Roman" w:hAnsi="Times New Roman" w:eastAsia="宋体" w:cs="Times New Roman"/>
                <w:i w:val="0"/>
                <w:iCs w:val="0"/>
                <w:color w:val="000000"/>
                <w:sz w:val="18"/>
                <w:szCs w:val="18"/>
                <w:u w:val="none"/>
              </w:rPr>
            </w:pPr>
          </w:p>
        </w:tc>
        <w:tc>
          <w:tcPr>
            <w:tcW w:w="2038" w:type="dxa"/>
            <w:tcBorders>
              <w:top w:val="nil"/>
              <w:left w:val="nil"/>
              <w:bottom w:val="nil"/>
              <w:right w:val="nil"/>
            </w:tcBorders>
            <w:shd w:val="clear" w:color="auto" w:fill="auto"/>
            <w:vAlign w:val="center"/>
          </w:tcPr>
          <w:p w14:paraId="6A86C5A9">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4519C9F4">
            <w:pPr>
              <w:rPr>
                <w:rFonts w:hint="default" w:ascii="Times New Roman" w:hAnsi="Times New Roman" w:eastAsia="宋体" w:cs="Times New Roman"/>
                <w:i w:val="0"/>
                <w:iCs w:val="0"/>
                <w:color w:val="000000"/>
                <w:sz w:val="18"/>
                <w:szCs w:val="18"/>
                <w:u w:val="none"/>
              </w:rPr>
            </w:pPr>
          </w:p>
        </w:tc>
        <w:tc>
          <w:tcPr>
            <w:tcW w:w="1509" w:type="dxa"/>
            <w:tcBorders>
              <w:top w:val="nil"/>
              <w:left w:val="nil"/>
              <w:bottom w:val="nil"/>
              <w:right w:val="nil"/>
            </w:tcBorders>
            <w:shd w:val="clear" w:color="auto" w:fill="auto"/>
            <w:vAlign w:val="center"/>
          </w:tcPr>
          <w:p w14:paraId="076B423B">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0731EE91">
            <w:pPr>
              <w:rPr>
                <w:rFonts w:hint="default" w:ascii="Times New Roman" w:hAnsi="Times New Roman" w:eastAsia="宋体" w:cs="Times New Roman"/>
                <w:i w:val="0"/>
                <w:iCs w:val="0"/>
                <w:color w:val="000000"/>
                <w:sz w:val="18"/>
                <w:szCs w:val="18"/>
                <w:u w:val="none"/>
              </w:rPr>
            </w:pPr>
          </w:p>
        </w:tc>
        <w:tc>
          <w:tcPr>
            <w:tcW w:w="982" w:type="dxa"/>
            <w:tcBorders>
              <w:top w:val="nil"/>
              <w:left w:val="nil"/>
              <w:bottom w:val="nil"/>
              <w:right w:val="nil"/>
            </w:tcBorders>
            <w:shd w:val="clear" w:color="auto" w:fill="auto"/>
            <w:vAlign w:val="center"/>
          </w:tcPr>
          <w:p w14:paraId="48700AC6">
            <w:pPr>
              <w:rPr>
                <w:rFonts w:hint="default" w:ascii="Times New Roman" w:hAnsi="Times New Roman" w:eastAsia="宋体" w:cs="Times New Roman"/>
                <w:i w:val="0"/>
                <w:iCs w:val="0"/>
                <w:color w:val="000000"/>
                <w:sz w:val="18"/>
                <w:szCs w:val="18"/>
                <w:u w:val="none"/>
              </w:rPr>
            </w:pPr>
          </w:p>
        </w:tc>
        <w:tc>
          <w:tcPr>
            <w:tcW w:w="455" w:type="dxa"/>
            <w:tcBorders>
              <w:top w:val="nil"/>
              <w:left w:val="nil"/>
              <w:bottom w:val="nil"/>
              <w:right w:val="nil"/>
            </w:tcBorders>
            <w:shd w:val="clear" w:color="auto" w:fill="auto"/>
            <w:vAlign w:val="center"/>
          </w:tcPr>
          <w:p w14:paraId="769BA33B">
            <w:pPr>
              <w:rPr>
                <w:rFonts w:hint="default" w:ascii="Times New Roman" w:hAnsi="Times New Roman" w:eastAsia="宋体" w:cs="Times New Roman"/>
                <w:i w:val="0"/>
                <w:iCs w:val="0"/>
                <w:color w:val="000000"/>
                <w:sz w:val="18"/>
                <w:szCs w:val="18"/>
                <w:u w:val="none"/>
              </w:rPr>
            </w:pPr>
          </w:p>
        </w:tc>
        <w:tc>
          <w:tcPr>
            <w:tcW w:w="564" w:type="dxa"/>
            <w:tcBorders>
              <w:top w:val="nil"/>
              <w:left w:val="nil"/>
              <w:bottom w:val="nil"/>
              <w:right w:val="nil"/>
            </w:tcBorders>
            <w:shd w:val="clear" w:color="auto" w:fill="auto"/>
            <w:vAlign w:val="center"/>
          </w:tcPr>
          <w:p w14:paraId="06FF9B59">
            <w:pPr>
              <w:rPr>
                <w:rFonts w:hint="default" w:ascii="Times New Roman" w:hAnsi="Times New Roman" w:eastAsia="宋体" w:cs="Times New Roman"/>
                <w:i w:val="0"/>
                <w:iCs w:val="0"/>
                <w:color w:val="000000"/>
                <w:sz w:val="18"/>
                <w:szCs w:val="18"/>
                <w:u w:val="none"/>
              </w:rPr>
            </w:pPr>
          </w:p>
        </w:tc>
        <w:tc>
          <w:tcPr>
            <w:tcW w:w="2301" w:type="dxa"/>
            <w:tcBorders>
              <w:top w:val="nil"/>
              <w:left w:val="nil"/>
              <w:bottom w:val="nil"/>
              <w:right w:val="nil"/>
            </w:tcBorders>
            <w:shd w:val="clear" w:color="auto" w:fill="auto"/>
            <w:vAlign w:val="center"/>
          </w:tcPr>
          <w:p w14:paraId="412094AD">
            <w:pPr>
              <w:rPr>
                <w:rFonts w:hint="default" w:ascii="Times New Roman" w:hAnsi="Times New Roman" w:eastAsia="宋体" w:cs="Times New Roman"/>
                <w:i w:val="0"/>
                <w:iCs w:val="0"/>
                <w:color w:val="000000"/>
                <w:sz w:val="18"/>
                <w:szCs w:val="18"/>
                <w:u w:val="none"/>
              </w:rPr>
            </w:pPr>
          </w:p>
        </w:tc>
      </w:tr>
      <w:tr w14:paraId="3DAF4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399EF40D">
            <w:pPr>
              <w:rPr>
                <w:rFonts w:hint="default" w:ascii="Times New Roman" w:hAnsi="Times New Roman" w:eastAsia="宋体" w:cs="Times New Roman"/>
                <w:i w:val="0"/>
                <w:iCs w:val="0"/>
                <w:color w:val="000000"/>
                <w:sz w:val="18"/>
                <w:szCs w:val="18"/>
                <w:u w:val="none"/>
              </w:rPr>
            </w:pPr>
          </w:p>
          <w:p w14:paraId="036F39C5">
            <w:pPr>
              <w:rPr>
                <w:rFonts w:hint="default" w:ascii="Times New Roman" w:hAnsi="Times New Roman" w:eastAsia="宋体" w:cs="Times New Roman"/>
                <w:i w:val="0"/>
                <w:iCs w:val="0"/>
                <w:color w:val="000000"/>
                <w:sz w:val="18"/>
                <w:szCs w:val="18"/>
                <w:u w:val="none"/>
              </w:rPr>
            </w:pPr>
          </w:p>
          <w:p w14:paraId="7B013101">
            <w:pPr>
              <w:rPr>
                <w:rFonts w:hint="default" w:ascii="Times New Roman" w:hAnsi="Times New Roman" w:eastAsia="宋体" w:cs="Times New Roman"/>
                <w:i w:val="0"/>
                <w:iCs w:val="0"/>
                <w:color w:val="000000"/>
                <w:sz w:val="18"/>
                <w:szCs w:val="18"/>
                <w:u w:val="none"/>
              </w:rPr>
            </w:pPr>
          </w:p>
          <w:p w14:paraId="2AC034DC">
            <w:pPr>
              <w:rPr>
                <w:rFonts w:hint="default" w:ascii="Times New Roman" w:hAnsi="Times New Roman" w:eastAsia="宋体" w:cs="Times New Roman"/>
                <w:i w:val="0"/>
                <w:iCs w:val="0"/>
                <w:color w:val="000000"/>
                <w:sz w:val="18"/>
                <w:szCs w:val="18"/>
                <w:u w:val="none"/>
              </w:rPr>
            </w:pPr>
          </w:p>
          <w:p w14:paraId="44DD59B5">
            <w:pPr>
              <w:rPr>
                <w:rFonts w:hint="default" w:ascii="Times New Roman" w:hAnsi="Times New Roman" w:eastAsia="宋体" w:cs="Times New Roman"/>
                <w:i w:val="0"/>
                <w:iCs w:val="0"/>
                <w:color w:val="000000"/>
                <w:sz w:val="18"/>
                <w:szCs w:val="18"/>
                <w:u w:val="none"/>
              </w:rPr>
            </w:pPr>
          </w:p>
        </w:tc>
        <w:tc>
          <w:tcPr>
            <w:tcW w:w="1847" w:type="dxa"/>
            <w:tcBorders>
              <w:top w:val="nil"/>
              <w:left w:val="nil"/>
              <w:bottom w:val="nil"/>
              <w:right w:val="nil"/>
            </w:tcBorders>
            <w:shd w:val="clear" w:color="auto" w:fill="auto"/>
            <w:vAlign w:val="center"/>
          </w:tcPr>
          <w:p w14:paraId="1338C2CB">
            <w:pPr>
              <w:rPr>
                <w:rFonts w:hint="default" w:ascii="Times New Roman" w:hAnsi="Times New Roman" w:eastAsia="宋体" w:cs="Times New Roman"/>
                <w:i w:val="0"/>
                <w:iCs w:val="0"/>
                <w:color w:val="000000"/>
                <w:sz w:val="18"/>
                <w:szCs w:val="18"/>
                <w:u w:val="none"/>
              </w:rPr>
            </w:pPr>
          </w:p>
        </w:tc>
        <w:tc>
          <w:tcPr>
            <w:tcW w:w="1598" w:type="dxa"/>
            <w:tcBorders>
              <w:top w:val="nil"/>
              <w:left w:val="nil"/>
              <w:bottom w:val="nil"/>
              <w:right w:val="nil"/>
            </w:tcBorders>
            <w:shd w:val="clear" w:color="auto" w:fill="auto"/>
            <w:vAlign w:val="center"/>
          </w:tcPr>
          <w:p w14:paraId="65345657">
            <w:pPr>
              <w:rPr>
                <w:rFonts w:hint="default" w:ascii="Times New Roman" w:hAnsi="Times New Roman" w:eastAsia="宋体" w:cs="Times New Roman"/>
                <w:i w:val="0"/>
                <w:iCs w:val="0"/>
                <w:color w:val="000000"/>
                <w:sz w:val="18"/>
                <w:szCs w:val="18"/>
                <w:u w:val="none"/>
              </w:rPr>
            </w:pPr>
          </w:p>
        </w:tc>
        <w:tc>
          <w:tcPr>
            <w:tcW w:w="2038" w:type="dxa"/>
            <w:tcBorders>
              <w:top w:val="nil"/>
              <w:left w:val="nil"/>
              <w:bottom w:val="nil"/>
              <w:right w:val="nil"/>
            </w:tcBorders>
            <w:shd w:val="clear" w:color="auto" w:fill="auto"/>
            <w:vAlign w:val="center"/>
          </w:tcPr>
          <w:p w14:paraId="05FD51C8">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0AEC27C0">
            <w:pPr>
              <w:rPr>
                <w:rFonts w:hint="default" w:ascii="Times New Roman" w:hAnsi="Times New Roman" w:eastAsia="宋体" w:cs="Times New Roman"/>
                <w:i w:val="0"/>
                <w:iCs w:val="0"/>
                <w:color w:val="000000"/>
                <w:sz w:val="18"/>
                <w:szCs w:val="18"/>
                <w:u w:val="none"/>
              </w:rPr>
            </w:pPr>
          </w:p>
        </w:tc>
        <w:tc>
          <w:tcPr>
            <w:tcW w:w="1509" w:type="dxa"/>
            <w:tcBorders>
              <w:top w:val="nil"/>
              <w:left w:val="nil"/>
              <w:bottom w:val="nil"/>
              <w:right w:val="nil"/>
            </w:tcBorders>
            <w:shd w:val="clear" w:color="auto" w:fill="auto"/>
            <w:vAlign w:val="center"/>
          </w:tcPr>
          <w:p w14:paraId="4E4245D2">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67EC0C7C">
            <w:pPr>
              <w:rPr>
                <w:rFonts w:hint="default" w:ascii="Times New Roman" w:hAnsi="Times New Roman" w:eastAsia="宋体" w:cs="Times New Roman"/>
                <w:i w:val="0"/>
                <w:iCs w:val="0"/>
                <w:color w:val="000000"/>
                <w:sz w:val="18"/>
                <w:szCs w:val="18"/>
                <w:u w:val="none"/>
              </w:rPr>
            </w:pPr>
          </w:p>
        </w:tc>
        <w:tc>
          <w:tcPr>
            <w:tcW w:w="982" w:type="dxa"/>
            <w:tcBorders>
              <w:top w:val="nil"/>
              <w:left w:val="nil"/>
              <w:bottom w:val="nil"/>
              <w:right w:val="nil"/>
            </w:tcBorders>
            <w:shd w:val="clear" w:color="auto" w:fill="auto"/>
            <w:vAlign w:val="center"/>
          </w:tcPr>
          <w:p w14:paraId="66E06EAF">
            <w:pPr>
              <w:rPr>
                <w:rFonts w:hint="default" w:ascii="Times New Roman" w:hAnsi="Times New Roman" w:eastAsia="宋体" w:cs="Times New Roman"/>
                <w:i w:val="0"/>
                <w:iCs w:val="0"/>
                <w:color w:val="000000"/>
                <w:sz w:val="18"/>
                <w:szCs w:val="18"/>
                <w:u w:val="none"/>
              </w:rPr>
            </w:pPr>
          </w:p>
        </w:tc>
        <w:tc>
          <w:tcPr>
            <w:tcW w:w="455" w:type="dxa"/>
            <w:tcBorders>
              <w:top w:val="nil"/>
              <w:left w:val="nil"/>
              <w:bottom w:val="nil"/>
              <w:right w:val="nil"/>
            </w:tcBorders>
            <w:shd w:val="clear" w:color="auto" w:fill="auto"/>
            <w:vAlign w:val="center"/>
          </w:tcPr>
          <w:p w14:paraId="4DC22FB1">
            <w:pPr>
              <w:rPr>
                <w:rFonts w:hint="default" w:ascii="Times New Roman" w:hAnsi="Times New Roman" w:eastAsia="宋体" w:cs="Times New Roman"/>
                <w:i w:val="0"/>
                <w:iCs w:val="0"/>
                <w:color w:val="000000"/>
                <w:sz w:val="18"/>
                <w:szCs w:val="18"/>
                <w:u w:val="none"/>
              </w:rPr>
            </w:pPr>
          </w:p>
        </w:tc>
        <w:tc>
          <w:tcPr>
            <w:tcW w:w="564" w:type="dxa"/>
            <w:tcBorders>
              <w:top w:val="nil"/>
              <w:left w:val="nil"/>
              <w:bottom w:val="nil"/>
              <w:right w:val="nil"/>
            </w:tcBorders>
            <w:shd w:val="clear" w:color="auto" w:fill="auto"/>
            <w:vAlign w:val="center"/>
          </w:tcPr>
          <w:p w14:paraId="00F7883F">
            <w:pPr>
              <w:rPr>
                <w:rFonts w:hint="default" w:ascii="Times New Roman" w:hAnsi="Times New Roman" w:eastAsia="宋体" w:cs="Times New Roman"/>
                <w:i w:val="0"/>
                <w:iCs w:val="0"/>
                <w:color w:val="000000"/>
                <w:sz w:val="18"/>
                <w:szCs w:val="18"/>
                <w:u w:val="none"/>
              </w:rPr>
            </w:pPr>
          </w:p>
        </w:tc>
        <w:tc>
          <w:tcPr>
            <w:tcW w:w="2301" w:type="dxa"/>
            <w:tcBorders>
              <w:top w:val="nil"/>
              <w:left w:val="nil"/>
              <w:bottom w:val="nil"/>
              <w:right w:val="nil"/>
            </w:tcBorders>
            <w:shd w:val="clear" w:color="auto" w:fill="auto"/>
            <w:vAlign w:val="center"/>
          </w:tcPr>
          <w:p w14:paraId="7D83B856">
            <w:pPr>
              <w:rPr>
                <w:rFonts w:hint="default" w:ascii="Times New Roman" w:hAnsi="Times New Roman" w:eastAsia="宋体" w:cs="Times New Roman"/>
                <w:i w:val="0"/>
                <w:iCs w:val="0"/>
                <w:color w:val="000000"/>
                <w:sz w:val="18"/>
                <w:szCs w:val="18"/>
                <w:u w:val="none"/>
              </w:rPr>
            </w:pPr>
          </w:p>
        </w:tc>
      </w:tr>
      <w:tr w14:paraId="7B8D2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8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8556B4">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14:paraId="3F2BF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A794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10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A064E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51041121Y000000068017-基本公用经费支出总额（事业）</w:t>
            </w:r>
          </w:p>
        </w:tc>
      </w:tr>
      <w:tr w14:paraId="591A2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0E87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99236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攀枝花市仁和区信访局部门</w:t>
            </w:r>
          </w:p>
        </w:tc>
        <w:tc>
          <w:tcPr>
            <w:tcW w:w="982" w:type="dxa"/>
            <w:tcBorders>
              <w:top w:val="nil"/>
              <w:left w:val="nil"/>
              <w:bottom w:val="nil"/>
              <w:right w:val="nil"/>
            </w:tcBorders>
            <w:shd w:val="clear" w:color="auto" w:fill="auto"/>
            <w:vAlign w:val="center"/>
          </w:tcPr>
          <w:p w14:paraId="573018D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FD2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攀枝花市仁和区信访局</w:t>
            </w:r>
          </w:p>
        </w:tc>
      </w:tr>
      <w:tr w14:paraId="4B48A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039E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2C2C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814F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55979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591CE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6A4D5">
            <w:pP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9590E">
            <w:pPr>
              <w:rPr>
                <w:rFonts w:hint="default" w:ascii="Times New Roman" w:hAnsi="Times New Roman" w:eastAsia="宋体" w:cs="Times New Roman"/>
                <w:i w:val="0"/>
                <w:iCs w:val="0"/>
                <w:color w:val="000000"/>
                <w:sz w:val="18"/>
                <w:szCs w:val="18"/>
                <w:u w:val="none"/>
              </w:rPr>
            </w:pP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F5646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保障单位日常运转，提高预算编制质量，严格执行预算</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F6675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2022年未完成年度目标</w:t>
            </w:r>
          </w:p>
        </w:tc>
      </w:tr>
      <w:tr w14:paraId="4D320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7F01E">
            <w:pP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421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10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4EA0E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保障单位日常运转，因财政资金紧张，执行情况较差。</w:t>
            </w:r>
          </w:p>
        </w:tc>
      </w:tr>
      <w:tr w14:paraId="2484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170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96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45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D1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5EC6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5F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E3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FB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EF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23A0E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00D9F">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3F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4A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F8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D7A2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4D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8A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CE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664FE">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default" w:ascii="Times New Roman" w:hAnsi="Times New Roman" w:eastAsia="黑体" w:cs="Times New Roman"/>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DEF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E0581">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FA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DE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20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7B9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19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8F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8F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95D09">
            <w:pPr>
              <w:rPr>
                <w:rFonts w:hint="default" w:ascii="Times New Roman" w:hAnsi="Times New Roman" w:eastAsia="黑体" w:cs="Times New Roman"/>
                <w:i/>
                <w:iCs/>
                <w:color w:val="000000"/>
                <w:sz w:val="18"/>
                <w:szCs w:val="18"/>
                <w:u w:val="none"/>
              </w:rPr>
            </w:pPr>
          </w:p>
        </w:tc>
      </w:tr>
      <w:tr w14:paraId="1DD94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6D9FA">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A4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AE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FD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895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39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24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97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ED1A8">
            <w:pPr>
              <w:rPr>
                <w:rFonts w:hint="default" w:ascii="Times New Roman" w:hAnsi="Times New Roman" w:eastAsia="黑体" w:cs="Times New Roman"/>
                <w:i/>
                <w:iCs/>
                <w:color w:val="000000"/>
                <w:sz w:val="18"/>
                <w:szCs w:val="18"/>
                <w:u w:val="none"/>
              </w:rPr>
            </w:pPr>
          </w:p>
        </w:tc>
      </w:tr>
      <w:tr w14:paraId="18726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E340D">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38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7A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69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649A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3B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A2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7E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AC69C">
            <w:pPr>
              <w:rPr>
                <w:rFonts w:hint="default" w:ascii="Times New Roman" w:hAnsi="Times New Roman" w:eastAsia="黑体" w:cs="Times New Roman"/>
                <w:i/>
                <w:iCs/>
                <w:color w:val="000000"/>
                <w:sz w:val="18"/>
                <w:szCs w:val="18"/>
                <w:u w:val="none"/>
              </w:rPr>
            </w:pPr>
          </w:p>
        </w:tc>
      </w:tr>
      <w:tr w14:paraId="6DE16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E2C20">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14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6B92">
            <w:pPr>
              <w:jc w:val="center"/>
              <w:rPr>
                <w:rFonts w:hint="default" w:ascii="Times New Roman" w:hAnsi="Times New Roman" w:eastAsia="微软雅黑" w:cs="Times New Roman"/>
                <w:i/>
                <w:iCs/>
                <w:color w:val="000000"/>
                <w:sz w:val="16"/>
                <w:szCs w:val="16"/>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65A1">
            <w:pPr>
              <w:jc w:val="center"/>
              <w:rPr>
                <w:rFonts w:hint="default" w:ascii="Times New Roman" w:hAnsi="Times New Roman" w:eastAsia="微软雅黑" w:cs="Times New Roman"/>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F45B0">
            <w:pPr>
              <w:jc w:val="center"/>
              <w:rPr>
                <w:rFonts w:hint="default" w:ascii="Times New Roman" w:hAnsi="Times New Roman" w:eastAsia="微软雅黑" w:cs="Times New Roman"/>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1072">
            <w:pPr>
              <w:jc w:val="center"/>
              <w:rPr>
                <w:rFonts w:hint="default" w:ascii="Times New Roman" w:hAnsi="Times New Roman" w:eastAsia="微软雅黑" w:cs="Times New Roman"/>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44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64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B6ADD">
            <w:pPr>
              <w:rPr>
                <w:rFonts w:hint="default" w:ascii="Times New Roman" w:hAnsi="Times New Roman" w:eastAsia="黑体" w:cs="Times New Roman"/>
                <w:i/>
                <w:iCs/>
                <w:color w:val="000000"/>
                <w:sz w:val="18"/>
                <w:szCs w:val="18"/>
                <w:u w:val="none"/>
              </w:rPr>
            </w:pPr>
          </w:p>
        </w:tc>
      </w:tr>
      <w:tr w14:paraId="0550C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F80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C7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11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F0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AB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1D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DF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F1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C6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84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B5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21A0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FC1F6">
            <w:pPr>
              <w:jc w:val="center"/>
              <w:rPr>
                <w:rFonts w:hint="default" w:ascii="Times New Roman" w:hAnsi="Times New Roman" w:eastAsia="宋体" w:cs="Times New Roman"/>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219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C3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43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科目调整次数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CE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2F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BD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A7F5">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97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0E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CB57">
            <w:pPr>
              <w:jc w:val="center"/>
              <w:rPr>
                <w:rFonts w:hint="default" w:ascii="Times New Roman" w:hAnsi="Times New Roman" w:eastAsia="微软雅黑" w:cs="Times New Roman"/>
                <w:i/>
                <w:iCs/>
                <w:color w:val="000000"/>
                <w:sz w:val="16"/>
                <w:szCs w:val="16"/>
                <w:u w:val="none"/>
              </w:rPr>
            </w:pPr>
          </w:p>
        </w:tc>
      </w:tr>
      <w:tr w14:paraId="66D9E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D0BF8">
            <w:pPr>
              <w:jc w:val="cente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F9338">
            <w:pPr>
              <w:jc w:val="center"/>
              <w:rPr>
                <w:rFonts w:hint="default" w:ascii="Times New Roman" w:hAnsi="Times New Roman" w:eastAsia="宋体" w:cs="Times New Roman"/>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BF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72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预算编制准确率（计算方法为：∣（执行数-预算数）/预算数∣）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A5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65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18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17A1">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7B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97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53F9">
            <w:pPr>
              <w:jc w:val="center"/>
              <w:rPr>
                <w:rFonts w:hint="default" w:ascii="Times New Roman" w:hAnsi="Times New Roman" w:eastAsia="微软雅黑" w:cs="Times New Roman"/>
                <w:i/>
                <w:iCs/>
                <w:color w:val="000000"/>
                <w:sz w:val="16"/>
                <w:szCs w:val="16"/>
                <w:u w:val="none"/>
              </w:rPr>
            </w:pPr>
          </w:p>
        </w:tc>
      </w:tr>
      <w:tr w14:paraId="01D6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8EE43">
            <w:pPr>
              <w:jc w:val="center"/>
              <w:rPr>
                <w:rFonts w:hint="default" w:ascii="Times New Roman" w:hAnsi="Times New Roman" w:eastAsia="宋体" w:cs="Times New Roman"/>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0B9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09A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78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运转保障率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26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07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93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A856">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F6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E0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ED93">
            <w:pPr>
              <w:jc w:val="center"/>
              <w:rPr>
                <w:rFonts w:hint="default" w:ascii="Times New Roman" w:hAnsi="Times New Roman" w:eastAsia="微软雅黑" w:cs="Times New Roman"/>
                <w:i/>
                <w:iCs/>
                <w:color w:val="000000"/>
                <w:sz w:val="16"/>
                <w:szCs w:val="16"/>
                <w:u w:val="none"/>
              </w:rPr>
            </w:pPr>
          </w:p>
        </w:tc>
      </w:tr>
      <w:tr w14:paraId="7B357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CF214">
            <w:pPr>
              <w:jc w:val="cente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25057">
            <w:pPr>
              <w:jc w:val="center"/>
              <w:rPr>
                <w:rFonts w:hint="default" w:ascii="Times New Roman" w:hAnsi="Times New Roman" w:eastAsia="宋体" w:cs="Times New Roman"/>
                <w:i w:val="0"/>
                <w:iCs w:val="0"/>
                <w:color w:val="000000"/>
                <w:sz w:val="18"/>
                <w:szCs w:val="18"/>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11A7E">
            <w:pPr>
              <w:jc w:val="center"/>
              <w:rPr>
                <w:rFonts w:hint="default" w:ascii="Times New Roman" w:hAnsi="Times New Roman" w:eastAsia="宋体" w:cs="Times New Roman"/>
                <w:i w:val="0"/>
                <w:iCs w:val="0"/>
                <w:color w:val="000000"/>
                <w:sz w:val="18"/>
                <w:szCs w:val="18"/>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AA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“三公”经费控制率[计算方法为：（</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三公</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经费实际支出数/预算安排数]×100%）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99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55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DC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4072">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80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13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A4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243C">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财政资金困难</w:t>
            </w:r>
          </w:p>
        </w:tc>
      </w:tr>
      <w:tr w14:paraId="2B41F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5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20BE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48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041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A257">
            <w:pPr>
              <w:rPr>
                <w:rFonts w:hint="default" w:ascii="Times New Roman" w:hAnsi="Times New Roman" w:eastAsia="宋体" w:cs="Times New Roman"/>
                <w:i w:val="0"/>
                <w:iCs w:val="0"/>
                <w:color w:val="000000"/>
                <w:sz w:val="18"/>
                <w:szCs w:val="18"/>
                <w:u w:val="none"/>
              </w:rPr>
            </w:pPr>
          </w:p>
        </w:tc>
      </w:tr>
      <w:tr w14:paraId="492D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EB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14EB59">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本项目2022年度预算执行情况及绩效评价较差，因受年度财政资金等不可控因素影响，预算执行灵敏还未能全部达到年初预算数。</w:t>
            </w:r>
          </w:p>
        </w:tc>
      </w:tr>
      <w:tr w14:paraId="7F481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32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7C350B">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财政资金紧张，预算执行无法全部到位。</w:t>
            </w:r>
          </w:p>
        </w:tc>
      </w:tr>
      <w:tr w14:paraId="1FD87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99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F3AB99">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积极与财政沟通协调，争取保运转资金，统筹开支。</w:t>
            </w:r>
          </w:p>
        </w:tc>
      </w:tr>
      <w:tr w14:paraId="16628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6D708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c>
          <w:tcPr>
            <w:tcW w:w="6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97C97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r>
      <w:tr w14:paraId="3A8F0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40F74266">
            <w:pPr>
              <w:rPr>
                <w:rFonts w:hint="default" w:ascii="Times New Roman" w:hAnsi="Times New Roman" w:eastAsia="宋体" w:cs="Times New Roman"/>
                <w:i w:val="0"/>
                <w:iCs w:val="0"/>
                <w:color w:val="000000"/>
                <w:sz w:val="18"/>
                <w:szCs w:val="18"/>
                <w:u w:val="none"/>
              </w:rPr>
            </w:pPr>
          </w:p>
        </w:tc>
        <w:tc>
          <w:tcPr>
            <w:tcW w:w="1847" w:type="dxa"/>
            <w:tcBorders>
              <w:top w:val="nil"/>
              <w:left w:val="nil"/>
              <w:bottom w:val="nil"/>
              <w:right w:val="nil"/>
            </w:tcBorders>
            <w:shd w:val="clear" w:color="auto" w:fill="auto"/>
            <w:vAlign w:val="center"/>
          </w:tcPr>
          <w:p w14:paraId="219C6630">
            <w:pPr>
              <w:rPr>
                <w:rFonts w:hint="default" w:ascii="Times New Roman" w:hAnsi="Times New Roman" w:eastAsia="宋体" w:cs="Times New Roman"/>
                <w:i w:val="0"/>
                <w:iCs w:val="0"/>
                <w:color w:val="000000"/>
                <w:sz w:val="18"/>
                <w:szCs w:val="18"/>
                <w:u w:val="none"/>
              </w:rPr>
            </w:pPr>
          </w:p>
        </w:tc>
        <w:tc>
          <w:tcPr>
            <w:tcW w:w="1598" w:type="dxa"/>
            <w:tcBorders>
              <w:top w:val="nil"/>
              <w:left w:val="nil"/>
              <w:bottom w:val="nil"/>
              <w:right w:val="nil"/>
            </w:tcBorders>
            <w:shd w:val="clear" w:color="auto" w:fill="auto"/>
            <w:vAlign w:val="center"/>
          </w:tcPr>
          <w:p w14:paraId="6BFF899B">
            <w:pPr>
              <w:rPr>
                <w:rFonts w:hint="default" w:ascii="Times New Roman" w:hAnsi="Times New Roman" w:eastAsia="宋体" w:cs="Times New Roman"/>
                <w:i w:val="0"/>
                <w:iCs w:val="0"/>
                <w:color w:val="000000"/>
                <w:sz w:val="18"/>
                <w:szCs w:val="18"/>
                <w:u w:val="none"/>
              </w:rPr>
            </w:pPr>
          </w:p>
        </w:tc>
        <w:tc>
          <w:tcPr>
            <w:tcW w:w="2038" w:type="dxa"/>
            <w:tcBorders>
              <w:top w:val="nil"/>
              <w:left w:val="nil"/>
              <w:bottom w:val="nil"/>
              <w:right w:val="nil"/>
            </w:tcBorders>
            <w:shd w:val="clear" w:color="auto" w:fill="auto"/>
            <w:vAlign w:val="center"/>
          </w:tcPr>
          <w:p w14:paraId="383654F2">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46539BFB">
            <w:pPr>
              <w:rPr>
                <w:rFonts w:hint="default" w:ascii="Times New Roman" w:hAnsi="Times New Roman" w:eastAsia="宋体" w:cs="Times New Roman"/>
                <w:i w:val="0"/>
                <w:iCs w:val="0"/>
                <w:color w:val="000000"/>
                <w:sz w:val="18"/>
                <w:szCs w:val="18"/>
                <w:u w:val="none"/>
              </w:rPr>
            </w:pPr>
          </w:p>
        </w:tc>
        <w:tc>
          <w:tcPr>
            <w:tcW w:w="1509" w:type="dxa"/>
            <w:tcBorders>
              <w:top w:val="nil"/>
              <w:left w:val="nil"/>
              <w:bottom w:val="nil"/>
              <w:right w:val="nil"/>
            </w:tcBorders>
            <w:shd w:val="clear" w:color="auto" w:fill="auto"/>
            <w:vAlign w:val="center"/>
          </w:tcPr>
          <w:p w14:paraId="27258D7A">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79912587">
            <w:pPr>
              <w:rPr>
                <w:rFonts w:hint="default" w:ascii="Times New Roman" w:hAnsi="Times New Roman" w:eastAsia="宋体" w:cs="Times New Roman"/>
                <w:i w:val="0"/>
                <w:iCs w:val="0"/>
                <w:color w:val="000000"/>
                <w:sz w:val="18"/>
                <w:szCs w:val="18"/>
                <w:u w:val="none"/>
              </w:rPr>
            </w:pPr>
          </w:p>
        </w:tc>
        <w:tc>
          <w:tcPr>
            <w:tcW w:w="982" w:type="dxa"/>
            <w:tcBorders>
              <w:top w:val="nil"/>
              <w:left w:val="nil"/>
              <w:bottom w:val="nil"/>
              <w:right w:val="nil"/>
            </w:tcBorders>
            <w:shd w:val="clear" w:color="auto" w:fill="auto"/>
            <w:vAlign w:val="center"/>
          </w:tcPr>
          <w:p w14:paraId="4AF2D847">
            <w:pPr>
              <w:rPr>
                <w:rFonts w:hint="default" w:ascii="Times New Roman" w:hAnsi="Times New Roman" w:eastAsia="宋体" w:cs="Times New Roman"/>
                <w:i w:val="0"/>
                <w:iCs w:val="0"/>
                <w:color w:val="000000"/>
                <w:sz w:val="18"/>
                <w:szCs w:val="18"/>
                <w:u w:val="none"/>
              </w:rPr>
            </w:pPr>
          </w:p>
        </w:tc>
        <w:tc>
          <w:tcPr>
            <w:tcW w:w="455" w:type="dxa"/>
            <w:tcBorders>
              <w:top w:val="nil"/>
              <w:left w:val="nil"/>
              <w:bottom w:val="nil"/>
              <w:right w:val="nil"/>
            </w:tcBorders>
            <w:shd w:val="clear" w:color="auto" w:fill="auto"/>
            <w:vAlign w:val="center"/>
          </w:tcPr>
          <w:p w14:paraId="7117A46E">
            <w:pPr>
              <w:rPr>
                <w:rFonts w:hint="default" w:ascii="Times New Roman" w:hAnsi="Times New Roman" w:eastAsia="宋体" w:cs="Times New Roman"/>
                <w:i w:val="0"/>
                <w:iCs w:val="0"/>
                <w:color w:val="000000"/>
                <w:sz w:val="18"/>
                <w:szCs w:val="18"/>
                <w:u w:val="none"/>
              </w:rPr>
            </w:pPr>
          </w:p>
        </w:tc>
        <w:tc>
          <w:tcPr>
            <w:tcW w:w="564" w:type="dxa"/>
            <w:tcBorders>
              <w:top w:val="nil"/>
              <w:left w:val="nil"/>
              <w:bottom w:val="nil"/>
              <w:right w:val="nil"/>
            </w:tcBorders>
            <w:shd w:val="clear" w:color="auto" w:fill="auto"/>
            <w:vAlign w:val="center"/>
          </w:tcPr>
          <w:p w14:paraId="5677512C">
            <w:pPr>
              <w:rPr>
                <w:rFonts w:hint="default" w:ascii="Times New Roman" w:hAnsi="Times New Roman" w:eastAsia="宋体" w:cs="Times New Roman"/>
                <w:i w:val="0"/>
                <w:iCs w:val="0"/>
                <w:color w:val="000000"/>
                <w:sz w:val="18"/>
                <w:szCs w:val="18"/>
                <w:u w:val="none"/>
              </w:rPr>
            </w:pPr>
          </w:p>
        </w:tc>
        <w:tc>
          <w:tcPr>
            <w:tcW w:w="2301" w:type="dxa"/>
            <w:tcBorders>
              <w:top w:val="nil"/>
              <w:left w:val="nil"/>
              <w:bottom w:val="nil"/>
              <w:right w:val="nil"/>
            </w:tcBorders>
            <w:shd w:val="clear" w:color="auto" w:fill="auto"/>
            <w:vAlign w:val="center"/>
          </w:tcPr>
          <w:p w14:paraId="172B16A4">
            <w:pPr>
              <w:rPr>
                <w:rFonts w:hint="default" w:ascii="Times New Roman" w:hAnsi="Times New Roman" w:eastAsia="宋体" w:cs="Times New Roman"/>
                <w:i w:val="0"/>
                <w:iCs w:val="0"/>
                <w:color w:val="000000"/>
                <w:sz w:val="18"/>
                <w:szCs w:val="18"/>
                <w:u w:val="none"/>
              </w:rPr>
            </w:pPr>
          </w:p>
        </w:tc>
      </w:tr>
      <w:tr w14:paraId="6B34C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5C75FA90">
            <w:pPr>
              <w:rPr>
                <w:rFonts w:hint="default" w:ascii="Times New Roman" w:hAnsi="Times New Roman" w:eastAsia="宋体" w:cs="Times New Roman"/>
                <w:i w:val="0"/>
                <w:iCs w:val="0"/>
                <w:color w:val="000000"/>
                <w:sz w:val="18"/>
                <w:szCs w:val="18"/>
                <w:u w:val="none"/>
              </w:rPr>
            </w:pPr>
          </w:p>
          <w:p w14:paraId="0428E2C4">
            <w:pPr>
              <w:rPr>
                <w:rFonts w:hint="default" w:ascii="Times New Roman" w:hAnsi="Times New Roman" w:eastAsia="宋体" w:cs="Times New Roman"/>
                <w:i w:val="0"/>
                <w:iCs w:val="0"/>
                <w:color w:val="000000"/>
                <w:sz w:val="18"/>
                <w:szCs w:val="18"/>
                <w:u w:val="none"/>
              </w:rPr>
            </w:pPr>
          </w:p>
          <w:p w14:paraId="116B0323">
            <w:pPr>
              <w:rPr>
                <w:rFonts w:hint="default" w:ascii="Times New Roman" w:hAnsi="Times New Roman" w:eastAsia="宋体" w:cs="Times New Roman"/>
                <w:i w:val="0"/>
                <w:iCs w:val="0"/>
                <w:color w:val="000000"/>
                <w:sz w:val="18"/>
                <w:szCs w:val="18"/>
                <w:u w:val="none"/>
              </w:rPr>
            </w:pPr>
          </w:p>
          <w:p w14:paraId="65FC430F">
            <w:pPr>
              <w:rPr>
                <w:rFonts w:hint="default" w:ascii="Times New Roman" w:hAnsi="Times New Roman" w:eastAsia="宋体" w:cs="Times New Roman"/>
                <w:i w:val="0"/>
                <w:iCs w:val="0"/>
                <w:color w:val="000000"/>
                <w:sz w:val="18"/>
                <w:szCs w:val="18"/>
                <w:u w:val="none"/>
              </w:rPr>
            </w:pPr>
          </w:p>
          <w:p w14:paraId="40A33DF2">
            <w:pPr>
              <w:rPr>
                <w:rFonts w:hint="default" w:ascii="Times New Roman" w:hAnsi="Times New Roman" w:eastAsia="宋体" w:cs="Times New Roman"/>
                <w:i w:val="0"/>
                <w:iCs w:val="0"/>
                <w:color w:val="000000"/>
                <w:sz w:val="18"/>
                <w:szCs w:val="18"/>
                <w:u w:val="none"/>
              </w:rPr>
            </w:pPr>
          </w:p>
        </w:tc>
        <w:tc>
          <w:tcPr>
            <w:tcW w:w="1847" w:type="dxa"/>
            <w:tcBorders>
              <w:top w:val="nil"/>
              <w:left w:val="nil"/>
              <w:bottom w:val="nil"/>
              <w:right w:val="nil"/>
            </w:tcBorders>
            <w:shd w:val="clear" w:color="auto" w:fill="auto"/>
            <w:vAlign w:val="center"/>
          </w:tcPr>
          <w:p w14:paraId="07000C10">
            <w:pPr>
              <w:rPr>
                <w:rFonts w:hint="default" w:ascii="Times New Roman" w:hAnsi="Times New Roman" w:eastAsia="宋体" w:cs="Times New Roman"/>
                <w:i w:val="0"/>
                <w:iCs w:val="0"/>
                <w:color w:val="000000"/>
                <w:sz w:val="18"/>
                <w:szCs w:val="18"/>
                <w:u w:val="none"/>
              </w:rPr>
            </w:pPr>
          </w:p>
        </w:tc>
        <w:tc>
          <w:tcPr>
            <w:tcW w:w="1598" w:type="dxa"/>
            <w:tcBorders>
              <w:top w:val="nil"/>
              <w:left w:val="nil"/>
              <w:bottom w:val="nil"/>
              <w:right w:val="nil"/>
            </w:tcBorders>
            <w:shd w:val="clear" w:color="auto" w:fill="auto"/>
            <w:vAlign w:val="center"/>
          </w:tcPr>
          <w:p w14:paraId="7F95E3E7">
            <w:pPr>
              <w:rPr>
                <w:rFonts w:hint="default" w:ascii="Times New Roman" w:hAnsi="Times New Roman" w:eastAsia="宋体" w:cs="Times New Roman"/>
                <w:i w:val="0"/>
                <w:iCs w:val="0"/>
                <w:color w:val="000000"/>
                <w:sz w:val="18"/>
                <w:szCs w:val="18"/>
                <w:u w:val="none"/>
              </w:rPr>
            </w:pPr>
          </w:p>
        </w:tc>
        <w:tc>
          <w:tcPr>
            <w:tcW w:w="2038" w:type="dxa"/>
            <w:tcBorders>
              <w:top w:val="nil"/>
              <w:left w:val="nil"/>
              <w:bottom w:val="nil"/>
              <w:right w:val="nil"/>
            </w:tcBorders>
            <w:shd w:val="clear" w:color="auto" w:fill="auto"/>
            <w:vAlign w:val="center"/>
          </w:tcPr>
          <w:p w14:paraId="2D2CA25A">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26B6BBAF">
            <w:pPr>
              <w:rPr>
                <w:rFonts w:hint="default" w:ascii="Times New Roman" w:hAnsi="Times New Roman" w:eastAsia="宋体" w:cs="Times New Roman"/>
                <w:i w:val="0"/>
                <w:iCs w:val="0"/>
                <w:color w:val="000000"/>
                <w:sz w:val="18"/>
                <w:szCs w:val="18"/>
                <w:u w:val="none"/>
              </w:rPr>
            </w:pPr>
          </w:p>
        </w:tc>
        <w:tc>
          <w:tcPr>
            <w:tcW w:w="1509" w:type="dxa"/>
            <w:tcBorders>
              <w:top w:val="nil"/>
              <w:left w:val="nil"/>
              <w:bottom w:val="nil"/>
              <w:right w:val="nil"/>
            </w:tcBorders>
            <w:shd w:val="clear" w:color="auto" w:fill="auto"/>
            <w:vAlign w:val="center"/>
          </w:tcPr>
          <w:p w14:paraId="7A9ACE9C">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714FBC5D">
            <w:pPr>
              <w:rPr>
                <w:rFonts w:hint="default" w:ascii="Times New Roman" w:hAnsi="Times New Roman" w:eastAsia="宋体" w:cs="Times New Roman"/>
                <w:i w:val="0"/>
                <w:iCs w:val="0"/>
                <w:color w:val="000000"/>
                <w:sz w:val="18"/>
                <w:szCs w:val="18"/>
                <w:u w:val="none"/>
              </w:rPr>
            </w:pPr>
          </w:p>
        </w:tc>
        <w:tc>
          <w:tcPr>
            <w:tcW w:w="982" w:type="dxa"/>
            <w:tcBorders>
              <w:top w:val="nil"/>
              <w:left w:val="nil"/>
              <w:bottom w:val="nil"/>
              <w:right w:val="nil"/>
            </w:tcBorders>
            <w:shd w:val="clear" w:color="auto" w:fill="auto"/>
            <w:vAlign w:val="center"/>
          </w:tcPr>
          <w:p w14:paraId="4876A31D">
            <w:pPr>
              <w:rPr>
                <w:rFonts w:hint="default" w:ascii="Times New Roman" w:hAnsi="Times New Roman" w:eastAsia="宋体" w:cs="Times New Roman"/>
                <w:i w:val="0"/>
                <w:iCs w:val="0"/>
                <w:color w:val="000000"/>
                <w:sz w:val="18"/>
                <w:szCs w:val="18"/>
                <w:u w:val="none"/>
              </w:rPr>
            </w:pPr>
          </w:p>
        </w:tc>
        <w:tc>
          <w:tcPr>
            <w:tcW w:w="455" w:type="dxa"/>
            <w:tcBorders>
              <w:top w:val="nil"/>
              <w:left w:val="nil"/>
              <w:bottom w:val="nil"/>
              <w:right w:val="nil"/>
            </w:tcBorders>
            <w:shd w:val="clear" w:color="auto" w:fill="auto"/>
            <w:vAlign w:val="center"/>
          </w:tcPr>
          <w:p w14:paraId="7BCAB1F5">
            <w:pPr>
              <w:rPr>
                <w:rFonts w:hint="default" w:ascii="Times New Roman" w:hAnsi="Times New Roman" w:eastAsia="宋体" w:cs="Times New Roman"/>
                <w:i w:val="0"/>
                <w:iCs w:val="0"/>
                <w:color w:val="000000"/>
                <w:sz w:val="18"/>
                <w:szCs w:val="18"/>
                <w:u w:val="none"/>
              </w:rPr>
            </w:pPr>
          </w:p>
        </w:tc>
        <w:tc>
          <w:tcPr>
            <w:tcW w:w="564" w:type="dxa"/>
            <w:tcBorders>
              <w:top w:val="nil"/>
              <w:left w:val="nil"/>
              <w:bottom w:val="nil"/>
              <w:right w:val="nil"/>
            </w:tcBorders>
            <w:shd w:val="clear" w:color="auto" w:fill="auto"/>
            <w:vAlign w:val="center"/>
          </w:tcPr>
          <w:p w14:paraId="73AE07F6">
            <w:pPr>
              <w:rPr>
                <w:rFonts w:hint="default" w:ascii="Times New Roman" w:hAnsi="Times New Roman" w:eastAsia="宋体" w:cs="Times New Roman"/>
                <w:i w:val="0"/>
                <w:iCs w:val="0"/>
                <w:color w:val="000000"/>
                <w:sz w:val="18"/>
                <w:szCs w:val="18"/>
                <w:u w:val="none"/>
              </w:rPr>
            </w:pPr>
          </w:p>
        </w:tc>
        <w:tc>
          <w:tcPr>
            <w:tcW w:w="2301" w:type="dxa"/>
            <w:tcBorders>
              <w:top w:val="nil"/>
              <w:left w:val="nil"/>
              <w:bottom w:val="nil"/>
              <w:right w:val="nil"/>
            </w:tcBorders>
            <w:shd w:val="clear" w:color="auto" w:fill="auto"/>
            <w:vAlign w:val="center"/>
          </w:tcPr>
          <w:p w14:paraId="53D326A3">
            <w:pPr>
              <w:rPr>
                <w:rFonts w:hint="default" w:ascii="Times New Roman" w:hAnsi="Times New Roman" w:eastAsia="宋体" w:cs="Times New Roman"/>
                <w:i w:val="0"/>
                <w:iCs w:val="0"/>
                <w:color w:val="000000"/>
                <w:sz w:val="18"/>
                <w:szCs w:val="18"/>
                <w:u w:val="none"/>
              </w:rPr>
            </w:pPr>
          </w:p>
        </w:tc>
      </w:tr>
      <w:tr w14:paraId="2C289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8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D2541EC">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14:paraId="7584A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DA67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10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E5A19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51041121Y000000068024-离退休公用经费（行政）</w:t>
            </w:r>
          </w:p>
        </w:tc>
      </w:tr>
      <w:tr w14:paraId="1EF3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3114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74F94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攀枝花市仁和区信访局部门</w:t>
            </w:r>
          </w:p>
        </w:tc>
        <w:tc>
          <w:tcPr>
            <w:tcW w:w="982" w:type="dxa"/>
            <w:tcBorders>
              <w:top w:val="nil"/>
              <w:left w:val="nil"/>
              <w:bottom w:val="nil"/>
              <w:right w:val="nil"/>
            </w:tcBorders>
            <w:shd w:val="clear" w:color="auto" w:fill="auto"/>
            <w:vAlign w:val="center"/>
          </w:tcPr>
          <w:p w14:paraId="1825B16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F46B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攀枝花市仁和区信访局</w:t>
            </w:r>
          </w:p>
        </w:tc>
      </w:tr>
      <w:tr w14:paraId="21713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0B48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CFDA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75BB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5FDBE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4DE3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FE3DF">
            <w:pP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76C08">
            <w:pPr>
              <w:rPr>
                <w:rFonts w:hint="default" w:ascii="Times New Roman" w:hAnsi="Times New Roman" w:eastAsia="宋体" w:cs="Times New Roman"/>
                <w:i w:val="0"/>
                <w:iCs w:val="0"/>
                <w:color w:val="000000"/>
                <w:sz w:val="18"/>
                <w:szCs w:val="18"/>
                <w:u w:val="none"/>
              </w:rPr>
            </w:pP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326F8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保障单位日常运转，提高预算编制质量，严格执行预算</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5A980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2022年未完成年度目标</w:t>
            </w:r>
          </w:p>
        </w:tc>
      </w:tr>
      <w:tr w14:paraId="56EA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03BFE">
            <w:pP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8D5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10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1247C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保障单位离退休公用经 费，因财政资金紧张，执行预算较差。</w:t>
            </w:r>
          </w:p>
        </w:tc>
      </w:tr>
      <w:tr w14:paraId="61643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431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14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DA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49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9E6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F9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B4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7C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25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44EEC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97398">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C9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55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0.33</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B0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0.33</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9D8C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11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27.27%</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40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8C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5994B">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default" w:ascii="Times New Roman" w:hAnsi="Times New Roman" w:eastAsia="黑体" w:cs="Times New Roman"/>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4776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D2BB5">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42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6B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0.33</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EC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0.33</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CE00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97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27.27%</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FA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A3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29BD6">
            <w:pPr>
              <w:rPr>
                <w:rFonts w:hint="default" w:ascii="Times New Roman" w:hAnsi="Times New Roman" w:eastAsia="黑体" w:cs="Times New Roman"/>
                <w:i/>
                <w:iCs/>
                <w:color w:val="000000"/>
                <w:sz w:val="18"/>
                <w:szCs w:val="18"/>
                <w:u w:val="none"/>
              </w:rPr>
            </w:pPr>
          </w:p>
        </w:tc>
      </w:tr>
      <w:tr w14:paraId="3816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B245E">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7E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AA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A8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19BF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2F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59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BA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F9FF5">
            <w:pPr>
              <w:rPr>
                <w:rFonts w:hint="default" w:ascii="Times New Roman" w:hAnsi="Times New Roman" w:eastAsia="黑体" w:cs="Times New Roman"/>
                <w:i/>
                <w:iCs/>
                <w:color w:val="000000"/>
                <w:sz w:val="18"/>
                <w:szCs w:val="18"/>
                <w:u w:val="none"/>
              </w:rPr>
            </w:pPr>
          </w:p>
        </w:tc>
      </w:tr>
      <w:tr w14:paraId="25271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BB0AB">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14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18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1C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9FB5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4D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03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39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20433">
            <w:pPr>
              <w:rPr>
                <w:rFonts w:hint="default" w:ascii="Times New Roman" w:hAnsi="Times New Roman" w:eastAsia="黑体" w:cs="Times New Roman"/>
                <w:i/>
                <w:iCs/>
                <w:color w:val="000000"/>
                <w:sz w:val="18"/>
                <w:szCs w:val="18"/>
                <w:u w:val="none"/>
              </w:rPr>
            </w:pPr>
          </w:p>
        </w:tc>
      </w:tr>
      <w:tr w14:paraId="438C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FD9D0">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14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23A8">
            <w:pPr>
              <w:jc w:val="center"/>
              <w:rPr>
                <w:rFonts w:hint="default" w:ascii="Times New Roman" w:hAnsi="Times New Roman" w:eastAsia="微软雅黑" w:cs="Times New Roman"/>
                <w:i/>
                <w:iCs/>
                <w:color w:val="000000"/>
                <w:sz w:val="16"/>
                <w:szCs w:val="16"/>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E161">
            <w:pPr>
              <w:jc w:val="center"/>
              <w:rPr>
                <w:rFonts w:hint="default" w:ascii="Times New Roman" w:hAnsi="Times New Roman" w:eastAsia="微软雅黑" w:cs="Times New Roman"/>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597614">
            <w:pPr>
              <w:jc w:val="center"/>
              <w:rPr>
                <w:rFonts w:hint="default" w:ascii="Times New Roman" w:hAnsi="Times New Roman" w:eastAsia="微软雅黑" w:cs="Times New Roman"/>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91FC">
            <w:pPr>
              <w:jc w:val="center"/>
              <w:rPr>
                <w:rFonts w:hint="default" w:ascii="Times New Roman" w:hAnsi="Times New Roman" w:eastAsia="微软雅黑" w:cs="Times New Roman"/>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06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AB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92D9D">
            <w:pPr>
              <w:rPr>
                <w:rFonts w:hint="default" w:ascii="Times New Roman" w:hAnsi="Times New Roman" w:eastAsia="黑体" w:cs="Times New Roman"/>
                <w:i/>
                <w:iCs/>
                <w:color w:val="000000"/>
                <w:sz w:val="18"/>
                <w:szCs w:val="18"/>
                <w:u w:val="none"/>
              </w:rPr>
            </w:pPr>
          </w:p>
        </w:tc>
      </w:tr>
      <w:tr w14:paraId="37872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E35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76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22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32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45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7A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C1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B3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3B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AE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5F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7D3A6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A0743">
            <w:pPr>
              <w:jc w:val="center"/>
              <w:rPr>
                <w:rFonts w:hint="default" w:ascii="Times New Roman" w:hAnsi="Times New Roman" w:eastAsia="宋体" w:cs="Times New Roman"/>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E9D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E8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64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科目调整次数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FA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38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B5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E1D0">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34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0A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0D0A">
            <w:pPr>
              <w:jc w:val="center"/>
              <w:rPr>
                <w:rFonts w:hint="default" w:ascii="Times New Roman" w:hAnsi="Times New Roman" w:eastAsia="微软雅黑" w:cs="Times New Roman"/>
                <w:i/>
                <w:iCs/>
                <w:color w:val="000000"/>
                <w:sz w:val="16"/>
                <w:szCs w:val="16"/>
                <w:u w:val="none"/>
              </w:rPr>
            </w:pPr>
          </w:p>
        </w:tc>
      </w:tr>
      <w:tr w14:paraId="347AC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20E9E">
            <w:pPr>
              <w:jc w:val="cente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B604C">
            <w:pPr>
              <w:jc w:val="center"/>
              <w:rPr>
                <w:rFonts w:hint="default" w:ascii="Times New Roman" w:hAnsi="Times New Roman" w:eastAsia="宋体" w:cs="Times New Roman"/>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29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52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预算编制准确率（计算方法为：∣（执行数-预算数）/预算数∣）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E5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94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47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A5B0">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17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5B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C158">
            <w:pPr>
              <w:jc w:val="center"/>
              <w:rPr>
                <w:rFonts w:hint="default" w:ascii="Times New Roman" w:hAnsi="Times New Roman" w:eastAsia="微软雅黑" w:cs="Times New Roman"/>
                <w:i/>
                <w:iCs/>
                <w:color w:val="000000"/>
                <w:sz w:val="16"/>
                <w:szCs w:val="16"/>
                <w:u w:val="none"/>
              </w:rPr>
            </w:pPr>
          </w:p>
        </w:tc>
      </w:tr>
      <w:tr w14:paraId="404A7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94F2F">
            <w:pPr>
              <w:jc w:val="center"/>
              <w:rPr>
                <w:rFonts w:hint="default" w:ascii="Times New Roman" w:hAnsi="Times New Roman" w:eastAsia="宋体" w:cs="Times New Roman"/>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790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B23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69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“三公”经费控制率[计算方法为：（</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三公</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经费实际支出数/预算安排数]×100%）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6B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0C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07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A503">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39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6E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2B52">
            <w:pPr>
              <w:jc w:val="center"/>
              <w:rPr>
                <w:rFonts w:hint="default" w:ascii="Times New Roman" w:hAnsi="Times New Roman" w:eastAsia="微软雅黑" w:cs="Times New Roman"/>
                <w:i/>
                <w:iCs/>
                <w:color w:val="000000"/>
                <w:sz w:val="16"/>
                <w:szCs w:val="16"/>
                <w:u w:val="none"/>
              </w:rPr>
            </w:pPr>
          </w:p>
        </w:tc>
      </w:tr>
      <w:tr w14:paraId="72544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B66E7">
            <w:pPr>
              <w:jc w:val="cente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F9DC4">
            <w:pPr>
              <w:jc w:val="center"/>
              <w:rPr>
                <w:rFonts w:hint="default" w:ascii="Times New Roman" w:hAnsi="Times New Roman" w:eastAsia="宋体" w:cs="Times New Roman"/>
                <w:i w:val="0"/>
                <w:iCs w:val="0"/>
                <w:color w:val="000000"/>
                <w:sz w:val="18"/>
                <w:szCs w:val="18"/>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C4DDD">
            <w:pPr>
              <w:jc w:val="center"/>
              <w:rPr>
                <w:rFonts w:hint="default" w:ascii="Times New Roman" w:hAnsi="Times New Roman" w:eastAsia="宋体" w:cs="Times New Roman"/>
                <w:i w:val="0"/>
                <w:iCs w:val="0"/>
                <w:color w:val="000000"/>
                <w:sz w:val="18"/>
                <w:szCs w:val="18"/>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98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运转保障率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E6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D1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45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F722">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80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C1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0E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F106">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财政资金困难</w:t>
            </w:r>
          </w:p>
        </w:tc>
      </w:tr>
      <w:tr w14:paraId="60FDE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5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1021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55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3A3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B8B2">
            <w:pPr>
              <w:rPr>
                <w:rFonts w:hint="default" w:ascii="Times New Roman" w:hAnsi="Times New Roman" w:eastAsia="宋体" w:cs="Times New Roman"/>
                <w:i w:val="0"/>
                <w:iCs w:val="0"/>
                <w:color w:val="000000"/>
                <w:sz w:val="18"/>
                <w:szCs w:val="18"/>
                <w:u w:val="none"/>
              </w:rPr>
            </w:pPr>
          </w:p>
        </w:tc>
      </w:tr>
      <w:tr w14:paraId="79855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77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3080AA">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本项目2022年度预算执行情况及绩效评价较差，因受年度财政资金等不可控因素影响，预算执行灵敏还未能全部达到年初预算数。</w:t>
            </w:r>
          </w:p>
        </w:tc>
      </w:tr>
      <w:tr w14:paraId="76A9B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68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12722E">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财政资金紧张，预算执行无法全部到位。</w:t>
            </w:r>
          </w:p>
        </w:tc>
      </w:tr>
      <w:tr w14:paraId="578B8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91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54B757">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积极与财政沟通协调，争取保运转资金，统筹开支。</w:t>
            </w:r>
          </w:p>
        </w:tc>
      </w:tr>
      <w:tr w14:paraId="1522D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0E77E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c>
          <w:tcPr>
            <w:tcW w:w="6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EACFB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r>
      <w:tr w14:paraId="7F179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7F9D668C">
            <w:pPr>
              <w:rPr>
                <w:rFonts w:hint="default" w:ascii="Times New Roman" w:hAnsi="Times New Roman" w:eastAsia="宋体" w:cs="Times New Roman"/>
                <w:i w:val="0"/>
                <w:iCs w:val="0"/>
                <w:color w:val="000000"/>
                <w:sz w:val="18"/>
                <w:szCs w:val="18"/>
                <w:u w:val="none"/>
              </w:rPr>
            </w:pPr>
          </w:p>
        </w:tc>
        <w:tc>
          <w:tcPr>
            <w:tcW w:w="1847" w:type="dxa"/>
            <w:tcBorders>
              <w:top w:val="nil"/>
              <w:left w:val="nil"/>
              <w:bottom w:val="nil"/>
              <w:right w:val="nil"/>
            </w:tcBorders>
            <w:shd w:val="clear" w:color="auto" w:fill="auto"/>
            <w:vAlign w:val="center"/>
          </w:tcPr>
          <w:p w14:paraId="1F6EBCB7">
            <w:pPr>
              <w:rPr>
                <w:rFonts w:hint="default" w:ascii="Times New Roman" w:hAnsi="Times New Roman" w:eastAsia="宋体" w:cs="Times New Roman"/>
                <w:i w:val="0"/>
                <w:iCs w:val="0"/>
                <w:color w:val="000000"/>
                <w:sz w:val="18"/>
                <w:szCs w:val="18"/>
                <w:u w:val="none"/>
              </w:rPr>
            </w:pPr>
          </w:p>
        </w:tc>
        <w:tc>
          <w:tcPr>
            <w:tcW w:w="1598" w:type="dxa"/>
            <w:tcBorders>
              <w:top w:val="nil"/>
              <w:left w:val="nil"/>
              <w:bottom w:val="nil"/>
              <w:right w:val="nil"/>
            </w:tcBorders>
            <w:shd w:val="clear" w:color="auto" w:fill="auto"/>
            <w:vAlign w:val="center"/>
          </w:tcPr>
          <w:p w14:paraId="7134D6DB">
            <w:pPr>
              <w:rPr>
                <w:rFonts w:hint="default" w:ascii="Times New Roman" w:hAnsi="Times New Roman" w:eastAsia="宋体" w:cs="Times New Roman"/>
                <w:i w:val="0"/>
                <w:iCs w:val="0"/>
                <w:color w:val="000000"/>
                <w:sz w:val="18"/>
                <w:szCs w:val="18"/>
                <w:u w:val="none"/>
              </w:rPr>
            </w:pPr>
          </w:p>
        </w:tc>
        <w:tc>
          <w:tcPr>
            <w:tcW w:w="2038" w:type="dxa"/>
            <w:tcBorders>
              <w:top w:val="nil"/>
              <w:left w:val="nil"/>
              <w:bottom w:val="nil"/>
              <w:right w:val="nil"/>
            </w:tcBorders>
            <w:shd w:val="clear" w:color="auto" w:fill="auto"/>
            <w:vAlign w:val="center"/>
          </w:tcPr>
          <w:p w14:paraId="4E582AA0">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471884CB">
            <w:pPr>
              <w:rPr>
                <w:rFonts w:hint="default" w:ascii="Times New Roman" w:hAnsi="Times New Roman" w:eastAsia="宋体" w:cs="Times New Roman"/>
                <w:i w:val="0"/>
                <w:iCs w:val="0"/>
                <w:color w:val="000000"/>
                <w:sz w:val="18"/>
                <w:szCs w:val="18"/>
                <w:u w:val="none"/>
              </w:rPr>
            </w:pPr>
          </w:p>
        </w:tc>
        <w:tc>
          <w:tcPr>
            <w:tcW w:w="1509" w:type="dxa"/>
            <w:tcBorders>
              <w:top w:val="nil"/>
              <w:left w:val="nil"/>
              <w:bottom w:val="nil"/>
              <w:right w:val="nil"/>
            </w:tcBorders>
            <w:shd w:val="clear" w:color="auto" w:fill="auto"/>
            <w:vAlign w:val="center"/>
          </w:tcPr>
          <w:p w14:paraId="26C54F4B">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02A15BEE">
            <w:pPr>
              <w:rPr>
                <w:rFonts w:hint="default" w:ascii="Times New Roman" w:hAnsi="Times New Roman" w:eastAsia="宋体" w:cs="Times New Roman"/>
                <w:i w:val="0"/>
                <w:iCs w:val="0"/>
                <w:color w:val="000000"/>
                <w:sz w:val="18"/>
                <w:szCs w:val="18"/>
                <w:u w:val="none"/>
              </w:rPr>
            </w:pPr>
          </w:p>
        </w:tc>
        <w:tc>
          <w:tcPr>
            <w:tcW w:w="982" w:type="dxa"/>
            <w:tcBorders>
              <w:top w:val="nil"/>
              <w:left w:val="nil"/>
              <w:bottom w:val="nil"/>
              <w:right w:val="nil"/>
            </w:tcBorders>
            <w:shd w:val="clear" w:color="auto" w:fill="auto"/>
            <w:vAlign w:val="center"/>
          </w:tcPr>
          <w:p w14:paraId="473DBE09">
            <w:pPr>
              <w:rPr>
                <w:rFonts w:hint="default" w:ascii="Times New Roman" w:hAnsi="Times New Roman" w:eastAsia="宋体" w:cs="Times New Roman"/>
                <w:i w:val="0"/>
                <w:iCs w:val="0"/>
                <w:color w:val="000000"/>
                <w:sz w:val="18"/>
                <w:szCs w:val="18"/>
                <w:u w:val="none"/>
              </w:rPr>
            </w:pPr>
          </w:p>
        </w:tc>
        <w:tc>
          <w:tcPr>
            <w:tcW w:w="455" w:type="dxa"/>
            <w:tcBorders>
              <w:top w:val="nil"/>
              <w:left w:val="nil"/>
              <w:bottom w:val="nil"/>
              <w:right w:val="nil"/>
            </w:tcBorders>
            <w:shd w:val="clear" w:color="auto" w:fill="auto"/>
            <w:vAlign w:val="center"/>
          </w:tcPr>
          <w:p w14:paraId="0B65AFD8">
            <w:pPr>
              <w:rPr>
                <w:rFonts w:hint="default" w:ascii="Times New Roman" w:hAnsi="Times New Roman" w:eastAsia="宋体" w:cs="Times New Roman"/>
                <w:i w:val="0"/>
                <w:iCs w:val="0"/>
                <w:color w:val="000000"/>
                <w:sz w:val="18"/>
                <w:szCs w:val="18"/>
                <w:u w:val="none"/>
              </w:rPr>
            </w:pPr>
          </w:p>
        </w:tc>
        <w:tc>
          <w:tcPr>
            <w:tcW w:w="564" w:type="dxa"/>
            <w:tcBorders>
              <w:top w:val="nil"/>
              <w:left w:val="nil"/>
              <w:bottom w:val="nil"/>
              <w:right w:val="nil"/>
            </w:tcBorders>
            <w:shd w:val="clear" w:color="auto" w:fill="auto"/>
            <w:vAlign w:val="center"/>
          </w:tcPr>
          <w:p w14:paraId="563E1D20">
            <w:pPr>
              <w:rPr>
                <w:rFonts w:hint="default" w:ascii="Times New Roman" w:hAnsi="Times New Roman" w:eastAsia="宋体" w:cs="Times New Roman"/>
                <w:i w:val="0"/>
                <w:iCs w:val="0"/>
                <w:color w:val="000000"/>
                <w:sz w:val="18"/>
                <w:szCs w:val="18"/>
                <w:u w:val="none"/>
              </w:rPr>
            </w:pPr>
          </w:p>
        </w:tc>
        <w:tc>
          <w:tcPr>
            <w:tcW w:w="2301" w:type="dxa"/>
            <w:tcBorders>
              <w:top w:val="nil"/>
              <w:left w:val="nil"/>
              <w:bottom w:val="nil"/>
              <w:right w:val="nil"/>
            </w:tcBorders>
            <w:shd w:val="clear" w:color="auto" w:fill="auto"/>
            <w:vAlign w:val="center"/>
          </w:tcPr>
          <w:p w14:paraId="2AE06E38">
            <w:pPr>
              <w:rPr>
                <w:rFonts w:hint="default" w:ascii="Times New Roman" w:hAnsi="Times New Roman" w:eastAsia="宋体" w:cs="Times New Roman"/>
                <w:i w:val="0"/>
                <w:iCs w:val="0"/>
                <w:color w:val="000000"/>
                <w:sz w:val="18"/>
                <w:szCs w:val="18"/>
                <w:u w:val="none"/>
              </w:rPr>
            </w:pPr>
          </w:p>
        </w:tc>
      </w:tr>
      <w:tr w14:paraId="47B01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65C97C19">
            <w:pPr>
              <w:rPr>
                <w:rFonts w:hint="default" w:ascii="Times New Roman" w:hAnsi="Times New Roman" w:eastAsia="宋体" w:cs="Times New Roman"/>
                <w:i w:val="0"/>
                <w:iCs w:val="0"/>
                <w:color w:val="000000"/>
                <w:sz w:val="18"/>
                <w:szCs w:val="18"/>
                <w:u w:val="none"/>
              </w:rPr>
            </w:pPr>
          </w:p>
          <w:p w14:paraId="0EC7B999">
            <w:pPr>
              <w:rPr>
                <w:rFonts w:hint="default" w:ascii="Times New Roman" w:hAnsi="Times New Roman" w:eastAsia="宋体" w:cs="Times New Roman"/>
                <w:i w:val="0"/>
                <w:iCs w:val="0"/>
                <w:color w:val="000000"/>
                <w:sz w:val="18"/>
                <w:szCs w:val="18"/>
                <w:u w:val="none"/>
              </w:rPr>
            </w:pPr>
          </w:p>
          <w:p w14:paraId="38FA37E6">
            <w:pPr>
              <w:rPr>
                <w:rFonts w:hint="default" w:ascii="Times New Roman" w:hAnsi="Times New Roman" w:eastAsia="宋体" w:cs="Times New Roman"/>
                <w:i w:val="0"/>
                <w:iCs w:val="0"/>
                <w:color w:val="000000"/>
                <w:sz w:val="18"/>
                <w:szCs w:val="18"/>
                <w:u w:val="none"/>
              </w:rPr>
            </w:pPr>
          </w:p>
          <w:p w14:paraId="2D719E35">
            <w:pPr>
              <w:rPr>
                <w:rFonts w:hint="default" w:ascii="Times New Roman" w:hAnsi="Times New Roman" w:eastAsia="宋体" w:cs="Times New Roman"/>
                <w:i w:val="0"/>
                <w:iCs w:val="0"/>
                <w:color w:val="000000"/>
                <w:sz w:val="18"/>
                <w:szCs w:val="18"/>
                <w:u w:val="none"/>
              </w:rPr>
            </w:pPr>
          </w:p>
          <w:p w14:paraId="2CCCF77B">
            <w:pPr>
              <w:rPr>
                <w:rFonts w:hint="default" w:ascii="Times New Roman" w:hAnsi="Times New Roman" w:eastAsia="宋体" w:cs="Times New Roman"/>
                <w:i w:val="0"/>
                <w:iCs w:val="0"/>
                <w:color w:val="000000"/>
                <w:sz w:val="18"/>
                <w:szCs w:val="18"/>
                <w:u w:val="none"/>
              </w:rPr>
            </w:pPr>
          </w:p>
        </w:tc>
        <w:tc>
          <w:tcPr>
            <w:tcW w:w="1847" w:type="dxa"/>
            <w:tcBorders>
              <w:top w:val="nil"/>
              <w:left w:val="nil"/>
              <w:bottom w:val="nil"/>
              <w:right w:val="nil"/>
            </w:tcBorders>
            <w:shd w:val="clear" w:color="auto" w:fill="auto"/>
            <w:vAlign w:val="center"/>
          </w:tcPr>
          <w:p w14:paraId="5AF3281F">
            <w:pPr>
              <w:rPr>
                <w:rFonts w:hint="default" w:ascii="Times New Roman" w:hAnsi="Times New Roman" w:eastAsia="宋体" w:cs="Times New Roman"/>
                <w:i w:val="0"/>
                <w:iCs w:val="0"/>
                <w:color w:val="000000"/>
                <w:sz w:val="18"/>
                <w:szCs w:val="18"/>
                <w:u w:val="none"/>
              </w:rPr>
            </w:pPr>
          </w:p>
        </w:tc>
        <w:tc>
          <w:tcPr>
            <w:tcW w:w="1598" w:type="dxa"/>
            <w:tcBorders>
              <w:top w:val="nil"/>
              <w:left w:val="nil"/>
              <w:bottom w:val="nil"/>
              <w:right w:val="nil"/>
            </w:tcBorders>
            <w:shd w:val="clear" w:color="auto" w:fill="auto"/>
            <w:vAlign w:val="center"/>
          </w:tcPr>
          <w:p w14:paraId="4253C3D1">
            <w:pPr>
              <w:rPr>
                <w:rFonts w:hint="default" w:ascii="Times New Roman" w:hAnsi="Times New Roman" w:eastAsia="宋体" w:cs="Times New Roman"/>
                <w:i w:val="0"/>
                <w:iCs w:val="0"/>
                <w:color w:val="000000"/>
                <w:sz w:val="18"/>
                <w:szCs w:val="18"/>
                <w:u w:val="none"/>
              </w:rPr>
            </w:pPr>
          </w:p>
        </w:tc>
        <w:tc>
          <w:tcPr>
            <w:tcW w:w="2038" w:type="dxa"/>
            <w:tcBorders>
              <w:top w:val="nil"/>
              <w:left w:val="nil"/>
              <w:bottom w:val="nil"/>
              <w:right w:val="nil"/>
            </w:tcBorders>
            <w:shd w:val="clear" w:color="auto" w:fill="auto"/>
            <w:vAlign w:val="center"/>
          </w:tcPr>
          <w:p w14:paraId="4161223C">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03484B03">
            <w:pPr>
              <w:rPr>
                <w:rFonts w:hint="default" w:ascii="Times New Roman" w:hAnsi="Times New Roman" w:eastAsia="宋体" w:cs="Times New Roman"/>
                <w:i w:val="0"/>
                <w:iCs w:val="0"/>
                <w:color w:val="000000"/>
                <w:sz w:val="18"/>
                <w:szCs w:val="18"/>
                <w:u w:val="none"/>
              </w:rPr>
            </w:pPr>
          </w:p>
        </w:tc>
        <w:tc>
          <w:tcPr>
            <w:tcW w:w="1509" w:type="dxa"/>
            <w:tcBorders>
              <w:top w:val="nil"/>
              <w:left w:val="nil"/>
              <w:bottom w:val="nil"/>
              <w:right w:val="nil"/>
            </w:tcBorders>
            <w:shd w:val="clear" w:color="auto" w:fill="auto"/>
            <w:vAlign w:val="center"/>
          </w:tcPr>
          <w:p w14:paraId="2FC058AE">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0B71B401">
            <w:pPr>
              <w:rPr>
                <w:rFonts w:hint="default" w:ascii="Times New Roman" w:hAnsi="Times New Roman" w:eastAsia="宋体" w:cs="Times New Roman"/>
                <w:i w:val="0"/>
                <w:iCs w:val="0"/>
                <w:color w:val="000000"/>
                <w:sz w:val="18"/>
                <w:szCs w:val="18"/>
                <w:u w:val="none"/>
              </w:rPr>
            </w:pPr>
          </w:p>
        </w:tc>
        <w:tc>
          <w:tcPr>
            <w:tcW w:w="982" w:type="dxa"/>
            <w:tcBorders>
              <w:top w:val="nil"/>
              <w:left w:val="nil"/>
              <w:bottom w:val="nil"/>
              <w:right w:val="nil"/>
            </w:tcBorders>
            <w:shd w:val="clear" w:color="auto" w:fill="auto"/>
            <w:vAlign w:val="center"/>
          </w:tcPr>
          <w:p w14:paraId="776B5816">
            <w:pPr>
              <w:rPr>
                <w:rFonts w:hint="default" w:ascii="Times New Roman" w:hAnsi="Times New Roman" w:eastAsia="宋体" w:cs="Times New Roman"/>
                <w:i w:val="0"/>
                <w:iCs w:val="0"/>
                <w:color w:val="000000"/>
                <w:sz w:val="18"/>
                <w:szCs w:val="18"/>
                <w:u w:val="none"/>
              </w:rPr>
            </w:pPr>
          </w:p>
        </w:tc>
        <w:tc>
          <w:tcPr>
            <w:tcW w:w="455" w:type="dxa"/>
            <w:tcBorders>
              <w:top w:val="nil"/>
              <w:left w:val="nil"/>
              <w:bottom w:val="nil"/>
              <w:right w:val="nil"/>
            </w:tcBorders>
            <w:shd w:val="clear" w:color="auto" w:fill="auto"/>
            <w:vAlign w:val="center"/>
          </w:tcPr>
          <w:p w14:paraId="09B2D2B1">
            <w:pPr>
              <w:rPr>
                <w:rFonts w:hint="default" w:ascii="Times New Roman" w:hAnsi="Times New Roman" w:eastAsia="宋体" w:cs="Times New Roman"/>
                <w:i w:val="0"/>
                <w:iCs w:val="0"/>
                <w:color w:val="000000"/>
                <w:sz w:val="18"/>
                <w:szCs w:val="18"/>
                <w:u w:val="none"/>
              </w:rPr>
            </w:pPr>
          </w:p>
        </w:tc>
        <w:tc>
          <w:tcPr>
            <w:tcW w:w="564" w:type="dxa"/>
            <w:tcBorders>
              <w:top w:val="nil"/>
              <w:left w:val="nil"/>
              <w:bottom w:val="nil"/>
              <w:right w:val="nil"/>
            </w:tcBorders>
            <w:shd w:val="clear" w:color="auto" w:fill="auto"/>
            <w:vAlign w:val="center"/>
          </w:tcPr>
          <w:p w14:paraId="0FA04676">
            <w:pPr>
              <w:rPr>
                <w:rFonts w:hint="default" w:ascii="Times New Roman" w:hAnsi="Times New Roman" w:eastAsia="宋体" w:cs="Times New Roman"/>
                <w:i w:val="0"/>
                <w:iCs w:val="0"/>
                <w:color w:val="000000"/>
                <w:sz w:val="18"/>
                <w:szCs w:val="18"/>
                <w:u w:val="none"/>
              </w:rPr>
            </w:pPr>
          </w:p>
        </w:tc>
        <w:tc>
          <w:tcPr>
            <w:tcW w:w="2301" w:type="dxa"/>
            <w:tcBorders>
              <w:top w:val="nil"/>
              <w:left w:val="nil"/>
              <w:bottom w:val="nil"/>
              <w:right w:val="nil"/>
            </w:tcBorders>
            <w:shd w:val="clear" w:color="auto" w:fill="auto"/>
            <w:vAlign w:val="center"/>
          </w:tcPr>
          <w:p w14:paraId="51904E53">
            <w:pPr>
              <w:rPr>
                <w:rFonts w:hint="default" w:ascii="Times New Roman" w:hAnsi="Times New Roman" w:eastAsia="宋体" w:cs="Times New Roman"/>
                <w:i w:val="0"/>
                <w:iCs w:val="0"/>
                <w:color w:val="000000"/>
                <w:sz w:val="18"/>
                <w:szCs w:val="18"/>
                <w:u w:val="none"/>
              </w:rPr>
            </w:pPr>
          </w:p>
        </w:tc>
      </w:tr>
      <w:tr w14:paraId="67E38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8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95BC63">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14:paraId="72B68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0FE5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10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96E1F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51041121Y000000106551-党建经费（行政）</w:t>
            </w:r>
          </w:p>
        </w:tc>
      </w:tr>
      <w:tr w14:paraId="6B19E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B29A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6B05C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攀枝花市仁和区信访局部门</w:t>
            </w:r>
          </w:p>
        </w:tc>
        <w:tc>
          <w:tcPr>
            <w:tcW w:w="982" w:type="dxa"/>
            <w:tcBorders>
              <w:top w:val="nil"/>
              <w:left w:val="nil"/>
              <w:bottom w:val="nil"/>
              <w:right w:val="nil"/>
            </w:tcBorders>
            <w:shd w:val="clear" w:color="auto" w:fill="auto"/>
            <w:vAlign w:val="center"/>
          </w:tcPr>
          <w:p w14:paraId="5952840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A4AA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攀枝花市仁和区信访局</w:t>
            </w:r>
          </w:p>
        </w:tc>
      </w:tr>
      <w:tr w14:paraId="1661B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3D0E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FEB8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8F34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788B6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4029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63B34">
            <w:pP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CB579">
            <w:pPr>
              <w:rPr>
                <w:rFonts w:hint="default" w:ascii="Times New Roman" w:hAnsi="Times New Roman" w:eastAsia="宋体" w:cs="Times New Roman"/>
                <w:i w:val="0"/>
                <w:iCs w:val="0"/>
                <w:color w:val="000000"/>
                <w:sz w:val="18"/>
                <w:szCs w:val="18"/>
                <w:u w:val="none"/>
              </w:rPr>
            </w:pP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8A69B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保障单位日常运转，提高预算编制质量，严格执行预算</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6D3DC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2022年未完成年度目标</w:t>
            </w:r>
          </w:p>
        </w:tc>
      </w:tr>
      <w:tr w14:paraId="7C71B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CC34F">
            <w:pP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722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10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E03CF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保障党建经费，因财政资金紧张，活动开展不够，党建经费未执行完预算数。</w:t>
            </w:r>
          </w:p>
        </w:tc>
      </w:tr>
      <w:tr w14:paraId="077DB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F6D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C8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BB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57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610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D8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43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C5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F8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503F1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5E49E">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C5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65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0.24</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04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0.24</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4F7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85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9A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51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CD376">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default" w:ascii="Times New Roman" w:hAnsi="Times New Roman" w:eastAsia="黑体" w:cs="Times New Roman"/>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2E28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1E052">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9A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C3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0.24</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29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0.24</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1DE5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B7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20.83%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89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AE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14B8D">
            <w:pPr>
              <w:rPr>
                <w:rFonts w:hint="default" w:ascii="Times New Roman" w:hAnsi="Times New Roman" w:eastAsia="黑体" w:cs="Times New Roman"/>
                <w:i/>
                <w:iCs/>
                <w:color w:val="000000"/>
                <w:sz w:val="18"/>
                <w:szCs w:val="18"/>
                <w:u w:val="none"/>
              </w:rPr>
            </w:pPr>
          </w:p>
        </w:tc>
      </w:tr>
      <w:tr w14:paraId="453EB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90E48">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30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11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2B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411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F0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23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7E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5C056">
            <w:pPr>
              <w:rPr>
                <w:rFonts w:hint="default" w:ascii="Times New Roman" w:hAnsi="Times New Roman" w:eastAsia="黑体" w:cs="Times New Roman"/>
                <w:i/>
                <w:iCs/>
                <w:color w:val="000000"/>
                <w:sz w:val="18"/>
                <w:szCs w:val="18"/>
                <w:u w:val="none"/>
              </w:rPr>
            </w:pPr>
          </w:p>
        </w:tc>
      </w:tr>
      <w:tr w14:paraId="05BC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01628">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4A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3D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86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A12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9D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25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59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DFEDF">
            <w:pPr>
              <w:rPr>
                <w:rFonts w:hint="default" w:ascii="Times New Roman" w:hAnsi="Times New Roman" w:eastAsia="黑体" w:cs="Times New Roman"/>
                <w:i/>
                <w:iCs/>
                <w:color w:val="000000"/>
                <w:sz w:val="18"/>
                <w:szCs w:val="18"/>
                <w:u w:val="none"/>
              </w:rPr>
            </w:pPr>
          </w:p>
        </w:tc>
      </w:tr>
      <w:tr w14:paraId="5DD87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419C7">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27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3C29">
            <w:pPr>
              <w:jc w:val="center"/>
              <w:rPr>
                <w:rFonts w:hint="default" w:ascii="Times New Roman" w:hAnsi="Times New Roman" w:eastAsia="微软雅黑" w:cs="Times New Roman"/>
                <w:i/>
                <w:iCs/>
                <w:color w:val="000000"/>
                <w:sz w:val="16"/>
                <w:szCs w:val="16"/>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6E51">
            <w:pPr>
              <w:jc w:val="center"/>
              <w:rPr>
                <w:rFonts w:hint="default" w:ascii="Times New Roman" w:hAnsi="Times New Roman" w:eastAsia="微软雅黑" w:cs="Times New Roman"/>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42D59E">
            <w:pPr>
              <w:jc w:val="center"/>
              <w:rPr>
                <w:rFonts w:hint="default" w:ascii="Times New Roman" w:hAnsi="Times New Roman" w:eastAsia="微软雅黑" w:cs="Times New Roman"/>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28FF">
            <w:pPr>
              <w:jc w:val="center"/>
              <w:rPr>
                <w:rFonts w:hint="default" w:ascii="Times New Roman" w:hAnsi="Times New Roman" w:eastAsia="微软雅黑" w:cs="Times New Roman"/>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67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1E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4E53E">
            <w:pPr>
              <w:rPr>
                <w:rFonts w:hint="default" w:ascii="Times New Roman" w:hAnsi="Times New Roman" w:eastAsia="黑体" w:cs="Times New Roman"/>
                <w:i/>
                <w:iCs/>
                <w:color w:val="000000"/>
                <w:sz w:val="18"/>
                <w:szCs w:val="18"/>
                <w:u w:val="none"/>
              </w:rPr>
            </w:pPr>
          </w:p>
        </w:tc>
      </w:tr>
      <w:tr w14:paraId="1035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2F3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76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E2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9E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48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B7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42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2B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11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DF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CA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370D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8B9C8">
            <w:pPr>
              <w:jc w:val="center"/>
              <w:rPr>
                <w:rFonts w:hint="default" w:ascii="Times New Roman" w:hAnsi="Times New Roman" w:eastAsia="宋体" w:cs="Times New Roman"/>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E26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60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FA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科目调整次数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C0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1F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84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5C76">
            <w:pPr>
              <w:jc w:val="center"/>
              <w:rPr>
                <w:rFonts w:hint="default" w:ascii="Times New Roman" w:hAnsi="Times New Roman" w:eastAsia="微软雅黑" w:cs="Times New Roman"/>
                <w:i/>
                <w:iCs/>
                <w:color w:val="000000"/>
                <w:sz w:val="16"/>
                <w:szCs w:val="16"/>
                <w:u w:val="none"/>
                <w:lang w:val="en-US" w:eastAsia="zh-CN"/>
              </w:rPr>
            </w:pPr>
            <w:r>
              <w:rPr>
                <w:rFonts w:hint="default" w:ascii="Times New Roman" w:hAnsi="Times New Roman" w:eastAsia="微软雅黑" w:cs="Times New Roman"/>
                <w:i/>
                <w:iCs/>
                <w:color w:val="000000"/>
                <w:sz w:val="16"/>
                <w:szCs w:val="16"/>
                <w:u w:val="none"/>
                <w:lang w:val="en-US" w:eastAsia="zh-CN"/>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05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81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7B43">
            <w:pPr>
              <w:jc w:val="center"/>
              <w:rPr>
                <w:rFonts w:hint="default" w:ascii="Times New Roman" w:hAnsi="Times New Roman" w:eastAsia="微软雅黑" w:cs="Times New Roman"/>
                <w:i/>
                <w:iCs/>
                <w:color w:val="000000"/>
                <w:sz w:val="16"/>
                <w:szCs w:val="16"/>
                <w:u w:val="none"/>
              </w:rPr>
            </w:pPr>
          </w:p>
        </w:tc>
      </w:tr>
      <w:tr w14:paraId="0ADDE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7AC1E">
            <w:pPr>
              <w:jc w:val="cente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55232">
            <w:pPr>
              <w:jc w:val="center"/>
              <w:rPr>
                <w:rFonts w:hint="default" w:ascii="Times New Roman" w:hAnsi="Times New Roman" w:eastAsia="宋体" w:cs="Times New Roman"/>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8D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37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预算编制准确率（计算方法为：∣（执行数-预算数）/预算数∣）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AE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87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4D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6EA0">
            <w:pPr>
              <w:jc w:val="center"/>
              <w:rPr>
                <w:rFonts w:hint="default" w:ascii="Times New Roman" w:hAnsi="Times New Roman" w:eastAsia="微软雅黑" w:cs="Times New Roman"/>
                <w:i/>
                <w:iCs/>
                <w:color w:val="000000"/>
                <w:sz w:val="16"/>
                <w:szCs w:val="16"/>
                <w:u w:val="none"/>
                <w:lang w:val="en-US" w:eastAsia="zh-CN"/>
              </w:rPr>
            </w:pPr>
            <w:r>
              <w:rPr>
                <w:rFonts w:hint="default" w:ascii="Times New Roman" w:hAnsi="Times New Roman" w:eastAsia="微软雅黑" w:cs="Times New Roman"/>
                <w:i/>
                <w:iCs/>
                <w:color w:val="000000"/>
                <w:sz w:val="16"/>
                <w:szCs w:val="16"/>
                <w:u w:val="none"/>
                <w:lang w:val="en-US" w:eastAsia="zh-CN"/>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05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0A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7DA7">
            <w:pPr>
              <w:jc w:val="center"/>
              <w:rPr>
                <w:rFonts w:hint="default" w:ascii="Times New Roman" w:hAnsi="Times New Roman" w:eastAsia="微软雅黑" w:cs="Times New Roman"/>
                <w:i/>
                <w:iCs/>
                <w:color w:val="000000"/>
                <w:sz w:val="16"/>
                <w:szCs w:val="16"/>
                <w:u w:val="none"/>
              </w:rPr>
            </w:pPr>
          </w:p>
        </w:tc>
      </w:tr>
      <w:tr w14:paraId="3A6D6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51E7A">
            <w:pPr>
              <w:jc w:val="center"/>
              <w:rPr>
                <w:rFonts w:hint="default" w:ascii="Times New Roman" w:hAnsi="Times New Roman" w:eastAsia="宋体" w:cs="Times New Roman"/>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0CE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C02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BE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运转保障率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14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F4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BF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B81C">
            <w:pPr>
              <w:jc w:val="center"/>
              <w:rPr>
                <w:rFonts w:hint="default" w:ascii="Times New Roman" w:hAnsi="Times New Roman" w:eastAsia="微软雅黑" w:cs="Times New Roman"/>
                <w:i/>
                <w:iCs/>
                <w:color w:val="000000"/>
                <w:sz w:val="16"/>
                <w:szCs w:val="16"/>
                <w:u w:val="none"/>
                <w:lang w:val="en-US" w:eastAsia="zh-CN"/>
              </w:rPr>
            </w:pPr>
            <w:r>
              <w:rPr>
                <w:rFonts w:hint="default" w:ascii="Times New Roman" w:hAnsi="Times New Roman" w:eastAsia="微软雅黑" w:cs="Times New Roman"/>
                <w:i/>
                <w:iCs/>
                <w:color w:val="000000"/>
                <w:sz w:val="16"/>
                <w:szCs w:val="16"/>
                <w:u w:val="none"/>
                <w:lang w:val="en-US" w:eastAsia="zh-CN"/>
              </w:rPr>
              <w:t>90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E5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4E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D616">
            <w:pPr>
              <w:jc w:val="center"/>
              <w:rPr>
                <w:rFonts w:hint="default" w:ascii="Times New Roman" w:hAnsi="Times New Roman" w:eastAsia="微软雅黑" w:cs="Times New Roman"/>
                <w:i/>
                <w:iCs/>
                <w:color w:val="000000"/>
                <w:sz w:val="16"/>
                <w:szCs w:val="16"/>
                <w:u w:val="none"/>
              </w:rPr>
            </w:pPr>
          </w:p>
        </w:tc>
      </w:tr>
      <w:tr w14:paraId="30A53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770C1">
            <w:pPr>
              <w:jc w:val="cente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A27B9">
            <w:pPr>
              <w:jc w:val="center"/>
              <w:rPr>
                <w:rFonts w:hint="default" w:ascii="Times New Roman" w:hAnsi="Times New Roman" w:eastAsia="宋体" w:cs="Times New Roman"/>
                <w:i w:val="0"/>
                <w:iCs w:val="0"/>
                <w:color w:val="000000"/>
                <w:sz w:val="18"/>
                <w:szCs w:val="18"/>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FCAF3">
            <w:pPr>
              <w:jc w:val="center"/>
              <w:rPr>
                <w:rFonts w:hint="default" w:ascii="Times New Roman" w:hAnsi="Times New Roman" w:eastAsia="宋体" w:cs="Times New Roman"/>
                <w:i w:val="0"/>
                <w:iCs w:val="0"/>
                <w:color w:val="000000"/>
                <w:sz w:val="18"/>
                <w:szCs w:val="18"/>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0F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“三公”经费控制率[计算方法为：（</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三公</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经费实际支出数/预算安排数]×100%）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7D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D9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5B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C9D3">
            <w:pPr>
              <w:jc w:val="center"/>
              <w:rPr>
                <w:rFonts w:hint="default" w:ascii="Times New Roman" w:hAnsi="Times New Roman" w:eastAsia="微软雅黑" w:cs="Times New Roman"/>
                <w:i/>
                <w:iCs/>
                <w:color w:val="000000"/>
                <w:sz w:val="16"/>
                <w:szCs w:val="16"/>
                <w:u w:val="none"/>
                <w:lang w:val="en-US" w:eastAsia="zh-CN"/>
              </w:rPr>
            </w:pPr>
            <w:r>
              <w:rPr>
                <w:rFonts w:hint="default" w:ascii="Times New Roman" w:hAnsi="Times New Roman" w:eastAsia="微软雅黑" w:cs="Times New Roman"/>
                <w:i/>
                <w:iCs/>
                <w:color w:val="000000"/>
                <w:sz w:val="16"/>
                <w:szCs w:val="16"/>
                <w:u w:val="none"/>
                <w:lang w:val="en-US" w:eastAsia="zh-CN"/>
              </w:rPr>
              <w:t>85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A2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D0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9D67">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财政资金困难</w:t>
            </w:r>
          </w:p>
        </w:tc>
      </w:tr>
      <w:tr w14:paraId="73D7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5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DA00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A8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6FE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57</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2AC5">
            <w:pPr>
              <w:rPr>
                <w:rFonts w:hint="default" w:ascii="Times New Roman" w:hAnsi="Times New Roman" w:eastAsia="宋体" w:cs="Times New Roman"/>
                <w:i w:val="0"/>
                <w:iCs w:val="0"/>
                <w:color w:val="000000"/>
                <w:sz w:val="18"/>
                <w:szCs w:val="18"/>
                <w:u w:val="none"/>
              </w:rPr>
            </w:pPr>
          </w:p>
        </w:tc>
      </w:tr>
      <w:tr w14:paraId="2B5C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3B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AE4A73">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本项目2022年度预算执行情况及绩效评价较差，因受年度财政资金等不可控因素影响，预算执行灵敏还未能全部达到年初预算数。</w:t>
            </w:r>
          </w:p>
        </w:tc>
      </w:tr>
      <w:tr w14:paraId="3B1B2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EB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0CCD3A">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财政资金紧张，预算执行无法全部到位。</w:t>
            </w:r>
          </w:p>
        </w:tc>
      </w:tr>
      <w:tr w14:paraId="558D5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A6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85AB20">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积极与财政沟通协调，争取保运转资金，统筹开支。</w:t>
            </w:r>
          </w:p>
        </w:tc>
      </w:tr>
      <w:tr w14:paraId="7BBD9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B8056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c>
          <w:tcPr>
            <w:tcW w:w="6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9FBE5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r>
      <w:tr w14:paraId="255A6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7661A099">
            <w:pPr>
              <w:rPr>
                <w:rFonts w:hint="default" w:ascii="Times New Roman" w:hAnsi="Times New Roman" w:eastAsia="宋体" w:cs="Times New Roman"/>
                <w:i w:val="0"/>
                <w:iCs w:val="0"/>
                <w:color w:val="000000"/>
                <w:sz w:val="18"/>
                <w:szCs w:val="18"/>
                <w:u w:val="none"/>
              </w:rPr>
            </w:pPr>
          </w:p>
        </w:tc>
        <w:tc>
          <w:tcPr>
            <w:tcW w:w="1847" w:type="dxa"/>
            <w:tcBorders>
              <w:top w:val="nil"/>
              <w:left w:val="nil"/>
              <w:bottom w:val="nil"/>
              <w:right w:val="nil"/>
            </w:tcBorders>
            <w:shd w:val="clear" w:color="auto" w:fill="auto"/>
            <w:vAlign w:val="center"/>
          </w:tcPr>
          <w:p w14:paraId="4D425BEA">
            <w:pPr>
              <w:rPr>
                <w:rFonts w:hint="default" w:ascii="Times New Roman" w:hAnsi="Times New Roman" w:eastAsia="宋体" w:cs="Times New Roman"/>
                <w:i w:val="0"/>
                <w:iCs w:val="0"/>
                <w:color w:val="000000"/>
                <w:sz w:val="18"/>
                <w:szCs w:val="18"/>
                <w:u w:val="none"/>
              </w:rPr>
            </w:pPr>
          </w:p>
        </w:tc>
        <w:tc>
          <w:tcPr>
            <w:tcW w:w="1598" w:type="dxa"/>
            <w:tcBorders>
              <w:top w:val="nil"/>
              <w:left w:val="nil"/>
              <w:bottom w:val="nil"/>
              <w:right w:val="nil"/>
            </w:tcBorders>
            <w:shd w:val="clear" w:color="auto" w:fill="auto"/>
            <w:vAlign w:val="center"/>
          </w:tcPr>
          <w:p w14:paraId="358E5E27">
            <w:pPr>
              <w:rPr>
                <w:rFonts w:hint="default" w:ascii="Times New Roman" w:hAnsi="Times New Roman" w:eastAsia="宋体" w:cs="Times New Roman"/>
                <w:i w:val="0"/>
                <w:iCs w:val="0"/>
                <w:color w:val="000000"/>
                <w:sz w:val="18"/>
                <w:szCs w:val="18"/>
                <w:u w:val="none"/>
              </w:rPr>
            </w:pPr>
          </w:p>
        </w:tc>
        <w:tc>
          <w:tcPr>
            <w:tcW w:w="2038" w:type="dxa"/>
            <w:tcBorders>
              <w:top w:val="nil"/>
              <w:left w:val="nil"/>
              <w:bottom w:val="nil"/>
              <w:right w:val="nil"/>
            </w:tcBorders>
            <w:shd w:val="clear" w:color="auto" w:fill="auto"/>
            <w:vAlign w:val="center"/>
          </w:tcPr>
          <w:p w14:paraId="79D9329A">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6B872C4F">
            <w:pPr>
              <w:rPr>
                <w:rFonts w:hint="default" w:ascii="Times New Roman" w:hAnsi="Times New Roman" w:eastAsia="宋体" w:cs="Times New Roman"/>
                <w:i w:val="0"/>
                <w:iCs w:val="0"/>
                <w:color w:val="000000"/>
                <w:sz w:val="18"/>
                <w:szCs w:val="18"/>
                <w:u w:val="none"/>
              </w:rPr>
            </w:pPr>
          </w:p>
        </w:tc>
        <w:tc>
          <w:tcPr>
            <w:tcW w:w="1509" w:type="dxa"/>
            <w:tcBorders>
              <w:top w:val="nil"/>
              <w:left w:val="nil"/>
              <w:bottom w:val="nil"/>
              <w:right w:val="nil"/>
            </w:tcBorders>
            <w:shd w:val="clear" w:color="auto" w:fill="auto"/>
            <w:vAlign w:val="center"/>
          </w:tcPr>
          <w:p w14:paraId="33145E7E">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46103E6F">
            <w:pPr>
              <w:rPr>
                <w:rFonts w:hint="default" w:ascii="Times New Roman" w:hAnsi="Times New Roman" w:eastAsia="宋体" w:cs="Times New Roman"/>
                <w:i w:val="0"/>
                <w:iCs w:val="0"/>
                <w:color w:val="000000"/>
                <w:sz w:val="18"/>
                <w:szCs w:val="18"/>
                <w:u w:val="none"/>
              </w:rPr>
            </w:pPr>
          </w:p>
        </w:tc>
        <w:tc>
          <w:tcPr>
            <w:tcW w:w="982" w:type="dxa"/>
            <w:tcBorders>
              <w:top w:val="nil"/>
              <w:left w:val="nil"/>
              <w:bottom w:val="nil"/>
              <w:right w:val="nil"/>
            </w:tcBorders>
            <w:shd w:val="clear" w:color="auto" w:fill="auto"/>
            <w:vAlign w:val="center"/>
          </w:tcPr>
          <w:p w14:paraId="3A2B0B08">
            <w:pPr>
              <w:rPr>
                <w:rFonts w:hint="default" w:ascii="Times New Roman" w:hAnsi="Times New Roman" w:eastAsia="宋体" w:cs="Times New Roman"/>
                <w:i w:val="0"/>
                <w:iCs w:val="0"/>
                <w:color w:val="000000"/>
                <w:sz w:val="18"/>
                <w:szCs w:val="18"/>
                <w:u w:val="none"/>
              </w:rPr>
            </w:pPr>
          </w:p>
        </w:tc>
        <w:tc>
          <w:tcPr>
            <w:tcW w:w="455" w:type="dxa"/>
            <w:tcBorders>
              <w:top w:val="nil"/>
              <w:left w:val="nil"/>
              <w:bottom w:val="nil"/>
              <w:right w:val="nil"/>
            </w:tcBorders>
            <w:shd w:val="clear" w:color="auto" w:fill="auto"/>
            <w:vAlign w:val="center"/>
          </w:tcPr>
          <w:p w14:paraId="783E9F09">
            <w:pPr>
              <w:rPr>
                <w:rFonts w:hint="default" w:ascii="Times New Roman" w:hAnsi="Times New Roman" w:eastAsia="宋体" w:cs="Times New Roman"/>
                <w:i w:val="0"/>
                <w:iCs w:val="0"/>
                <w:color w:val="000000"/>
                <w:sz w:val="18"/>
                <w:szCs w:val="18"/>
                <w:u w:val="none"/>
              </w:rPr>
            </w:pPr>
          </w:p>
        </w:tc>
        <w:tc>
          <w:tcPr>
            <w:tcW w:w="564" w:type="dxa"/>
            <w:tcBorders>
              <w:top w:val="nil"/>
              <w:left w:val="nil"/>
              <w:bottom w:val="nil"/>
              <w:right w:val="nil"/>
            </w:tcBorders>
            <w:shd w:val="clear" w:color="auto" w:fill="auto"/>
            <w:vAlign w:val="center"/>
          </w:tcPr>
          <w:p w14:paraId="2D13C2D6">
            <w:pPr>
              <w:rPr>
                <w:rFonts w:hint="default" w:ascii="Times New Roman" w:hAnsi="Times New Roman" w:eastAsia="宋体" w:cs="Times New Roman"/>
                <w:i w:val="0"/>
                <w:iCs w:val="0"/>
                <w:color w:val="000000"/>
                <w:sz w:val="18"/>
                <w:szCs w:val="18"/>
                <w:u w:val="none"/>
              </w:rPr>
            </w:pPr>
          </w:p>
        </w:tc>
        <w:tc>
          <w:tcPr>
            <w:tcW w:w="2301" w:type="dxa"/>
            <w:tcBorders>
              <w:top w:val="nil"/>
              <w:left w:val="nil"/>
              <w:bottom w:val="nil"/>
              <w:right w:val="nil"/>
            </w:tcBorders>
            <w:shd w:val="clear" w:color="auto" w:fill="auto"/>
            <w:vAlign w:val="center"/>
          </w:tcPr>
          <w:p w14:paraId="593631A1">
            <w:pPr>
              <w:rPr>
                <w:rFonts w:hint="default" w:ascii="Times New Roman" w:hAnsi="Times New Roman" w:eastAsia="宋体" w:cs="Times New Roman"/>
                <w:i w:val="0"/>
                <w:iCs w:val="0"/>
                <w:color w:val="000000"/>
                <w:sz w:val="18"/>
                <w:szCs w:val="18"/>
                <w:u w:val="none"/>
              </w:rPr>
            </w:pPr>
          </w:p>
        </w:tc>
      </w:tr>
      <w:tr w14:paraId="5868B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02F77951">
            <w:pPr>
              <w:rPr>
                <w:rFonts w:hint="default" w:ascii="Times New Roman" w:hAnsi="Times New Roman" w:eastAsia="宋体" w:cs="Times New Roman"/>
                <w:i w:val="0"/>
                <w:iCs w:val="0"/>
                <w:color w:val="000000"/>
                <w:sz w:val="18"/>
                <w:szCs w:val="18"/>
                <w:u w:val="none"/>
              </w:rPr>
            </w:pPr>
          </w:p>
          <w:p w14:paraId="4319938D">
            <w:pPr>
              <w:rPr>
                <w:rFonts w:hint="default" w:ascii="Times New Roman" w:hAnsi="Times New Roman" w:eastAsia="宋体" w:cs="Times New Roman"/>
                <w:i w:val="0"/>
                <w:iCs w:val="0"/>
                <w:color w:val="000000"/>
                <w:sz w:val="18"/>
                <w:szCs w:val="18"/>
                <w:u w:val="none"/>
              </w:rPr>
            </w:pPr>
          </w:p>
          <w:p w14:paraId="013155A3">
            <w:pPr>
              <w:rPr>
                <w:rFonts w:hint="default" w:ascii="Times New Roman" w:hAnsi="Times New Roman" w:eastAsia="宋体" w:cs="Times New Roman"/>
                <w:i w:val="0"/>
                <w:iCs w:val="0"/>
                <w:color w:val="000000"/>
                <w:sz w:val="18"/>
                <w:szCs w:val="18"/>
                <w:u w:val="none"/>
              </w:rPr>
            </w:pPr>
          </w:p>
          <w:p w14:paraId="618509AB">
            <w:pPr>
              <w:rPr>
                <w:rFonts w:hint="default" w:ascii="Times New Roman" w:hAnsi="Times New Roman" w:eastAsia="宋体" w:cs="Times New Roman"/>
                <w:i w:val="0"/>
                <w:iCs w:val="0"/>
                <w:color w:val="000000"/>
                <w:sz w:val="18"/>
                <w:szCs w:val="18"/>
                <w:u w:val="none"/>
              </w:rPr>
            </w:pPr>
          </w:p>
          <w:p w14:paraId="56AF5405">
            <w:pPr>
              <w:rPr>
                <w:rFonts w:hint="default" w:ascii="Times New Roman" w:hAnsi="Times New Roman" w:eastAsia="宋体" w:cs="Times New Roman"/>
                <w:i w:val="0"/>
                <w:iCs w:val="0"/>
                <w:color w:val="000000"/>
                <w:sz w:val="18"/>
                <w:szCs w:val="18"/>
                <w:u w:val="none"/>
              </w:rPr>
            </w:pPr>
          </w:p>
        </w:tc>
        <w:tc>
          <w:tcPr>
            <w:tcW w:w="1847" w:type="dxa"/>
            <w:tcBorders>
              <w:top w:val="nil"/>
              <w:left w:val="nil"/>
              <w:bottom w:val="nil"/>
              <w:right w:val="nil"/>
            </w:tcBorders>
            <w:shd w:val="clear" w:color="auto" w:fill="auto"/>
            <w:vAlign w:val="center"/>
          </w:tcPr>
          <w:p w14:paraId="3E1DB911">
            <w:pPr>
              <w:rPr>
                <w:rFonts w:hint="default" w:ascii="Times New Roman" w:hAnsi="Times New Roman" w:eastAsia="宋体" w:cs="Times New Roman"/>
                <w:i w:val="0"/>
                <w:iCs w:val="0"/>
                <w:color w:val="000000"/>
                <w:sz w:val="18"/>
                <w:szCs w:val="18"/>
                <w:u w:val="none"/>
              </w:rPr>
            </w:pPr>
          </w:p>
        </w:tc>
        <w:tc>
          <w:tcPr>
            <w:tcW w:w="1598" w:type="dxa"/>
            <w:tcBorders>
              <w:top w:val="nil"/>
              <w:left w:val="nil"/>
              <w:bottom w:val="nil"/>
              <w:right w:val="nil"/>
            </w:tcBorders>
            <w:shd w:val="clear" w:color="auto" w:fill="auto"/>
            <w:vAlign w:val="center"/>
          </w:tcPr>
          <w:p w14:paraId="7898DAD3">
            <w:pPr>
              <w:rPr>
                <w:rFonts w:hint="default" w:ascii="Times New Roman" w:hAnsi="Times New Roman" w:eastAsia="宋体" w:cs="Times New Roman"/>
                <w:i w:val="0"/>
                <w:iCs w:val="0"/>
                <w:color w:val="000000"/>
                <w:sz w:val="18"/>
                <w:szCs w:val="18"/>
                <w:u w:val="none"/>
              </w:rPr>
            </w:pPr>
          </w:p>
        </w:tc>
        <w:tc>
          <w:tcPr>
            <w:tcW w:w="2038" w:type="dxa"/>
            <w:tcBorders>
              <w:top w:val="nil"/>
              <w:left w:val="nil"/>
              <w:bottom w:val="nil"/>
              <w:right w:val="nil"/>
            </w:tcBorders>
            <w:shd w:val="clear" w:color="auto" w:fill="auto"/>
            <w:vAlign w:val="center"/>
          </w:tcPr>
          <w:p w14:paraId="6C5DF3B5">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76CDD576">
            <w:pPr>
              <w:rPr>
                <w:rFonts w:hint="default" w:ascii="Times New Roman" w:hAnsi="Times New Roman" w:eastAsia="宋体" w:cs="Times New Roman"/>
                <w:i w:val="0"/>
                <w:iCs w:val="0"/>
                <w:color w:val="000000"/>
                <w:sz w:val="18"/>
                <w:szCs w:val="18"/>
                <w:u w:val="none"/>
              </w:rPr>
            </w:pPr>
          </w:p>
        </w:tc>
        <w:tc>
          <w:tcPr>
            <w:tcW w:w="1509" w:type="dxa"/>
            <w:tcBorders>
              <w:top w:val="nil"/>
              <w:left w:val="nil"/>
              <w:bottom w:val="nil"/>
              <w:right w:val="nil"/>
            </w:tcBorders>
            <w:shd w:val="clear" w:color="auto" w:fill="auto"/>
            <w:vAlign w:val="center"/>
          </w:tcPr>
          <w:p w14:paraId="78111CB7">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3D81D310">
            <w:pPr>
              <w:rPr>
                <w:rFonts w:hint="default" w:ascii="Times New Roman" w:hAnsi="Times New Roman" w:eastAsia="宋体" w:cs="Times New Roman"/>
                <w:i w:val="0"/>
                <w:iCs w:val="0"/>
                <w:color w:val="000000"/>
                <w:sz w:val="18"/>
                <w:szCs w:val="18"/>
                <w:u w:val="none"/>
              </w:rPr>
            </w:pPr>
          </w:p>
        </w:tc>
        <w:tc>
          <w:tcPr>
            <w:tcW w:w="982" w:type="dxa"/>
            <w:tcBorders>
              <w:top w:val="nil"/>
              <w:left w:val="nil"/>
              <w:bottom w:val="nil"/>
              <w:right w:val="nil"/>
            </w:tcBorders>
            <w:shd w:val="clear" w:color="auto" w:fill="auto"/>
            <w:vAlign w:val="center"/>
          </w:tcPr>
          <w:p w14:paraId="41D641D1">
            <w:pPr>
              <w:rPr>
                <w:rFonts w:hint="default" w:ascii="Times New Roman" w:hAnsi="Times New Roman" w:eastAsia="宋体" w:cs="Times New Roman"/>
                <w:i w:val="0"/>
                <w:iCs w:val="0"/>
                <w:color w:val="000000"/>
                <w:sz w:val="18"/>
                <w:szCs w:val="18"/>
                <w:u w:val="none"/>
              </w:rPr>
            </w:pPr>
          </w:p>
        </w:tc>
        <w:tc>
          <w:tcPr>
            <w:tcW w:w="455" w:type="dxa"/>
            <w:tcBorders>
              <w:top w:val="nil"/>
              <w:left w:val="nil"/>
              <w:bottom w:val="nil"/>
              <w:right w:val="nil"/>
            </w:tcBorders>
            <w:shd w:val="clear" w:color="auto" w:fill="auto"/>
            <w:vAlign w:val="center"/>
          </w:tcPr>
          <w:p w14:paraId="1B4CA4F2">
            <w:pPr>
              <w:rPr>
                <w:rFonts w:hint="default" w:ascii="Times New Roman" w:hAnsi="Times New Roman" w:eastAsia="宋体" w:cs="Times New Roman"/>
                <w:i w:val="0"/>
                <w:iCs w:val="0"/>
                <w:color w:val="000000"/>
                <w:sz w:val="18"/>
                <w:szCs w:val="18"/>
                <w:u w:val="none"/>
              </w:rPr>
            </w:pPr>
          </w:p>
        </w:tc>
        <w:tc>
          <w:tcPr>
            <w:tcW w:w="564" w:type="dxa"/>
            <w:tcBorders>
              <w:top w:val="nil"/>
              <w:left w:val="nil"/>
              <w:bottom w:val="nil"/>
              <w:right w:val="nil"/>
            </w:tcBorders>
            <w:shd w:val="clear" w:color="auto" w:fill="auto"/>
            <w:vAlign w:val="center"/>
          </w:tcPr>
          <w:p w14:paraId="4F34439D">
            <w:pPr>
              <w:rPr>
                <w:rFonts w:hint="default" w:ascii="Times New Roman" w:hAnsi="Times New Roman" w:eastAsia="宋体" w:cs="Times New Roman"/>
                <w:i w:val="0"/>
                <w:iCs w:val="0"/>
                <w:color w:val="000000"/>
                <w:sz w:val="18"/>
                <w:szCs w:val="18"/>
                <w:u w:val="none"/>
              </w:rPr>
            </w:pPr>
          </w:p>
        </w:tc>
        <w:tc>
          <w:tcPr>
            <w:tcW w:w="2301" w:type="dxa"/>
            <w:tcBorders>
              <w:top w:val="nil"/>
              <w:left w:val="nil"/>
              <w:bottom w:val="nil"/>
              <w:right w:val="nil"/>
            </w:tcBorders>
            <w:shd w:val="clear" w:color="auto" w:fill="auto"/>
            <w:vAlign w:val="center"/>
          </w:tcPr>
          <w:p w14:paraId="395CF428">
            <w:pPr>
              <w:rPr>
                <w:rFonts w:hint="default" w:ascii="Times New Roman" w:hAnsi="Times New Roman" w:eastAsia="宋体" w:cs="Times New Roman"/>
                <w:i w:val="0"/>
                <w:iCs w:val="0"/>
                <w:color w:val="000000"/>
                <w:sz w:val="18"/>
                <w:szCs w:val="18"/>
                <w:u w:val="none"/>
              </w:rPr>
            </w:pPr>
          </w:p>
        </w:tc>
      </w:tr>
      <w:tr w14:paraId="3C49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8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9DC7449">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14:paraId="7C113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9D5E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10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CE06C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51041121Y000000106552-党建经费（事业）</w:t>
            </w:r>
          </w:p>
        </w:tc>
      </w:tr>
      <w:tr w14:paraId="3DDE6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14CC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02038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攀枝花市仁和区信访局部门</w:t>
            </w:r>
          </w:p>
        </w:tc>
        <w:tc>
          <w:tcPr>
            <w:tcW w:w="982" w:type="dxa"/>
            <w:tcBorders>
              <w:top w:val="nil"/>
              <w:left w:val="nil"/>
              <w:bottom w:val="nil"/>
              <w:right w:val="nil"/>
            </w:tcBorders>
            <w:shd w:val="clear" w:color="auto" w:fill="auto"/>
            <w:vAlign w:val="center"/>
          </w:tcPr>
          <w:p w14:paraId="14D6EF6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C082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攀枝花市仁和区信访局</w:t>
            </w:r>
          </w:p>
        </w:tc>
      </w:tr>
      <w:tr w14:paraId="60B74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804A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8C5C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9AFC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133A1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0B06B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F0349">
            <w:pP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482F9">
            <w:pPr>
              <w:rPr>
                <w:rFonts w:hint="default" w:ascii="Times New Roman" w:hAnsi="Times New Roman" w:eastAsia="宋体" w:cs="Times New Roman"/>
                <w:i w:val="0"/>
                <w:iCs w:val="0"/>
                <w:color w:val="000000"/>
                <w:sz w:val="18"/>
                <w:szCs w:val="18"/>
                <w:u w:val="none"/>
              </w:rPr>
            </w:pP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2DCD6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保障单位日常运转，提高预算编制质量，严格执行预算</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56E69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2022年未完成年度目标</w:t>
            </w:r>
          </w:p>
        </w:tc>
      </w:tr>
      <w:tr w14:paraId="08262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B87E2">
            <w:pP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FC7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10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24788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保障党建经费，因财政资金紧张，活动开展不够，党建经费未执行完预算数。</w:t>
            </w:r>
          </w:p>
        </w:tc>
      </w:tr>
      <w:tr w14:paraId="00921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DEA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87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F8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E4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88F8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C8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39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B3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92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125BB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22695">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B7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5D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0.32</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AC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0.32</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9EC2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EE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53.06%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2B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53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DD88A">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default" w:ascii="Times New Roman" w:hAnsi="Times New Roman" w:eastAsia="黑体" w:cs="Times New Roman"/>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F2B0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8A87F">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5F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9A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0.32</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C4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0.32</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B08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8F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53.06%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E4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F7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C3FC2">
            <w:pPr>
              <w:rPr>
                <w:rFonts w:hint="default" w:ascii="Times New Roman" w:hAnsi="Times New Roman" w:eastAsia="黑体" w:cs="Times New Roman"/>
                <w:i/>
                <w:iCs/>
                <w:color w:val="000000"/>
                <w:sz w:val="18"/>
                <w:szCs w:val="18"/>
                <w:u w:val="none"/>
              </w:rPr>
            </w:pPr>
          </w:p>
        </w:tc>
      </w:tr>
      <w:tr w14:paraId="16F6B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C9AB7">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06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80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12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F308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FB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75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BC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DBC2C">
            <w:pPr>
              <w:rPr>
                <w:rFonts w:hint="default" w:ascii="Times New Roman" w:hAnsi="Times New Roman" w:eastAsia="黑体" w:cs="Times New Roman"/>
                <w:i/>
                <w:iCs/>
                <w:color w:val="000000"/>
                <w:sz w:val="18"/>
                <w:szCs w:val="18"/>
                <w:u w:val="none"/>
              </w:rPr>
            </w:pPr>
          </w:p>
        </w:tc>
      </w:tr>
      <w:tr w14:paraId="13194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FBC69">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E4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76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C7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84FC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EC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14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FE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7F60C">
            <w:pPr>
              <w:rPr>
                <w:rFonts w:hint="default" w:ascii="Times New Roman" w:hAnsi="Times New Roman" w:eastAsia="黑体" w:cs="Times New Roman"/>
                <w:i/>
                <w:iCs/>
                <w:color w:val="000000"/>
                <w:sz w:val="18"/>
                <w:szCs w:val="18"/>
                <w:u w:val="none"/>
              </w:rPr>
            </w:pPr>
          </w:p>
        </w:tc>
      </w:tr>
      <w:tr w14:paraId="45F76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4C5D4">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B2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D142">
            <w:pPr>
              <w:jc w:val="center"/>
              <w:rPr>
                <w:rFonts w:hint="default" w:ascii="Times New Roman" w:hAnsi="Times New Roman" w:eastAsia="微软雅黑" w:cs="Times New Roman"/>
                <w:i/>
                <w:iCs/>
                <w:color w:val="000000"/>
                <w:sz w:val="16"/>
                <w:szCs w:val="16"/>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98D0">
            <w:pPr>
              <w:jc w:val="center"/>
              <w:rPr>
                <w:rFonts w:hint="default" w:ascii="Times New Roman" w:hAnsi="Times New Roman" w:eastAsia="微软雅黑" w:cs="Times New Roman"/>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B4EF3">
            <w:pPr>
              <w:jc w:val="center"/>
              <w:rPr>
                <w:rFonts w:hint="default" w:ascii="Times New Roman" w:hAnsi="Times New Roman" w:eastAsia="微软雅黑" w:cs="Times New Roman"/>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6097">
            <w:pPr>
              <w:jc w:val="center"/>
              <w:rPr>
                <w:rFonts w:hint="default" w:ascii="Times New Roman" w:hAnsi="Times New Roman" w:eastAsia="微软雅黑" w:cs="Times New Roman"/>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73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B7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6F136">
            <w:pPr>
              <w:rPr>
                <w:rFonts w:hint="default" w:ascii="Times New Roman" w:hAnsi="Times New Roman" w:eastAsia="黑体" w:cs="Times New Roman"/>
                <w:i/>
                <w:iCs/>
                <w:color w:val="000000"/>
                <w:sz w:val="18"/>
                <w:szCs w:val="18"/>
                <w:u w:val="none"/>
              </w:rPr>
            </w:pPr>
          </w:p>
        </w:tc>
      </w:tr>
      <w:tr w14:paraId="70E96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440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81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24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4B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23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4C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40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CA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26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0D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94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34EC4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295AD">
            <w:pPr>
              <w:jc w:val="center"/>
              <w:rPr>
                <w:rFonts w:hint="default" w:ascii="Times New Roman" w:hAnsi="Times New Roman" w:eastAsia="宋体" w:cs="Times New Roman"/>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635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DA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97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科目调整次数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1D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1FD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69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46FC">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39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6F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2E84">
            <w:pPr>
              <w:jc w:val="center"/>
              <w:rPr>
                <w:rFonts w:hint="default" w:ascii="Times New Roman" w:hAnsi="Times New Roman" w:eastAsia="微软雅黑" w:cs="Times New Roman"/>
                <w:i/>
                <w:iCs/>
                <w:color w:val="000000"/>
                <w:sz w:val="16"/>
                <w:szCs w:val="16"/>
                <w:u w:val="none"/>
              </w:rPr>
            </w:pPr>
          </w:p>
        </w:tc>
      </w:tr>
      <w:tr w14:paraId="0F12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BEF3C">
            <w:pPr>
              <w:jc w:val="cente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64346">
            <w:pPr>
              <w:jc w:val="center"/>
              <w:rPr>
                <w:rFonts w:hint="default" w:ascii="Times New Roman" w:hAnsi="Times New Roman" w:eastAsia="宋体" w:cs="Times New Roman"/>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31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68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预算编制准确率（计算方法为：∣（执行数-预算数）/预算数∣）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91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08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9E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A71E">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0F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0F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B0C2">
            <w:pPr>
              <w:jc w:val="center"/>
              <w:rPr>
                <w:rFonts w:hint="default" w:ascii="Times New Roman" w:hAnsi="Times New Roman" w:eastAsia="微软雅黑" w:cs="Times New Roman"/>
                <w:i/>
                <w:iCs/>
                <w:color w:val="000000"/>
                <w:sz w:val="16"/>
                <w:szCs w:val="16"/>
                <w:u w:val="none"/>
              </w:rPr>
            </w:pPr>
          </w:p>
        </w:tc>
      </w:tr>
      <w:tr w14:paraId="0E5A2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641F8">
            <w:pPr>
              <w:jc w:val="center"/>
              <w:rPr>
                <w:rFonts w:hint="default" w:ascii="Times New Roman" w:hAnsi="Times New Roman" w:eastAsia="宋体" w:cs="Times New Roman"/>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F9A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9AC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31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“三公”经费”控制率[计算方法为：（</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三公</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经费实际支出数/预算安排数]×100%）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8B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70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22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A3EA">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2B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23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4BA3">
            <w:pPr>
              <w:jc w:val="center"/>
              <w:rPr>
                <w:rFonts w:hint="default" w:ascii="Times New Roman" w:hAnsi="Times New Roman" w:eastAsia="微软雅黑" w:cs="Times New Roman"/>
                <w:i/>
                <w:iCs/>
                <w:color w:val="000000"/>
                <w:sz w:val="16"/>
                <w:szCs w:val="16"/>
                <w:u w:val="none"/>
              </w:rPr>
            </w:pPr>
          </w:p>
        </w:tc>
      </w:tr>
      <w:tr w14:paraId="55985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879D9">
            <w:pPr>
              <w:jc w:val="cente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08998">
            <w:pPr>
              <w:jc w:val="center"/>
              <w:rPr>
                <w:rFonts w:hint="default" w:ascii="Times New Roman" w:hAnsi="Times New Roman" w:eastAsia="宋体" w:cs="Times New Roman"/>
                <w:i w:val="0"/>
                <w:iCs w:val="0"/>
                <w:color w:val="000000"/>
                <w:sz w:val="18"/>
                <w:szCs w:val="18"/>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8FBE2">
            <w:pPr>
              <w:jc w:val="center"/>
              <w:rPr>
                <w:rFonts w:hint="default" w:ascii="Times New Roman" w:hAnsi="Times New Roman" w:eastAsia="宋体" w:cs="Times New Roman"/>
                <w:i w:val="0"/>
                <w:iCs w:val="0"/>
                <w:color w:val="000000"/>
                <w:sz w:val="18"/>
                <w:szCs w:val="18"/>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2D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运转保障率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44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C2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49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7F64">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80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3A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20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BFE1">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财政资金困难</w:t>
            </w:r>
          </w:p>
        </w:tc>
      </w:tr>
      <w:tr w14:paraId="14DFB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5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65A0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D8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B225">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9E0B">
            <w:pPr>
              <w:rPr>
                <w:rFonts w:hint="default" w:ascii="Times New Roman" w:hAnsi="Times New Roman" w:eastAsia="宋体" w:cs="Times New Roman"/>
                <w:i w:val="0"/>
                <w:iCs w:val="0"/>
                <w:color w:val="000000"/>
                <w:sz w:val="18"/>
                <w:szCs w:val="18"/>
                <w:u w:val="none"/>
              </w:rPr>
            </w:pPr>
          </w:p>
        </w:tc>
      </w:tr>
      <w:tr w14:paraId="415D5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3F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F11F17">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本项目2022年度预算执行情况及绩效评价一般，因受年度财政资金等不可控因素影响，预算执行灵敏还未能全部达到年初预算数。</w:t>
            </w:r>
          </w:p>
        </w:tc>
      </w:tr>
      <w:tr w14:paraId="22857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74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9814EA">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财政资金紧张，预算执行无法全部到位。</w:t>
            </w:r>
          </w:p>
        </w:tc>
      </w:tr>
      <w:tr w14:paraId="0474F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16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0DAE04">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积极与财政沟通协调，争取保运转资金，统筹开支。</w:t>
            </w:r>
          </w:p>
        </w:tc>
      </w:tr>
      <w:tr w14:paraId="496C1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4014A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c>
          <w:tcPr>
            <w:tcW w:w="6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42A75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r>
      <w:tr w14:paraId="0BDDC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032E0F4D">
            <w:pPr>
              <w:rPr>
                <w:rFonts w:hint="default" w:ascii="Times New Roman" w:hAnsi="Times New Roman" w:eastAsia="宋体" w:cs="Times New Roman"/>
                <w:i w:val="0"/>
                <w:iCs w:val="0"/>
                <w:color w:val="000000"/>
                <w:sz w:val="18"/>
                <w:szCs w:val="18"/>
                <w:u w:val="none"/>
              </w:rPr>
            </w:pPr>
          </w:p>
        </w:tc>
        <w:tc>
          <w:tcPr>
            <w:tcW w:w="1847" w:type="dxa"/>
            <w:tcBorders>
              <w:top w:val="nil"/>
              <w:left w:val="nil"/>
              <w:bottom w:val="nil"/>
              <w:right w:val="nil"/>
            </w:tcBorders>
            <w:shd w:val="clear" w:color="auto" w:fill="auto"/>
            <w:vAlign w:val="center"/>
          </w:tcPr>
          <w:p w14:paraId="1B36D916">
            <w:pPr>
              <w:rPr>
                <w:rFonts w:hint="default" w:ascii="Times New Roman" w:hAnsi="Times New Roman" w:eastAsia="宋体" w:cs="Times New Roman"/>
                <w:i w:val="0"/>
                <w:iCs w:val="0"/>
                <w:color w:val="000000"/>
                <w:sz w:val="18"/>
                <w:szCs w:val="18"/>
                <w:u w:val="none"/>
              </w:rPr>
            </w:pPr>
          </w:p>
        </w:tc>
        <w:tc>
          <w:tcPr>
            <w:tcW w:w="1598" w:type="dxa"/>
            <w:tcBorders>
              <w:top w:val="nil"/>
              <w:left w:val="nil"/>
              <w:bottom w:val="nil"/>
              <w:right w:val="nil"/>
            </w:tcBorders>
            <w:shd w:val="clear" w:color="auto" w:fill="auto"/>
            <w:vAlign w:val="center"/>
          </w:tcPr>
          <w:p w14:paraId="220F4E6D">
            <w:pPr>
              <w:rPr>
                <w:rFonts w:hint="default" w:ascii="Times New Roman" w:hAnsi="Times New Roman" w:eastAsia="宋体" w:cs="Times New Roman"/>
                <w:i w:val="0"/>
                <w:iCs w:val="0"/>
                <w:color w:val="000000"/>
                <w:sz w:val="18"/>
                <w:szCs w:val="18"/>
                <w:u w:val="none"/>
              </w:rPr>
            </w:pPr>
          </w:p>
        </w:tc>
        <w:tc>
          <w:tcPr>
            <w:tcW w:w="2038" w:type="dxa"/>
            <w:tcBorders>
              <w:top w:val="nil"/>
              <w:left w:val="nil"/>
              <w:bottom w:val="nil"/>
              <w:right w:val="nil"/>
            </w:tcBorders>
            <w:shd w:val="clear" w:color="auto" w:fill="auto"/>
            <w:vAlign w:val="center"/>
          </w:tcPr>
          <w:p w14:paraId="26027666">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43A7E9C5">
            <w:pPr>
              <w:rPr>
                <w:rFonts w:hint="default" w:ascii="Times New Roman" w:hAnsi="Times New Roman" w:eastAsia="宋体" w:cs="Times New Roman"/>
                <w:i w:val="0"/>
                <w:iCs w:val="0"/>
                <w:color w:val="000000"/>
                <w:sz w:val="18"/>
                <w:szCs w:val="18"/>
                <w:u w:val="none"/>
              </w:rPr>
            </w:pPr>
          </w:p>
        </w:tc>
        <w:tc>
          <w:tcPr>
            <w:tcW w:w="1509" w:type="dxa"/>
            <w:tcBorders>
              <w:top w:val="nil"/>
              <w:left w:val="nil"/>
              <w:bottom w:val="nil"/>
              <w:right w:val="nil"/>
            </w:tcBorders>
            <w:shd w:val="clear" w:color="auto" w:fill="auto"/>
            <w:vAlign w:val="center"/>
          </w:tcPr>
          <w:p w14:paraId="79670605">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32E61692">
            <w:pPr>
              <w:rPr>
                <w:rFonts w:hint="default" w:ascii="Times New Roman" w:hAnsi="Times New Roman" w:eastAsia="宋体" w:cs="Times New Roman"/>
                <w:i w:val="0"/>
                <w:iCs w:val="0"/>
                <w:color w:val="000000"/>
                <w:sz w:val="18"/>
                <w:szCs w:val="18"/>
                <w:u w:val="none"/>
              </w:rPr>
            </w:pPr>
          </w:p>
        </w:tc>
        <w:tc>
          <w:tcPr>
            <w:tcW w:w="982" w:type="dxa"/>
            <w:tcBorders>
              <w:top w:val="nil"/>
              <w:left w:val="nil"/>
              <w:bottom w:val="nil"/>
              <w:right w:val="nil"/>
            </w:tcBorders>
            <w:shd w:val="clear" w:color="auto" w:fill="auto"/>
            <w:vAlign w:val="center"/>
          </w:tcPr>
          <w:p w14:paraId="7EDACE5D">
            <w:pPr>
              <w:rPr>
                <w:rFonts w:hint="default" w:ascii="Times New Roman" w:hAnsi="Times New Roman" w:eastAsia="宋体" w:cs="Times New Roman"/>
                <w:i w:val="0"/>
                <w:iCs w:val="0"/>
                <w:color w:val="000000"/>
                <w:sz w:val="18"/>
                <w:szCs w:val="18"/>
                <w:u w:val="none"/>
              </w:rPr>
            </w:pPr>
          </w:p>
        </w:tc>
        <w:tc>
          <w:tcPr>
            <w:tcW w:w="455" w:type="dxa"/>
            <w:tcBorders>
              <w:top w:val="nil"/>
              <w:left w:val="nil"/>
              <w:bottom w:val="nil"/>
              <w:right w:val="nil"/>
            </w:tcBorders>
            <w:shd w:val="clear" w:color="auto" w:fill="auto"/>
            <w:vAlign w:val="center"/>
          </w:tcPr>
          <w:p w14:paraId="05794E11">
            <w:pPr>
              <w:rPr>
                <w:rFonts w:hint="default" w:ascii="Times New Roman" w:hAnsi="Times New Roman" w:eastAsia="宋体" w:cs="Times New Roman"/>
                <w:i w:val="0"/>
                <w:iCs w:val="0"/>
                <w:color w:val="000000"/>
                <w:sz w:val="18"/>
                <w:szCs w:val="18"/>
                <w:u w:val="none"/>
              </w:rPr>
            </w:pPr>
          </w:p>
        </w:tc>
        <w:tc>
          <w:tcPr>
            <w:tcW w:w="564" w:type="dxa"/>
            <w:tcBorders>
              <w:top w:val="nil"/>
              <w:left w:val="nil"/>
              <w:bottom w:val="nil"/>
              <w:right w:val="nil"/>
            </w:tcBorders>
            <w:shd w:val="clear" w:color="auto" w:fill="auto"/>
            <w:vAlign w:val="center"/>
          </w:tcPr>
          <w:p w14:paraId="7F98DEBA">
            <w:pPr>
              <w:rPr>
                <w:rFonts w:hint="default" w:ascii="Times New Roman" w:hAnsi="Times New Roman" w:eastAsia="宋体" w:cs="Times New Roman"/>
                <w:i w:val="0"/>
                <w:iCs w:val="0"/>
                <w:color w:val="000000"/>
                <w:sz w:val="18"/>
                <w:szCs w:val="18"/>
                <w:u w:val="none"/>
              </w:rPr>
            </w:pPr>
          </w:p>
        </w:tc>
        <w:tc>
          <w:tcPr>
            <w:tcW w:w="2301" w:type="dxa"/>
            <w:tcBorders>
              <w:top w:val="nil"/>
              <w:left w:val="nil"/>
              <w:bottom w:val="nil"/>
              <w:right w:val="nil"/>
            </w:tcBorders>
            <w:shd w:val="clear" w:color="auto" w:fill="auto"/>
            <w:vAlign w:val="center"/>
          </w:tcPr>
          <w:p w14:paraId="475DBAE9">
            <w:pPr>
              <w:rPr>
                <w:rFonts w:hint="default" w:ascii="Times New Roman" w:hAnsi="Times New Roman" w:eastAsia="宋体" w:cs="Times New Roman"/>
                <w:i w:val="0"/>
                <w:iCs w:val="0"/>
                <w:color w:val="000000"/>
                <w:sz w:val="18"/>
                <w:szCs w:val="18"/>
                <w:u w:val="none"/>
              </w:rPr>
            </w:pPr>
          </w:p>
        </w:tc>
      </w:tr>
      <w:tr w14:paraId="67BF2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0E6E4C4E">
            <w:pPr>
              <w:rPr>
                <w:rFonts w:hint="default" w:ascii="Times New Roman" w:hAnsi="Times New Roman" w:eastAsia="宋体" w:cs="Times New Roman"/>
                <w:i w:val="0"/>
                <w:iCs w:val="0"/>
                <w:color w:val="000000"/>
                <w:sz w:val="18"/>
                <w:szCs w:val="18"/>
                <w:u w:val="none"/>
              </w:rPr>
            </w:pPr>
          </w:p>
          <w:p w14:paraId="44B240CB">
            <w:pPr>
              <w:rPr>
                <w:rFonts w:hint="default" w:ascii="Times New Roman" w:hAnsi="Times New Roman" w:eastAsia="宋体" w:cs="Times New Roman"/>
                <w:i w:val="0"/>
                <w:iCs w:val="0"/>
                <w:color w:val="000000"/>
                <w:sz w:val="18"/>
                <w:szCs w:val="18"/>
                <w:u w:val="none"/>
              </w:rPr>
            </w:pPr>
          </w:p>
          <w:p w14:paraId="32BE67F8">
            <w:pPr>
              <w:rPr>
                <w:rFonts w:hint="default" w:ascii="Times New Roman" w:hAnsi="Times New Roman" w:eastAsia="宋体" w:cs="Times New Roman"/>
                <w:i w:val="0"/>
                <w:iCs w:val="0"/>
                <w:color w:val="000000"/>
                <w:sz w:val="18"/>
                <w:szCs w:val="18"/>
                <w:u w:val="none"/>
              </w:rPr>
            </w:pPr>
          </w:p>
          <w:p w14:paraId="1BD25496">
            <w:pPr>
              <w:rPr>
                <w:rFonts w:hint="default" w:ascii="Times New Roman" w:hAnsi="Times New Roman" w:eastAsia="宋体" w:cs="Times New Roman"/>
                <w:i w:val="0"/>
                <w:iCs w:val="0"/>
                <w:color w:val="000000"/>
                <w:sz w:val="18"/>
                <w:szCs w:val="18"/>
                <w:u w:val="none"/>
              </w:rPr>
            </w:pPr>
          </w:p>
          <w:p w14:paraId="27E4CB62">
            <w:pPr>
              <w:rPr>
                <w:rFonts w:hint="default" w:ascii="Times New Roman" w:hAnsi="Times New Roman" w:eastAsia="宋体" w:cs="Times New Roman"/>
                <w:i w:val="0"/>
                <w:iCs w:val="0"/>
                <w:color w:val="000000"/>
                <w:sz w:val="18"/>
                <w:szCs w:val="18"/>
                <w:u w:val="none"/>
              </w:rPr>
            </w:pPr>
          </w:p>
        </w:tc>
        <w:tc>
          <w:tcPr>
            <w:tcW w:w="1847" w:type="dxa"/>
            <w:tcBorders>
              <w:top w:val="nil"/>
              <w:left w:val="nil"/>
              <w:bottom w:val="nil"/>
              <w:right w:val="nil"/>
            </w:tcBorders>
            <w:shd w:val="clear" w:color="auto" w:fill="auto"/>
            <w:vAlign w:val="center"/>
          </w:tcPr>
          <w:p w14:paraId="21848AFF">
            <w:pPr>
              <w:rPr>
                <w:rFonts w:hint="default" w:ascii="Times New Roman" w:hAnsi="Times New Roman" w:eastAsia="宋体" w:cs="Times New Roman"/>
                <w:i w:val="0"/>
                <w:iCs w:val="0"/>
                <w:color w:val="000000"/>
                <w:sz w:val="18"/>
                <w:szCs w:val="18"/>
                <w:u w:val="none"/>
              </w:rPr>
            </w:pPr>
          </w:p>
        </w:tc>
        <w:tc>
          <w:tcPr>
            <w:tcW w:w="1598" w:type="dxa"/>
            <w:tcBorders>
              <w:top w:val="nil"/>
              <w:left w:val="nil"/>
              <w:bottom w:val="nil"/>
              <w:right w:val="nil"/>
            </w:tcBorders>
            <w:shd w:val="clear" w:color="auto" w:fill="auto"/>
            <w:vAlign w:val="center"/>
          </w:tcPr>
          <w:p w14:paraId="35E3DD95">
            <w:pPr>
              <w:rPr>
                <w:rFonts w:hint="default" w:ascii="Times New Roman" w:hAnsi="Times New Roman" w:eastAsia="宋体" w:cs="Times New Roman"/>
                <w:i w:val="0"/>
                <w:iCs w:val="0"/>
                <w:color w:val="000000"/>
                <w:sz w:val="18"/>
                <w:szCs w:val="18"/>
                <w:u w:val="none"/>
              </w:rPr>
            </w:pPr>
          </w:p>
        </w:tc>
        <w:tc>
          <w:tcPr>
            <w:tcW w:w="2038" w:type="dxa"/>
            <w:tcBorders>
              <w:top w:val="nil"/>
              <w:left w:val="nil"/>
              <w:bottom w:val="nil"/>
              <w:right w:val="nil"/>
            </w:tcBorders>
            <w:shd w:val="clear" w:color="auto" w:fill="auto"/>
            <w:vAlign w:val="center"/>
          </w:tcPr>
          <w:p w14:paraId="4EAC086D">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0ABE20A0">
            <w:pPr>
              <w:rPr>
                <w:rFonts w:hint="default" w:ascii="Times New Roman" w:hAnsi="Times New Roman" w:eastAsia="宋体" w:cs="Times New Roman"/>
                <w:i w:val="0"/>
                <w:iCs w:val="0"/>
                <w:color w:val="000000"/>
                <w:sz w:val="18"/>
                <w:szCs w:val="18"/>
                <w:u w:val="none"/>
              </w:rPr>
            </w:pPr>
          </w:p>
        </w:tc>
        <w:tc>
          <w:tcPr>
            <w:tcW w:w="1509" w:type="dxa"/>
            <w:tcBorders>
              <w:top w:val="nil"/>
              <w:left w:val="nil"/>
              <w:bottom w:val="nil"/>
              <w:right w:val="nil"/>
            </w:tcBorders>
            <w:shd w:val="clear" w:color="auto" w:fill="auto"/>
            <w:vAlign w:val="center"/>
          </w:tcPr>
          <w:p w14:paraId="654FF7A1">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1A4EF829">
            <w:pPr>
              <w:rPr>
                <w:rFonts w:hint="default" w:ascii="Times New Roman" w:hAnsi="Times New Roman" w:eastAsia="宋体" w:cs="Times New Roman"/>
                <w:i w:val="0"/>
                <w:iCs w:val="0"/>
                <w:color w:val="000000"/>
                <w:sz w:val="18"/>
                <w:szCs w:val="18"/>
                <w:u w:val="none"/>
              </w:rPr>
            </w:pPr>
          </w:p>
        </w:tc>
        <w:tc>
          <w:tcPr>
            <w:tcW w:w="982" w:type="dxa"/>
            <w:tcBorders>
              <w:top w:val="nil"/>
              <w:left w:val="nil"/>
              <w:bottom w:val="nil"/>
              <w:right w:val="nil"/>
            </w:tcBorders>
            <w:shd w:val="clear" w:color="auto" w:fill="auto"/>
            <w:vAlign w:val="center"/>
          </w:tcPr>
          <w:p w14:paraId="51FD8492">
            <w:pPr>
              <w:rPr>
                <w:rFonts w:hint="default" w:ascii="Times New Roman" w:hAnsi="Times New Roman" w:eastAsia="宋体" w:cs="Times New Roman"/>
                <w:i w:val="0"/>
                <w:iCs w:val="0"/>
                <w:color w:val="000000"/>
                <w:sz w:val="18"/>
                <w:szCs w:val="18"/>
                <w:u w:val="none"/>
              </w:rPr>
            </w:pPr>
          </w:p>
        </w:tc>
        <w:tc>
          <w:tcPr>
            <w:tcW w:w="455" w:type="dxa"/>
            <w:tcBorders>
              <w:top w:val="nil"/>
              <w:left w:val="nil"/>
              <w:bottom w:val="nil"/>
              <w:right w:val="nil"/>
            </w:tcBorders>
            <w:shd w:val="clear" w:color="auto" w:fill="auto"/>
            <w:vAlign w:val="center"/>
          </w:tcPr>
          <w:p w14:paraId="33E5F0B3">
            <w:pPr>
              <w:rPr>
                <w:rFonts w:hint="default" w:ascii="Times New Roman" w:hAnsi="Times New Roman" w:eastAsia="宋体" w:cs="Times New Roman"/>
                <w:i w:val="0"/>
                <w:iCs w:val="0"/>
                <w:color w:val="000000"/>
                <w:sz w:val="18"/>
                <w:szCs w:val="18"/>
                <w:u w:val="none"/>
              </w:rPr>
            </w:pPr>
          </w:p>
        </w:tc>
        <w:tc>
          <w:tcPr>
            <w:tcW w:w="564" w:type="dxa"/>
            <w:tcBorders>
              <w:top w:val="nil"/>
              <w:left w:val="nil"/>
              <w:bottom w:val="nil"/>
              <w:right w:val="nil"/>
            </w:tcBorders>
            <w:shd w:val="clear" w:color="auto" w:fill="auto"/>
            <w:vAlign w:val="center"/>
          </w:tcPr>
          <w:p w14:paraId="0DFB26C5">
            <w:pPr>
              <w:rPr>
                <w:rFonts w:hint="default" w:ascii="Times New Roman" w:hAnsi="Times New Roman" w:eastAsia="宋体" w:cs="Times New Roman"/>
                <w:i w:val="0"/>
                <w:iCs w:val="0"/>
                <w:color w:val="000000"/>
                <w:sz w:val="18"/>
                <w:szCs w:val="18"/>
                <w:u w:val="none"/>
              </w:rPr>
            </w:pPr>
          </w:p>
        </w:tc>
        <w:tc>
          <w:tcPr>
            <w:tcW w:w="2301" w:type="dxa"/>
            <w:tcBorders>
              <w:top w:val="nil"/>
              <w:left w:val="nil"/>
              <w:bottom w:val="nil"/>
              <w:right w:val="nil"/>
            </w:tcBorders>
            <w:shd w:val="clear" w:color="auto" w:fill="auto"/>
            <w:vAlign w:val="center"/>
          </w:tcPr>
          <w:p w14:paraId="6F6748FB">
            <w:pPr>
              <w:rPr>
                <w:rFonts w:hint="default" w:ascii="Times New Roman" w:hAnsi="Times New Roman" w:eastAsia="宋体" w:cs="Times New Roman"/>
                <w:i w:val="0"/>
                <w:iCs w:val="0"/>
                <w:color w:val="000000"/>
                <w:sz w:val="18"/>
                <w:szCs w:val="18"/>
                <w:u w:val="none"/>
              </w:rPr>
            </w:pPr>
          </w:p>
        </w:tc>
      </w:tr>
      <w:tr w14:paraId="456F3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8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B76C5A1">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14:paraId="26242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ACF8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10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9D9F4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51041122T000000395059-仁和区矛盾纠纷排查化解、维稳、信访事项专项经费</w:t>
            </w:r>
          </w:p>
        </w:tc>
      </w:tr>
      <w:tr w14:paraId="689BC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D467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51DA0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攀枝花市仁和区信访局部门</w:t>
            </w:r>
          </w:p>
        </w:tc>
        <w:tc>
          <w:tcPr>
            <w:tcW w:w="982" w:type="dxa"/>
            <w:tcBorders>
              <w:top w:val="nil"/>
              <w:left w:val="nil"/>
              <w:bottom w:val="nil"/>
              <w:right w:val="nil"/>
            </w:tcBorders>
            <w:shd w:val="clear" w:color="auto" w:fill="auto"/>
            <w:vAlign w:val="center"/>
          </w:tcPr>
          <w:p w14:paraId="453E346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6F47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攀枝花市仁和区信访局</w:t>
            </w:r>
          </w:p>
        </w:tc>
      </w:tr>
      <w:tr w14:paraId="1B6AC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687B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83C5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E59B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21B4D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43E50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98616">
            <w:pP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25053">
            <w:pPr>
              <w:rPr>
                <w:rFonts w:hint="default" w:ascii="Times New Roman" w:hAnsi="Times New Roman" w:eastAsia="宋体" w:cs="Times New Roman"/>
                <w:i w:val="0"/>
                <w:iCs w:val="0"/>
                <w:color w:val="000000"/>
                <w:sz w:val="18"/>
                <w:szCs w:val="18"/>
                <w:u w:val="none"/>
              </w:rPr>
            </w:pP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E196E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完成省、市、区确定的2022年度地方必须开展的仁和区矛盾纠纷排查化解、维稳、信访、驻京驻蓉轮流值班、法律顾问及视频接访、四川省信访系统网络使用等工作。</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C56E6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2022年未完成年度目标</w:t>
            </w:r>
          </w:p>
        </w:tc>
      </w:tr>
      <w:tr w14:paraId="349D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AF55D">
            <w:pP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923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10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8357A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省、市、区确定的2022年度地方必须开展的仁和区矛盾纠纷排查化解、维稳、信访、驻京驻蓉轮流值班、法律顾问及视频接访、四川省信访系统网络使用等工作，因财政资金紧张，一些案件化解等费用不能按时支付，未执行完预算数。</w:t>
            </w:r>
          </w:p>
        </w:tc>
      </w:tr>
      <w:tr w14:paraId="4F49F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6F1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96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A4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BA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5FE3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3D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AA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D8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8E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2C991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20EAE">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AE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DB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93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C92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18.52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01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52.92%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2E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D0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168E1">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default" w:ascii="Times New Roman" w:hAnsi="Times New Roman" w:eastAsia="黑体" w:cs="Times New Roman"/>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514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BA68D">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AE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1D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1F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5AD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18.52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C3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52.92%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2E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7F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051E0">
            <w:pPr>
              <w:rPr>
                <w:rFonts w:hint="default" w:ascii="Times New Roman" w:hAnsi="Times New Roman" w:eastAsia="黑体" w:cs="Times New Roman"/>
                <w:i/>
                <w:iCs/>
                <w:color w:val="000000"/>
                <w:sz w:val="18"/>
                <w:szCs w:val="18"/>
                <w:u w:val="none"/>
              </w:rPr>
            </w:pPr>
          </w:p>
        </w:tc>
      </w:tr>
      <w:tr w14:paraId="446D8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04870">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48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D5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2C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6F5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A8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9A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EA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4C044">
            <w:pPr>
              <w:rPr>
                <w:rFonts w:hint="default" w:ascii="Times New Roman" w:hAnsi="Times New Roman" w:eastAsia="黑体" w:cs="Times New Roman"/>
                <w:i/>
                <w:iCs/>
                <w:color w:val="000000"/>
                <w:sz w:val="18"/>
                <w:szCs w:val="18"/>
                <w:u w:val="none"/>
              </w:rPr>
            </w:pPr>
          </w:p>
        </w:tc>
      </w:tr>
      <w:tr w14:paraId="1209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BF032">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C6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90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80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B8DF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FE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29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6D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9DD14">
            <w:pPr>
              <w:rPr>
                <w:rFonts w:hint="default" w:ascii="Times New Roman" w:hAnsi="Times New Roman" w:eastAsia="黑体" w:cs="Times New Roman"/>
                <w:i/>
                <w:iCs/>
                <w:color w:val="000000"/>
                <w:sz w:val="18"/>
                <w:szCs w:val="18"/>
                <w:u w:val="none"/>
              </w:rPr>
            </w:pPr>
          </w:p>
        </w:tc>
      </w:tr>
      <w:tr w14:paraId="508C6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BC8F6">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F8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10E8">
            <w:pPr>
              <w:jc w:val="center"/>
              <w:rPr>
                <w:rFonts w:hint="default" w:ascii="Times New Roman" w:hAnsi="Times New Roman" w:eastAsia="微软雅黑" w:cs="Times New Roman"/>
                <w:i/>
                <w:iCs/>
                <w:color w:val="000000"/>
                <w:sz w:val="16"/>
                <w:szCs w:val="16"/>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8C3E">
            <w:pPr>
              <w:jc w:val="center"/>
              <w:rPr>
                <w:rFonts w:hint="default" w:ascii="Times New Roman" w:hAnsi="Times New Roman" w:eastAsia="微软雅黑" w:cs="Times New Roman"/>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EFFF8A">
            <w:pPr>
              <w:jc w:val="center"/>
              <w:rPr>
                <w:rFonts w:hint="default" w:ascii="Times New Roman" w:hAnsi="Times New Roman" w:eastAsia="微软雅黑" w:cs="Times New Roman"/>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1F4B">
            <w:pPr>
              <w:jc w:val="center"/>
              <w:rPr>
                <w:rFonts w:hint="default" w:ascii="Times New Roman" w:hAnsi="Times New Roman" w:eastAsia="微软雅黑" w:cs="Times New Roman"/>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B4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CA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31809">
            <w:pPr>
              <w:rPr>
                <w:rFonts w:hint="default" w:ascii="Times New Roman" w:hAnsi="Times New Roman" w:eastAsia="黑体" w:cs="Times New Roman"/>
                <w:i/>
                <w:iCs/>
                <w:color w:val="000000"/>
                <w:sz w:val="18"/>
                <w:szCs w:val="18"/>
                <w:u w:val="none"/>
              </w:rPr>
            </w:pPr>
          </w:p>
        </w:tc>
      </w:tr>
      <w:tr w14:paraId="2CEBA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679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6D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E2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CE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5F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00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78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35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2A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CA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4B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7A25F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73FA8">
            <w:pPr>
              <w:jc w:val="center"/>
              <w:rPr>
                <w:rFonts w:hint="default" w:ascii="Times New Roman" w:hAnsi="Times New Roman" w:eastAsia="宋体" w:cs="Times New Roman"/>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838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7F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F0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1：办公室地点发生办公、水电、邮电、保洁、视频接访及四川省信访信息系统网格使用等。指标2：进京、赴蓉劝访、接访信访人员工作经费及人员差旅费。指标3：排查、化解信访矛盾纠纷及聘请法律顾问工作经费。指标3：排查、化解信访矛盾纠纷及聘请法律顾问工作经费。</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D7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23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F3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D494">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41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B1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1A55">
            <w:pPr>
              <w:jc w:val="center"/>
              <w:rPr>
                <w:rFonts w:hint="default" w:ascii="Times New Roman" w:hAnsi="Times New Roman" w:eastAsia="微软雅黑" w:cs="Times New Roman"/>
                <w:i/>
                <w:iCs/>
                <w:color w:val="000000"/>
                <w:sz w:val="16"/>
                <w:szCs w:val="16"/>
                <w:u w:val="none"/>
              </w:rPr>
            </w:pPr>
          </w:p>
        </w:tc>
      </w:tr>
      <w:tr w14:paraId="56753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F65E8">
            <w:pPr>
              <w:jc w:val="cente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FB3D2">
            <w:pPr>
              <w:jc w:val="center"/>
              <w:rPr>
                <w:rFonts w:hint="default" w:ascii="Times New Roman" w:hAnsi="Times New Roman" w:eastAsia="宋体" w:cs="Times New Roman"/>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04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E5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圆满完成2022年的信访稳定排查、化解工作。</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9F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F5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好坏</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A553">
            <w:pPr>
              <w:jc w:val="center"/>
              <w:rPr>
                <w:rFonts w:hint="default" w:ascii="Times New Roman" w:hAnsi="Times New Roman" w:eastAsia="宋体" w:cs="Times New Roman"/>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9976">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一般</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EA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7A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AAED">
            <w:pPr>
              <w:jc w:val="center"/>
              <w:rPr>
                <w:rFonts w:hint="default" w:ascii="Times New Roman" w:hAnsi="Times New Roman" w:eastAsia="微软雅黑" w:cs="Times New Roman"/>
                <w:i/>
                <w:iCs/>
                <w:color w:val="000000"/>
                <w:sz w:val="16"/>
                <w:szCs w:val="16"/>
                <w:u w:val="none"/>
              </w:rPr>
            </w:pPr>
          </w:p>
        </w:tc>
      </w:tr>
      <w:tr w14:paraId="12273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6C868">
            <w:pPr>
              <w:jc w:val="cente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51B7A">
            <w:pPr>
              <w:jc w:val="center"/>
              <w:rPr>
                <w:rFonts w:hint="default" w:ascii="Times New Roman" w:hAnsi="Times New Roman" w:eastAsia="宋体" w:cs="Times New Roman"/>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5B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B6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完成2022年全年仁和区矛盾纠纷排查化解、维稳、信访等工作</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67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01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B0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8733">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完成</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11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CD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B8B6">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财政资金困难</w:t>
            </w:r>
          </w:p>
        </w:tc>
      </w:tr>
      <w:tr w14:paraId="54C50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4F98B">
            <w:pPr>
              <w:jc w:val="cente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7C9B8">
            <w:pPr>
              <w:jc w:val="center"/>
              <w:rPr>
                <w:rFonts w:hint="default" w:ascii="Times New Roman" w:hAnsi="Times New Roman" w:eastAsia="宋体" w:cs="Times New Roman"/>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E0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A0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指标1：信访事项排查化解及重点时段信访稳定工作。指标2：2022年全年驻京驻蓉轮流值班工作。指标3：2022年律师顾问和公共区域卫生保洁工作、各项网络使用。</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9A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63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350000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B4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011E">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185200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10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E1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C183">
            <w:pPr>
              <w:jc w:val="center"/>
              <w:rPr>
                <w:rFonts w:hint="default" w:ascii="Times New Roman" w:hAnsi="Times New Roman" w:eastAsia="微软雅黑" w:cs="Times New Roman"/>
                <w:i/>
                <w:iCs/>
                <w:color w:val="000000"/>
                <w:sz w:val="16"/>
                <w:szCs w:val="16"/>
                <w:u w:val="none"/>
              </w:rPr>
            </w:pPr>
          </w:p>
        </w:tc>
      </w:tr>
      <w:tr w14:paraId="351B5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5DF3A">
            <w:pPr>
              <w:jc w:val="center"/>
              <w:rPr>
                <w:rFonts w:hint="default" w:ascii="Times New Roman" w:hAnsi="Times New Roman" w:eastAsia="宋体" w:cs="Times New Roman"/>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DEC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D8A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60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BC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3B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A8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FB2E">
            <w:pPr>
              <w:jc w:val="center"/>
              <w:rPr>
                <w:rFonts w:hint="default" w:ascii="Times New Roman" w:hAnsi="Times New Roman" w:eastAsia="微软雅黑" w:cs="Times New Roman"/>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47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56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9EFD">
            <w:pPr>
              <w:jc w:val="center"/>
              <w:rPr>
                <w:rFonts w:hint="default" w:ascii="Times New Roman" w:hAnsi="Times New Roman" w:eastAsia="微软雅黑" w:cs="Times New Roman"/>
                <w:i/>
                <w:iCs/>
                <w:color w:val="000000"/>
                <w:sz w:val="16"/>
                <w:szCs w:val="16"/>
                <w:u w:val="none"/>
              </w:rPr>
            </w:pPr>
          </w:p>
        </w:tc>
      </w:tr>
      <w:tr w14:paraId="30F2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9AFB0">
            <w:pPr>
              <w:jc w:val="cente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312BE">
            <w:pPr>
              <w:jc w:val="center"/>
              <w:rPr>
                <w:rFonts w:hint="default" w:ascii="Times New Roman" w:hAnsi="Times New Roman" w:eastAsia="宋体" w:cs="Times New Roman"/>
                <w:i w:val="0"/>
                <w:iCs w:val="0"/>
                <w:color w:val="000000"/>
                <w:sz w:val="18"/>
                <w:szCs w:val="18"/>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ECEFF">
            <w:pPr>
              <w:jc w:val="center"/>
              <w:rPr>
                <w:rFonts w:hint="default" w:ascii="Times New Roman" w:hAnsi="Times New Roman" w:eastAsia="宋体" w:cs="Times New Roman"/>
                <w:i w:val="0"/>
                <w:iCs w:val="0"/>
                <w:color w:val="000000"/>
                <w:sz w:val="18"/>
                <w:szCs w:val="18"/>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74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及时落实处置各项信访案件，提高群众生活满意度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71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F4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好坏</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A76E">
            <w:pPr>
              <w:jc w:val="center"/>
              <w:rPr>
                <w:rFonts w:hint="default" w:ascii="Times New Roman" w:hAnsi="Times New Roman" w:eastAsia="宋体" w:cs="Times New Roman"/>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3CE3">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一般</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25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99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6ABF">
            <w:pPr>
              <w:jc w:val="center"/>
              <w:rPr>
                <w:rFonts w:hint="default" w:ascii="Times New Roman" w:hAnsi="Times New Roman" w:eastAsia="微软雅黑" w:cs="Times New Roman"/>
                <w:i/>
                <w:iCs/>
                <w:color w:val="000000"/>
                <w:sz w:val="16"/>
                <w:szCs w:val="16"/>
                <w:u w:val="none"/>
              </w:rPr>
            </w:pPr>
          </w:p>
        </w:tc>
      </w:tr>
      <w:tr w14:paraId="592B5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AD589">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BE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F4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7B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群众来访、按规定热情接待，及时化解群众诉求，群众满意度提升。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17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9D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D9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A94E">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80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15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B8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61F1">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财政资金困难</w:t>
            </w:r>
          </w:p>
        </w:tc>
      </w:tr>
      <w:tr w14:paraId="2B3D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5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A89DF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54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F57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360F">
            <w:pPr>
              <w:rPr>
                <w:rFonts w:hint="default" w:ascii="Times New Roman" w:hAnsi="Times New Roman" w:eastAsia="宋体" w:cs="Times New Roman"/>
                <w:i w:val="0"/>
                <w:iCs w:val="0"/>
                <w:color w:val="000000"/>
                <w:sz w:val="18"/>
                <w:szCs w:val="18"/>
                <w:u w:val="none"/>
              </w:rPr>
            </w:pPr>
          </w:p>
        </w:tc>
      </w:tr>
      <w:tr w14:paraId="05C95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3C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D701B7">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本项目2022年度预算执行情况及绩效评价一般，因受年度财政资金等不可控因素影响，预算执行灵敏还未能全部达到年初预算数。</w:t>
            </w:r>
          </w:p>
        </w:tc>
      </w:tr>
      <w:tr w14:paraId="2ADD9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1B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5193CE">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财政资金紧张，预算执行无法全部到位。</w:t>
            </w:r>
          </w:p>
        </w:tc>
      </w:tr>
      <w:tr w14:paraId="47C0E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E6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CB3062">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积极与财政沟通协调，争取保运转资金，统筹开支。</w:t>
            </w:r>
          </w:p>
        </w:tc>
      </w:tr>
      <w:tr w14:paraId="5CF1D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32A7F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c>
          <w:tcPr>
            <w:tcW w:w="6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B93C1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r>
      <w:tr w14:paraId="039D6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4A12B967">
            <w:pPr>
              <w:rPr>
                <w:rFonts w:hint="default" w:ascii="Times New Roman" w:hAnsi="Times New Roman" w:eastAsia="宋体" w:cs="Times New Roman"/>
                <w:i w:val="0"/>
                <w:iCs w:val="0"/>
                <w:color w:val="000000"/>
                <w:sz w:val="18"/>
                <w:szCs w:val="18"/>
                <w:u w:val="none"/>
              </w:rPr>
            </w:pPr>
          </w:p>
        </w:tc>
        <w:tc>
          <w:tcPr>
            <w:tcW w:w="1847" w:type="dxa"/>
            <w:tcBorders>
              <w:top w:val="nil"/>
              <w:left w:val="nil"/>
              <w:bottom w:val="nil"/>
              <w:right w:val="nil"/>
            </w:tcBorders>
            <w:shd w:val="clear" w:color="auto" w:fill="auto"/>
            <w:vAlign w:val="center"/>
          </w:tcPr>
          <w:p w14:paraId="475A6F0E">
            <w:pPr>
              <w:rPr>
                <w:rFonts w:hint="default" w:ascii="Times New Roman" w:hAnsi="Times New Roman" w:eastAsia="宋体" w:cs="Times New Roman"/>
                <w:i w:val="0"/>
                <w:iCs w:val="0"/>
                <w:color w:val="000000"/>
                <w:sz w:val="18"/>
                <w:szCs w:val="18"/>
                <w:u w:val="none"/>
              </w:rPr>
            </w:pPr>
          </w:p>
        </w:tc>
        <w:tc>
          <w:tcPr>
            <w:tcW w:w="1598" w:type="dxa"/>
            <w:tcBorders>
              <w:top w:val="nil"/>
              <w:left w:val="nil"/>
              <w:bottom w:val="nil"/>
              <w:right w:val="nil"/>
            </w:tcBorders>
            <w:shd w:val="clear" w:color="auto" w:fill="auto"/>
            <w:vAlign w:val="center"/>
          </w:tcPr>
          <w:p w14:paraId="3FE34630">
            <w:pPr>
              <w:rPr>
                <w:rFonts w:hint="default" w:ascii="Times New Roman" w:hAnsi="Times New Roman" w:eastAsia="宋体" w:cs="Times New Roman"/>
                <w:i w:val="0"/>
                <w:iCs w:val="0"/>
                <w:color w:val="000000"/>
                <w:sz w:val="18"/>
                <w:szCs w:val="18"/>
                <w:u w:val="none"/>
              </w:rPr>
            </w:pPr>
          </w:p>
        </w:tc>
        <w:tc>
          <w:tcPr>
            <w:tcW w:w="2038" w:type="dxa"/>
            <w:tcBorders>
              <w:top w:val="nil"/>
              <w:left w:val="nil"/>
              <w:bottom w:val="nil"/>
              <w:right w:val="nil"/>
            </w:tcBorders>
            <w:shd w:val="clear" w:color="auto" w:fill="auto"/>
            <w:vAlign w:val="center"/>
          </w:tcPr>
          <w:p w14:paraId="617BFFA2">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3C997985">
            <w:pPr>
              <w:rPr>
                <w:rFonts w:hint="default" w:ascii="Times New Roman" w:hAnsi="Times New Roman" w:eastAsia="宋体" w:cs="Times New Roman"/>
                <w:i w:val="0"/>
                <w:iCs w:val="0"/>
                <w:color w:val="000000"/>
                <w:sz w:val="18"/>
                <w:szCs w:val="18"/>
                <w:u w:val="none"/>
              </w:rPr>
            </w:pPr>
          </w:p>
        </w:tc>
        <w:tc>
          <w:tcPr>
            <w:tcW w:w="1509" w:type="dxa"/>
            <w:tcBorders>
              <w:top w:val="nil"/>
              <w:left w:val="nil"/>
              <w:bottom w:val="nil"/>
              <w:right w:val="nil"/>
            </w:tcBorders>
            <w:shd w:val="clear" w:color="auto" w:fill="auto"/>
            <w:vAlign w:val="center"/>
          </w:tcPr>
          <w:p w14:paraId="13EFA079">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6EAE66A7">
            <w:pPr>
              <w:rPr>
                <w:rFonts w:hint="default" w:ascii="Times New Roman" w:hAnsi="Times New Roman" w:eastAsia="宋体" w:cs="Times New Roman"/>
                <w:i w:val="0"/>
                <w:iCs w:val="0"/>
                <w:color w:val="000000"/>
                <w:sz w:val="18"/>
                <w:szCs w:val="18"/>
                <w:u w:val="none"/>
              </w:rPr>
            </w:pPr>
          </w:p>
        </w:tc>
        <w:tc>
          <w:tcPr>
            <w:tcW w:w="982" w:type="dxa"/>
            <w:tcBorders>
              <w:top w:val="nil"/>
              <w:left w:val="nil"/>
              <w:bottom w:val="nil"/>
              <w:right w:val="nil"/>
            </w:tcBorders>
            <w:shd w:val="clear" w:color="auto" w:fill="auto"/>
            <w:vAlign w:val="center"/>
          </w:tcPr>
          <w:p w14:paraId="674CE7B7">
            <w:pPr>
              <w:rPr>
                <w:rFonts w:hint="default" w:ascii="Times New Roman" w:hAnsi="Times New Roman" w:eastAsia="宋体" w:cs="Times New Roman"/>
                <w:i w:val="0"/>
                <w:iCs w:val="0"/>
                <w:color w:val="000000"/>
                <w:sz w:val="18"/>
                <w:szCs w:val="18"/>
                <w:u w:val="none"/>
              </w:rPr>
            </w:pPr>
          </w:p>
        </w:tc>
        <w:tc>
          <w:tcPr>
            <w:tcW w:w="455" w:type="dxa"/>
            <w:tcBorders>
              <w:top w:val="nil"/>
              <w:left w:val="nil"/>
              <w:bottom w:val="nil"/>
              <w:right w:val="nil"/>
            </w:tcBorders>
            <w:shd w:val="clear" w:color="auto" w:fill="auto"/>
            <w:vAlign w:val="center"/>
          </w:tcPr>
          <w:p w14:paraId="73E371BA">
            <w:pPr>
              <w:rPr>
                <w:rFonts w:hint="default" w:ascii="Times New Roman" w:hAnsi="Times New Roman" w:eastAsia="宋体" w:cs="Times New Roman"/>
                <w:i w:val="0"/>
                <w:iCs w:val="0"/>
                <w:color w:val="000000"/>
                <w:sz w:val="18"/>
                <w:szCs w:val="18"/>
                <w:u w:val="none"/>
              </w:rPr>
            </w:pPr>
          </w:p>
        </w:tc>
        <w:tc>
          <w:tcPr>
            <w:tcW w:w="564" w:type="dxa"/>
            <w:tcBorders>
              <w:top w:val="nil"/>
              <w:left w:val="nil"/>
              <w:bottom w:val="nil"/>
              <w:right w:val="nil"/>
            </w:tcBorders>
            <w:shd w:val="clear" w:color="auto" w:fill="auto"/>
            <w:vAlign w:val="center"/>
          </w:tcPr>
          <w:p w14:paraId="15438235">
            <w:pPr>
              <w:rPr>
                <w:rFonts w:hint="default" w:ascii="Times New Roman" w:hAnsi="Times New Roman" w:eastAsia="宋体" w:cs="Times New Roman"/>
                <w:i w:val="0"/>
                <w:iCs w:val="0"/>
                <w:color w:val="000000"/>
                <w:sz w:val="18"/>
                <w:szCs w:val="18"/>
                <w:u w:val="none"/>
              </w:rPr>
            </w:pPr>
          </w:p>
        </w:tc>
        <w:tc>
          <w:tcPr>
            <w:tcW w:w="2301" w:type="dxa"/>
            <w:tcBorders>
              <w:top w:val="nil"/>
              <w:left w:val="nil"/>
              <w:bottom w:val="nil"/>
              <w:right w:val="nil"/>
            </w:tcBorders>
            <w:shd w:val="clear" w:color="auto" w:fill="auto"/>
            <w:vAlign w:val="center"/>
          </w:tcPr>
          <w:p w14:paraId="69615828">
            <w:pPr>
              <w:rPr>
                <w:rFonts w:hint="default" w:ascii="Times New Roman" w:hAnsi="Times New Roman" w:eastAsia="宋体" w:cs="Times New Roman"/>
                <w:i w:val="0"/>
                <w:iCs w:val="0"/>
                <w:color w:val="000000"/>
                <w:sz w:val="18"/>
                <w:szCs w:val="18"/>
                <w:u w:val="none"/>
              </w:rPr>
            </w:pPr>
          </w:p>
        </w:tc>
      </w:tr>
      <w:tr w14:paraId="25ACC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4768A7C7">
            <w:pPr>
              <w:rPr>
                <w:rFonts w:hint="default" w:ascii="Times New Roman" w:hAnsi="Times New Roman" w:eastAsia="宋体" w:cs="Times New Roman"/>
                <w:i w:val="0"/>
                <w:iCs w:val="0"/>
                <w:color w:val="000000"/>
                <w:sz w:val="18"/>
                <w:szCs w:val="18"/>
                <w:u w:val="none"/>
              </w:rPr>
            </w:pPr>
          </w:p>
          <w:p w14:paraId="46CFACF4">
            <w:pPr>
              <w:rPr>
                <w:rFonts w:hint="default" w:ascii="Times New Roman" w:hAnsi="Times New Roman" w:eastAsia="宋体" w:cs="Times New Roman"/>
                <w:i w:val="0"/>
                <w:iCs w:val="0"/>
                <w:color w:val="000000"/>
                <w:sz w:val="18"/>
                <w:szCs w:val="18"/>
                <w:u w:val="none"/>
              </w:rPr>
            </w:pPr>
          </w:p>
        </w:tc>
        <w:tc>
          <w:tcPr>
            <w:tcW w:w="1847" w:type="dxa"/>
            <w:tcBorders>
              <w:top w:val="nil"/>
              <w:left w:val="nil"/>
              <w:bottom w:val="nil"/>
              <w:right w:val="nil"/>
            </w:tcBorders>
            <w:shd w:val="clear" w:color="auto" w:fill="auto"/>
            <w:vAlign w:val="center"/>
          </w:tcPr>
          <w:p w14:paraId="4CC1E031">
            <w:pPr>
              <w:rPr>
                <w:rFonts w:hint="default" w:ascii="Times New Roman" w:hAnsi="Times New Roman" w:eastAsia="宋体" w:cs="Times New Roman"/>
                <w:i w:val="0"/>
                <w:iCs w:val="0"/>
                <w:color w:val="000000"/>
                <w:sz w:val="18"/>
                <w:szCs w:val="18"/>
                <w:u w:val="none"/>
              </w:rPr>
            </w:pPr>
          </w:p>
        </w:tc>
        <w:tc>
          <w:tcPr>
            <w:tcW w:w="1598" w:type="dxa"/>
            <w:tcBorders>
              <w:top w:val="nil"/>
              <w:left w:val="nil"/>
              <w:bottom w:val="nil"/>
              <w:right w:val="nil"/>
            </w:tcBorders>
            <w:shd w:val="clear" w:color="auto" w:fill="auto"/>
            <w:vAlign w:val="center"/>
          </w:tcPr>
          <w:p w14:paraId="5EFACBC1">
            <w:pPr>
              <w:rPr>
                <w:rFonts w:hint="default" w:ascii="Times New Roman" w:hAnsi="Times New Roman" w:eastAsia="宋体" w:cs="Times New Roman"/>
                <w:i w:val="0"/>
                <w:iCs w:val="0"/>
                <w:color w:val="000000"/>
                <w:sz w:val="18"/>
                <w:szCs w:val="18"/>
                <w:u w:val="none"/>
              </w:rPr>
            </w:pPr>
          </w:p>
        </w:tc>
        <w:tc>
          <w:tcPr>
            <w:tcW w:w="2038" w:type="dxa"/>
            <w:tcBorders>
              <w:top w:val="nil"/>
              <w:left w:val="nil"/>
              <w:bottom w:val="nil"/>
              <w:right w:val="nil"/>
            </w:tcBorders>
            <w:shd w:val="clear" w:color="auto" w:fill="auto"/>
            <w:vAlign w:val="center"/>
          </w:tcPr>
          <w:p w14:paraId="263CA3FF">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1B136382">
            <w:pPr>
              <w:rPr>
                <w:rFonts w:hint="default" w:ascii="Times New Roman" w:hAnsi="Times New Roman" w:eastAsia="宋体" w:cs="Times New Roman"/>
                <w:i w:val="0"/>
                <w:iCs w:val="0"/>
                <w:color w:val="000000"/>
                <w:sz w:val="18"/>
                <w:szCs w:val="18"/>
                <w:u w:val="none"/>
              </w:rPr>
            </w:pPr>
          </w:p>
        </w:tc>
        <w:tc>
          <w:tcPr>
            <w:tcW w:w="1509" w:type="dxa"/>
            <w:tcBorders>
              <w:top w:val="nil"/>
              <w:left w:val="nil"/>
              <w:bottom w:val="nil"/>
              <w:right w:val="nil"/>
            </w:tcBorders>
            <w:shd w:val="clear" w:color="auto" w:fill="auto"/>
            <w:vAlign w:val="center"/>
          </w:tcPr>
          <w:p w14:paraId="36FDA036">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02342899">
            <w:pPr>
              <w:rPr>
                <w:rFonts w:hint="default" w:ascii="Times New Roman" w:hAnsi="Times New Roman" w:eastAsia="宋体" w:cs="Times New Roman"/>
                <w:i w:val="0"/>
                <w:iCs w:val="0"/>
                <w:color w:val="000000"/>
                <w:sz w:val="18"/>
                <w:szCs w:val="18"/>
                <w:u w:val="none"/>
              </w:rPr>
            </w:pPr>
          </w:p>
        </w:tc>
        <w:tc>
          <w:tcPr>
            <w:tcW w:w="982" w:type="dxa"/>
            <w:tcBorders>
              <w:top w:val="nil"/>
              <w:left w:val="nil"/>
              <w:bottom w:val="nil"/>
              <w:right w:val="nil"/>
            </w:tcBorders>
            <w:shd w:val="clear" w:color="auto" w:fill="auto"/>
            <w:vAlign w:val="center"/>
          </w:tcPr>
          <w:p w14:paraId="5229270B">
            <w:pPr>
              <w:rPr>
                <w:rFonts w:hint="default" w:ascii="Times New Roman" w:hAnsi="Times New Roman" w:eastAsia="宋体" w:cs="Times New Roman"/>
                <w:i w:val="0"/>
                <w:iCs w:val="0"/>
                <w:color w:val="000000"/>
                <w:sz w:val="18"/>
                <w:szCs w:val="18"/>
                <w:u w:val="none"/>
              </w:rPr>
            </w:pPr>
          </w:p>
        </w:tc>
        <w:tc>
          <w:tcPr>
            <w:tcW w:w="455" w:type="dxa"/>
            <w:tcBorders>
              <w:top w:val="nil"/>
              <w:left w:val="nil"/>
              <w:bottom w:val="nil"/>
              <w:right w:val="nil"/>
            </w:tcBorders>
            <w:shd w:val="clear" w:color="auto" w:fill="auto"/>
            <w:vAlign w:val="center"/>
          </w:tcPr>
          <w:p w14:paraId="29CB8BF9">
            <w:pPr>
              <w:rPr>
                <w:rFonts w:hint="default" w:ascii="Times New Roman" w:hAnsi="Times New Roman" w:eastAsia="宋体" w:cs="Times New Roman"/>
                <w:i w:val="0"/>
                <w:iCs w:val="0"/>
                <w:color w:val="000000"/>
                <w:sz w:val="18"/>
                <w:szCs w:val="18"/>
                <w:u w:val="none"/>
              </w:rPr>
            </w:pPr>
          </w:p>
        </w:tc>
        <w:tc>
          <w:tcPr>
            <w:tcW w:w="564" w:type="dxa"/>
            <w:tcBorders>
              <w:top w:val="nil"/>
              <w:left w:val="nil"/>
              <w:bottom w:val="nil"/>
              <w:right w:val="nil"/>
            </w:tcBorders>
            <w:shd w:val="clear" w:color="auto" w:fill="auto"/>
            <w:vAlign w:val="center"/>
          </w:tcPr>
          <w:p w14:paraId="0CD5C992">
            <w:pPr>
              <w:rPr>
                <w:rFonts w:hint="default" w:ascii="Times New Roman" w:hAnsi="Times New Roman" w:eastAsia="宋体" w:cs="Times New Roman"/>
                <w:i w:val="0"/>
                <w:iCs w:val="0"/>
                <w:color w:val="000000"/>
                <w:sz w:val="18"/>
                <w:szCs w:val="18"/>
                <w:u w:val="none"/>
              </w:rPr>
            </w:pPr>
          </w:p>
        </w:tc>
        <w:tc>
          <w:tcPr>
            <w:tcW w:w="2301" w:type="dxa"/>
            <w:tcBorders>
              <w:top w:val="nil"/>
              <w:left w:val="nil"/>
              <w:bottom w:val="nil"/>
              <w:right w:val="nil"/>
            </w:tcBorders>
            <w:shd w:val="clear" w:color="auto" w:fill="auto"/>
            <w:vAlign w:val="center"/>
          </w:tcPr>
          <w:p w14:paraId="38BBF1F0">
            <w:pPr>
              <w:rPr>
                <w:rFonts w:hint="default" w:ascii="Times New Roman" w:hAnsi="Times New Roman" w:eastAsia="宋体" w:cs="Times New Roman"/>
                <w:i w:val="0"/>
                <w:iCs w:val="0"/>
                <w:color w:val="000000"/>
                <w:sz w:val="18"/>
                <w:szCs w:val="18"/>
                <w:u w:val="none"/>
              </w:rPr>
            </w:pPr>
          </w:p>
        </w:tc>
      </w:tr>
      <w:tr w14:paraId="676F3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8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172B93">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14:paraId="0385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C8D2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10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870FB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51041122T000000395114-仁和区群众意见受理中心项目经费</w:t>
            </w:r>
          </w:p>
        </w:tc>
      </w:tr>
      <w:tr w14:paraId="592CF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BF75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D50B4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攀枝花市仁和区信访局部门</w:t>
            </w:r>
          </w:p>
        </w:tc>
        <w:tc>
          <w:tcPr>
            <w:tcW w:w="982" w:type="dxa"/>
            <w:tcBorders>
              <w:top w:val="nil"/>
              <w:left w:val="nil"/>
              <w:bottom w:val="nil"/>
              <w:right w:val="nil"/>
            </w:tcBorders>
            <w:shd w:val="clear" w:color="auto" w:fill="auto"/>
            <w:vAlign w:val="center"/>
          </w:tcPr>
          <w:p w14:paraId="4F9BC61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461D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攀枝花市仁和区信访局</w:t>
            </w:r>
          </w:p>
        </w:tc>
      </w:tr>
      <w:tr w14:paraId="0C33E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94F5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BCE9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46A9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E58BA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1D6E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D5810">
            <w:pP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6CE37">
            <w:pPr>
              <w:rPr>
                <w:rFonts w:hint="default" w:ascii="Times New Roman" w:hAnsi="Times New Roman" w:eastAsia="宋体" w:cs="Times New Roman"/>
                <w:i w:val="0"/>
                <w:iCs w:val="0"/>
                <w:color w:val="000000"/>
                <w:sz w:val="18"/>
                <w:szCs w:val="18"/>
                <w:u w:val="none"/>
              </w:rPr>
            </w:pP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10C58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1.完成96097热线系统建设开发，软硬件采购、线路租用等。2.保障项目基础投施，软硬件正常运转，为业务开展提供保障；3.提高工作效率，提高社会影响力、认知度。 </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B37DB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2022年基本完成年度目标</w:t>
            </w:r>
          </w:p>
        </w:tc>
      </w:tr>
      <w:tr w14:paraId="43D87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8ADB3">
            <w:pP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F98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10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E3BF5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1.完成96097热线系统建设开发，软硬件采购、线路租用等。2.保障项目基础投施，软硬件正常运转，为业务开展提供保障；3.提高工作效率，提高社会影响力、认知度。 </w:t>
            </w:r>
          </w:p>
        </w:tc>
      </w:tr>
      <w:tr w14:paraId="09902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F98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3F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15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08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2C21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DC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EF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B5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6F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0002B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362AE">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CC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84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54.75</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D8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27.37</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596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27.37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13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54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E1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D45DA">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default" w:ascii="Times New Roman" w:hAnsi="Times New Roman" w:eastAsia="黑体" w:cs="Times New Roman"/>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9367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73C12">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72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71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54.75</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B2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27.37</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DCFA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27.37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C0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C6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B9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C266D">
            <w:pPr>
              <w:rPr>
                <w:rFonts w:hint="default" w:ascii="Times New Roman" w:hAnsi="Times New Roman" w:eastAsia="黑体" w:cs="Times New Roman"/>
                <w:i/>
                <w:iCs/>
                <w:color w:val="000000"/>
                <w:sz w:val="18"/>
                <w:szCs w:val="18"/>
                <w:u w:val="none"/>
              </w:rPr>
            </w:pPr>
          </w:p>
        </w:tc>
      </w:tr>
      <w:tr w14:paraId="09C09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DFE05">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20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85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78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70A0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6E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94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44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CE65E">
            <w:pPr>
              <w:rPr>
                <w:rFonts w:hint="default" w:ascii="Times New Roman" w:hAnsi="Times New Roman" w:eastAsia="黑体" w:cs="Times New Roman"/>
                <w:i/>
                <w:iCs/>
                <w:color w:val="000000"/>
                <w:sz w:val="18"/>
                <w:szCs w:val="18"/>
                <w:u w:val="none"/>
              </w:rPr>
            </w:pPr>
          </w:p>
        </w:tc>
      </w:tr>
      <w:tr w14:paraId="4A2C8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0AC02">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A6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6B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E5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711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8D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C8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00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D32D3">
            <w:pPr>
              <w:rPr>
                <w:rFonts w:hint="default" w:ascii="Times New Roman" w:hAnsi="Times New Roman" w:eastAsia="黑体" w:cs="Times New Roman"/>
                <w:i/>
                <w:iCs/>
                <w:color w:val="000000"/>
                <w:sz w:val="18"/>
                <w:szCs w:val="18"/>
                <w:u w:val="none"/>
              </w:rPr>
            </w:pPr>
          </w:p>
        </w:tc>
      </w:tr>
      <w:tr w14:paraId="20AFB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364D1">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9F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417D">
            <w:pPr>
              <w:jc w:val="center"/>
              <w:rPr>
                <w:rFonts w:hint="default" w:ascii="Times New Roman" w:hAnsi="Times New Roman" w:eastAsia="微软雅黑" w:cs="Times New Roman"/>
                <w:i/>
                <w:iCs/>
                <w:color w:val="000000"/>
                <w:sz w:val="16"/>
                <w:szCs w:val="16"/>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7814">
            <w:pPr>
              <w:jc w:val="center"/>
              <w:rPr>
                <w:rFonts w:hint="default" w:ascii="Times New Roman" w:hAnsi="Times New Roman" w:eastAsia="微软雅黑" w:cs="Times New Roman"/>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CBA2B">
            <w:pPr>
              <w:jc w:val="center"/>
              <w:rPr>
                <w:rFonts w:hint="default" w:ascii="Times New Roman" w:hAnsi="Times New Roman" w:eastAsia="微软雅黑" w:cs="Times New Roman"/>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150D">
            <w:pPr>
              <w:jc w:val="center"/>
              <w:rPr>
                <w:rFonts w:hint="default" w:ascii="Times New Roman" w:hAnsi="Times New Roman" w:eastAsia="微软雅黑" w:cs="Times New Roman"/>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EA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B7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BD7DD">
            <w:pPr>
              <w:rPr>
                <w:rFonts w:hint="default" w:ascii="Times New Roman" w:hAnsi="Times New Roman" w:eastAsia="黑体" w:cs="Times New Roman"/>
                <w:i/>
                <w:iCs/>
                <w:color w:val="000000"/>
                <w:sz w:val="18"/>
                <w:szCs w:val="18"/>
                <w:u w:val="none"/>
              </w:rPr>
            </w:pPr>
          </w:p>
        </w:tc>
      </w:tr>
      <w:tr w14:paraId="1247F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803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4E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B0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9D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7A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74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80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CB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EC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E3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9B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5C1FC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D852D">
            <w:pPr>
              <w:jc w:val="center"/>
              <w:rPr>
                <w:rFonts w:hint="default" w:ascii="Times New Roman" w:hAnsi="Times New Roman" w:eastAsia="宋体" w:cs="Times New Roman"/>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65D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02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0E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指标1：外包服务费。指标2:网络租赁费用。指标3：办公费用。</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AE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03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0C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2E30">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80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83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8FDA">
            <w:pPr>
              <w:jc w:val="center"/>
              <w:rPr>
                <w:rFonts w:hint="default" w:ascii="Times New Roman" w:hAnsi="Times New Roman" w:eastAsia="微软雅黑" w:cs="Times New Roman"/>
                <w:i/>
                <w:iCs/>
                <w:color w:val="000000"/>
                <w:sz w:val="16"/>
                <w:szCs w:val="16"/>
                <w:u w:val="none"/>
              </w:rPr>
            </w:pPr>
          </w:p>
        </w:tc>
      </w:tr>
      <w:tr w14:paraId="44037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5DBD7">
            <w:pPr>
              <w:jc w:val="cente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1F66C">
            <w:pPr>
              <w:jc w:val="center"/>
              <w:rPr>
                <w:rFonts w:hint="default" w:ascii="Times New Roman" w:hAnsi="Times New Roman" w:eastAsia="宋体" w:cs="Times New Roman"/>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AC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88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完成群众来电、来信及网信办理工作。</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3D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CA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好坏</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A520">
            <w:pPr>
              <w:jc w:val="center"/>
              <w:rPr>
                <w:rFonts w:hint="default" w:ascii="Times New Roman" w:hAnsi="Times New Roman" w:eastAsia="宋体" w:cs="Times New Roman"/>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E3C8">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好</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AF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1C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F1CF">
            <w:pPr>
              <w:jc w:val="center"/>
              <w:rPr>
                <w:rFonts w:hint="default" w:ascii="Times New Roman" w:hAnsi="Times New Roman" w:eastAsia="微软雅黑" w:cs="Times New Roman"/>
                <w:i/>
                <w:iCs/>
                <w:color w:val="000000"/>
                <w:sz w:val="16"/>
                <w:szCs w:val="16"/>
                <w:u w:val="none"/>
              </w:rPr>
            </w:pPr>
          </w:p>
        </w:tc>
      </w:tr>
      <w:tr w14:paraId="6B453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1C5FC">
            <w:pPr>
              <w:jc w:val="cente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9417C">
            <w:pPr>
              <w:jc w:val="center"/>
              <w:rPr>
                <w:rFonts w:hint="default" w:ascii="Times New Roman" w:hAnsi="Times New Roman" w:eastAsia="宋体" w:cs="Times New Roman"/>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48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6F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2022年1—12月。</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E0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85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58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CD89">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完成</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07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D0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DB0D">
            <w:pPr>
              <w:jc w:val="center"/>
              <w:rPr>
                <w:rFonts w:hint="default" w:ascii="Times New Roman" w:hAnsi="Times New Roman" w:eastAsia="微软雅黑" w:cs="Times New Roman"/>
                <w:i/>
                <w:iCs/>
                <w:color w:val="000000"/>
                <w:sz w:val="16"/>
                <w:szCs w:val="16"/>
                <w:u w:val="none"/>
              </w:rPr>
            </w:pPr>
          </w:p>
        </w:tc>
      </w:tr>
      <w:tr w14:paraId="79639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2685C">
            <w:pPr>
              <w:jc w:val="cente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B09D5">
            <w:pPr>
              <w:jc w:val="center"/>
              <w:rPr>
                <w:rFonts w:hint="default" w:ascii="Times New Roman" w:hAnsi="Times New Roman" w:eastAsia="宋体" w:cs="Times New Roman"/>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04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B9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指标1：外包服务费。指标2:中继线租用费用及96097短号资源占用费。指标3：群众意见受理中心水电费、办公用品所需经费。</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9A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7F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547500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ED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0C1B">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273700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A2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EE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10E3">
            <w:pPr>
              <w:jc w:val="center"/>
              <w:rPr>
                <w:rFonts w:hint="default" w:ascii="Times New Roman" w:hAnsi="Times New Roman" w:eastAsia="微软雅黑" w:cs="Times New Roman"/>
                <w:i/>
                <w:iCs/>
                <w:color w:val="000000"/>
                <w:sz w:val="16"/>
                <w:szCs w:val="16"/>
                <w:u w:val="none"/>
              </w:rPr>
            </w:pPr>
          </w:p>
        </w:tc>
      </w:tr>
      <w:tr w14:paraId="64E5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F1E81">
            <w:pPr>
              <w:jc w:val="center"/>
              <w:rPr>
                <w:rFonts w:hint="default" w:ascii="Times New Roman" w:hAnsi="Times New Roman" w:eastAsia="宋体" w:cs="Times New Roman"/>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BD2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1B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C6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为群众解决实际问题，维护仁和区的社会稳定，确保一方平安，促进地方经济发展。</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E7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9E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高中低</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6B16">
            <w:pPr>
              <w:jc w:val="center"/>
              <w:rPr>
                <w:rFonts w:hint="default" w:ascii="Times New Roman" w:hAnsi="Times New Roman" w:eastAsia="宋体" w:cs="Times New Roman"/>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A821">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中</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13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98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1A63">
            <w:pPr>
              <w:jc w:val="center"/>
              <w:rPr>
                <w:rFonts w:hint="default" w:ascii="Times New Roman" w:hAnsi="Times New Roman" w:eastAsia="微软雅黑" w:cs="Times New Roman"/>
                <w:i/>
                <w:iCs/>
                <w:color w:val="000000"/>
                <w:sz w:val="16"/>
                <w:szCs w:val="16"/>
                <w:u w:val="none"/>
              </w:rPr>
            </w:pPr>
          </w:p>
        </w:tc>
      </w:tr>
      <w:tr w14:paraId="278C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6857A">
            <w:pPr>
              <w:jc w:val="cente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4885B">
            <w:pPr>
              <w:jc w:val="center"/>
              <w:rPr>
                <w:rFonts w:hint="default" w:ascii="Times New Roman" w:hAnsi="Times New Roman" w:eastAsia="宋体" w:cs="Times New Roman"/>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81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C1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75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13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16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BDA3">
            <w:pPr>
              <w:jc w:val="center"/>
              <w:rPr>
                <w:rFonts w:hint="default" w:ascii="Times New Roman" w:hAnsi="Times New Roman" w:eastAsia="微软雅黑" w:cs="Times New Roman"/>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A7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88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C139">
            <w:pPr>
              <w:jc w:val="center"/>
              <w:rPr>
                <w:rFonts w:hint="default" w:ascii="Times New Roman" w:hAnsi="Times New Roman" w:eastAsia="微软雅黑" w:cs="Times New Roman"/>
                <w:i/>
                <w:iCs/>
                <w:color w:val="000000"/>
                <w:sz w:val="16"/>
                <w:szCs w:val="16"/>
                <w:u w:val="none"/>
              </w:rPr>
            </w:pPr>
          </w:p>
        </w:tc>
      </w:tr>
      <w:tr w14:paraId="5BF5C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C7A63">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29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75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DC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群众满意度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5B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4F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09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463A">
            <w:pPr>
              <w:jc w:val="center"/>
              <w:rPr>
                <w:rFonts w:hint="default" w:ascii="Times New Roman" w:hAnsi="Times New Roman" w:eastAsia="微软雅黑" w:cs="Times New Roman"/>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6C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F8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27D4">
            <w:pPr>
              <w:jc w:val="center"/>
              <w:rPr>
                <w:rFonts w:hint="default" w:ascii="Times New Roman" w:hAnsi="Times New Roman" w:eastAsia="微软雅黑" w:cs="Times New Roman"/>
                <w:i/>
                <w:iCs/>
                <w:color w:val="000000"/>
                <w:sz w:val="16"/>
                <w:szCs w:val="16"/>
                <w:u w:val="none"/>
              </w:rPr>
            </w:pPr>
          </w:p>
        </w:tc>
      </w:tr>
      <w:tr w14:paraId="76991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5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6E39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4B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181B">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93.5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B6C1">
            <w:pPr>
              <w:rPr>
                <w:rFonts w:hint="default" w:ascii="Times New Roman" w:hAnsi="Times New Roman" w:eastAsia="宋体" w:cs="Times New Roman"/>
                <w:i w:val="0"/>
                <w:iCs w:val="0"/>
                <w:color w:val="000000"/>
                <w:sz w:val="18"/>
                <w:szCs w:val="18"/>
                <w:u w:val="none"/>
              </w:rPr>
            </w:pPr>
          </w:p>
        </w:tc>
      </w:tr>
      <w:tr w14:paraId="5207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5D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6E421E">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本项目2022年度预算执行情况及绩效评价良好，因受年度财政资金等不可控因素影响，预算执行灵敏还未能全部达到年初预算数。</w:t>
            </w:r>
          </w:p>
        </w:tc>
      </w:tr>
      <w:tr w14:paraId="0CA7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D1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21DC1F">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14:paraId="7D141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8D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779726">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14:paraId="36A71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83FF0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c>
          <w:tcPr>
            <w:tcW w:w="6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B8AFB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r>
      <w:tr w14:paraId="54AD7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362891DD">
            <w:pPr>
              <w:rPr>
                <w:rFonts w:hint="default" w:ascii="Times New Roman" w:hAnsi="Times New Roman" w:eastAsia="宋体" w:cs="Times New Roman"/>
                <w:i w:val="0"/>
                <w:iCs w:val="0"/>
                <w:color w:val="000000"/>
                <w:sz w:val="18"/>
                <w:szCs w:val="18"/>
                <w:u w:val="none"/>
              </w:rPr>
            </w:pPr>
          </w:p>
        </w:tc>
        <w:tc>
          <w:tcPr>
            <w:tcW w:w="1847" w:type="dxa"/>
            <w:tcBorders>
              <w:top w:val="nil"/>
              <w:left w:val="nil"/>
              <w:bottom w:val="nil"/>
              <w:right w:val="nil"/>
            </w:tcBorders>
            <w:shd w:val="clear" w:color="auto" w:fill="auto"/>
            <w:vAlign w:val="center"/>
          </w:tcPr>
          <w:p w14:paraId="2BB6BA30">
            <w:pPr>
              <w:rPr>
                <w:rFonts w:hint="default" w:ascii="Times New Roman" w:hAnsi="Times New Roman" w:eastAsia="宋体" w:cs="Times New Roman"/>
                <w:i w:val="0"/>
                <w:iCs w:val="0"/>
                <w:color w:val="000000"/>
                <w:sz w:val="18"/>
                <w:szCs w:val="18"/>
                <w:u w:val="none"/>
              </w:rPr>
            </w:pPr>
          </w:p>
        </w:tc>
        <w:tc>
          <w:tcPr>
            <w:tcW w:w="1598" w:type="dxa"/>
            <w:tcBorders>
              <w:top w:val="nil"/>
              <w:left w:val="nil"/>
              <w:bottom w:val="nil"/>
              <w:right w:val="nil"/>
            </w:tcBorders>
            <w:shd w:val="clear" w:color="auto" w:fill="auto"/>
            <w:vAlign w:val="center"/>
          </w:tcPr>
          <w:p w14:paraId="46B7CB32">
            <w:pPr>
              <w:rPr>
                <w:rFonts w:hint="default" w:ascii="Times New Roman" w:hAnsi="Times New Roman" w:eastAsia="宋体" w:cs="Times New Roman"/>
                <w:i w:val="0"/>
                <w:iCs w:val="0"/>
                <w:color w:val="000000"/>
                <w:sz w:val="18"/>
                <w:szCs w:val="18"/>
                <w:u w:val="none"/>
              </w:rPr>
            </w:pPr>
          </w:p>
        </w:tc>
        <w:tc>
          <w:tcPr>
            <w:tcW w:w="2038" w:type="dxa"/>
            <w:tcBorders>
              <w:top w:val="nil"/>
              <w:left w:val="nil"/>
              <w:bottom w:val="nil"/>
              <w:right w:val="nil"/>
            </w:tcBorders>
            <w:shd w:val="clear" w:color="auto" w:fill="auto"/>
            <w:vAlign w:val="center"/>
          </w:tcPr>
          <w:p w14:paraId="74337044">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69A32092">
            <w:pPr>
              <w:rPr>
                <w:rFonts w:hint="default" w:ascii="Times New Roman" w:hAnsi="Times New Roman" w:eastAsia="宋体" w:cs="Times New Roman"/>
                <w:i w:val="0"/>
                <w:iCs w:val="0"/>
                <w:color w:val="000000"/>
                <w:sz w:val="18"/>
                <w:szCs w:val="18"/>
                <w:u w:val="none"/>
              </w:rPr>
            </w:pPr>
          </w:p>
        </w:tc>
        <w:tc>
          <w:tcPr>
            <w:tcW w:w="1509" w:type="dxa"/>
            <w:tcBorders>
              <w:top w:val="nil"/>
              <w:left w:val="nil"/>
              <w:bottom w:val="nil"/>
              <w:right w:val="nil"/>
            </w:tcBorders>
            <w:shd w:val="clear" w:color="auto" w:fill="auto"/>
            <w:vAlign w:val="center"/>
          </w:tcPr>
          <w:p w14:paraId="6B06A991">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0F1FDE3C">
            <w:pPr>
              <w:rPr>
                <w:rFonts w:hint="default" w:ascii="Times New Roman" w:hAnsi="Times New Roman" w:eastAsia="宋体" w:cs="Times New Roman"/>
                <w:i w:val="0"/>
                <w:iCs w:val="0"/>
                <w:color w:val="000000"/>
                <w:sz w:val="18"/>
                <w:szCs w:val="18"/>
                <w:u w:val="none"/>
              </w:rPr>
            </w:pPr>
          </w:p>
        </w:tc>
        <w:tc>
          <w:tcPr>
            <w:tcW w:w="982" w:type="dxa"/>
            <w:tcBorders>
              <w:top w:val="nil"/>
              <w:left w:val="nil"/>
              <w:bottom w:val="nil"/>
              <w:right w:val="nil"/>
            </w:tcBorders>
            <w:shd w:val="clear" w:color="auto" w:fill="auto"/>
            <w:vAlign w:val="center"/>
          </w:tcPr>
          <w:p w14:paraId="56ED8C12">
            <w:pPr>
              <w:rPr>
                <w:rFonts w:hint="default" w:ascii="Times New Roman" w:hAnsi="Times New Roman" w:eastAsia="宋体" w:cs="Times New Roman"/>
                <w:i w:val="0"/>
                <w:iCs w:val="0"/>
                <w:color w:val="000000"/>
                <w:sz w:val="18"/>
                <w:szCs w:val="18"/>
                <w:u w:val="none"/>
              </w:rPr>
            </w:pPr>
          </w:p>
        </w:tc>
        <w:tc>
          <w:tcPr>
            <w:tcW w:w="455" w:type="dxa"/>
            <w:tcBorders>
              <w:top w:val="nil"/>
              <w:left w:val="nil"/>
              <w:bottom w:val="nil"/>
              <w:right w:val="nil"/>
            </w:tcBorders>
            <w:shd w:val="clear" w:color="auto" w:fill="auto"/>
            <w:vAlign w:val="center"/>
          </w:tcPr>
          <w:p w14:paraId="41EA05C5">
            <w:pPr>
              <w:rPr>
                <w:rFonts w:hint="default" w:ascii="Times New Roman" w:hAnsi="Times New Roman" w:eastAsia="宋体" w:cs="Times New Roman"/>
                <w:i w:val="0"/>
                <w:iCs w:val="0"/>
                <w:color w:val="000000"/>
                <w:sz w:val="18"/>
                <w:szCs w:val="18"/>
                <w:u w:val="none"/>
              </w:rPr>
            </w:pPr>
          </w:p>
        </w:tc>
        <w:tc>
          <w:tcPr>
            <w:tcW w:w="564" w:type="dxa"/>
            <w:tcBorders>
              <w:top w:val="nil"/>
              <w:left w:val="nil"/>
              <w:bottom w:val="nil"/>
              <w:right w:val="nil"/>
            </w:tcBorders>
            <w:shd w:val="clear" w:color="auto" w:fill="auto"/>
            <w:vAlign w:val="center"/>
          </w:tcPr>
          <w:p w14:paraId="0C14D8C3">
            <w:pPr>
              <w:rPr>
                <w:rFonts w:hint="default" w:ascii="Times New Roman" w:hAnsi="Times New Roman" w:eastAsia="宋体" w:cs="Times New Roman"/>
                <w:i w:val="0"/>
                <w:iCs w:val="0"/>
                <w:color w:val="000000"/>
                <w:sz w:val="18"/>
                <w:szCs w:val="18"/>
                <w:u w:val="none"/>
              </w:rPr>
            </w:pPr>
          </w:p>
        </w:tc>
        <w:tc>
          <w:tcPr>
            <w:tcW w:w="2301" w:type="dxa"/>
            <w:tcBorders>
              <w:top w:val="nil"/>
              <w:left w:val="nil"/>
              <w:bottom w:val="nil"/>
              <w:right w:val="nil"/>
            </w:tcBorders>
            <w:shd w:val="clear" w:color="auto" w:fill="auto"/>
            <w:vAlign w:val="center"/>
          </w:tcPr>
          <w:p w14:paraId="34BDB4AA">
            <w:pPr>
              <w:rPr>
                <w:rFonts w:hint="default" w:ascii="Times New Roman" w:hAnsi="Times New Roman" w:eastAsia="宋体" w:cs="Times New Roman"/>
                <w:i w:val="0"/>
                <w:iCs w:val="0"/>
                <w:color w:val="000000"/>
                <w:sz w:val="18"/>
                <w:szCs w:val="18"/>
                <w:u w:val="none"/>
              </w:rPr>
            </w:pPr>
          </w:p>
        </w:tc>
      </w:tr>
      <w:tr w14:paraId="68B4A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8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622C44">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14:paraId="17963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79F0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10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9E2A86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51041122T000005590331-2021年第二批次解决特殊疑难信访问题中央补助资金</w:t>
            </w:r>
          </w:p>
        </w:tc>
      </w:tr>
      <w:tr w14:paraId="25CF0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F0CB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5A5D9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攀枝花市仁和区信访局部门</w:t>
            </w:r>
          </w:p>
        </w:tc>
        <w:tc>
          <w:tcPr>
            <w:tcW w:w="982" w:type="dxa"/>
            <w:tcBorders>
              <w:top w:val="nil"/>
              <w:left w:val="nil"/>
              <w:bottom w:val="nil"/>
              <w:right w:val="nil"/>
            </w:tcBorders>
            <w:shd w:val="clear" w:color="auto" w:fill="auto"/>
            <w:vAlign w:val="center"/>
          </w:tcPr>
          <w:p w14:paraId="0F10E79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F4B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攀枝花市仁和区信访局</w:t>
            </w:r>
          </w:p>
        </w:tc>
      </w:tr>
      <w:tr w14:paraId="02CBF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2F2C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F898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0543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F00CA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59A70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11388">
            <w:pP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58392">
            <w:pPr>
              <w:rPr>
                <w:rFonts w:hint="default" w:ascii="Times New Roman" w:hAnsi="Times New Roman" w:eastAsia="宋体" w:cs="Times New Roman"/>
                <w:i w:val="0"/>
                <w:iCs w:val="0"/>
                <w:color w:val="000000"/>
                <w:sz w:val="18"/>
                <w:szCs w:val="18"/>
                <w:u w:val="none"/>
              </w:rPr>
            </w:pP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7036F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完成2022年度疑难信访问题的化解工作。</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63FD0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2022年未完成年度目标</w:t>
            </w:r>
          </w:p>
        </w:tc>
      </w:tr>
      <w:tr w14:paraId="17D68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09EC4">
            <w:pP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E50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10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942B0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按照要求完成2022年上级交办的疑难信访案件化解工作，保障资金按时支付，但因财政资金紧张，未全部支付到位。</w:t>
            </w:r>
          </w:p>
        </w:tc>
      </w:tr>
      <w:tr w14:paraId="3BE0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AA4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31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44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E1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A4DA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3E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86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6D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45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7BA15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A4E47">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8F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20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31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BA08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91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47.86%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0B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09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w:t>
            </w: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144C2">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default" w:ascii="Times New Roman" w:hAnsi="Times New Roman" w:eastAsia="黑体" w:cs="Times New Roman"/>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A3A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A7EFF">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35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78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35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E518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5A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47.86%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63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D3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10EA1">
            <w:pPr>
              <w:rPr>
                <w:rFonts w:hint="default" w:ascii="Times New Roman" w:hAnsi="Times New Roman" w:eastAsia="黑体" w:cs="Times New Roman"/>
                <w:i/>
                <w:iCs/>
                <w:color w:val="000000"/>
                <w:sz w:val="18"/>
                <w:szCs w:val="18"/>
                <w:u w:val="none"/>
              </w:rPr>
            </w:pPr>
          </w:p>
        </w:tc>
      </w:tr>
      <w:tr w14:paraId="3563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0665A">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B3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05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12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2C5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35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3F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B4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38CB7">
            <w:pPr>
              <w:rPr>
                <w:rFonts w:hint="default" w:ascii="Times New Roman" w:hAnsi="Times New Roman" w:eastAsia="黑体" w:cs="Times New Roman"/>
                <w:i/>
                <w:iCs/>
                <w:color w:val="000000"/>
                <w:sz w:val="18"/>
                <w:szCs w:val="18"/>
                <w:u w:val="none"/>
              </w:rPr>
            </w:pPr>
          </w:p>
        </w:tc>
      </w:tr>
      <w:tr w14:paraId="06323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F55BA">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C8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63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D1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B79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D0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9B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9D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0C285">
            <w:pPr>
              <w:rPr>
                <w:rFonts w:hint="default" w:ascii="Times New Roman" w:hAnsi="Times New Roman" w:eastAsia="黑体" w:cs="Times New Roman"/>
                <w:i/>
                <w:iCs/>
                <w:color w:val="000000"/>
                <w:sz w:val="18"/>
                <w:szCs w:val="18"/>
                <w:u w:val="none"/>
              </w:rPr>
            </w:pPr>
          </w:p>
        </w:tc>
      </w:tr>
      <w:tr w14:paraId="03027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4AAA1">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FD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A9CD">
            <w:pPr>
              <w:jc w:val="center"/>
              <w:rPr>
                <w:rFonts w:hint="default" w:ascii="Times New Roman" w:hAnsi="Times New Roman" w:eastAsia="微软雅黑" w:cs="Times New Roman"/>
                <w:i/>
                <w:iCs/>
                <w:color w:val="000000"/>
                <w:sz w:val="16"/>
                <w:szCs w:val="16"/>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3D0D">
            <w:pPr>
              <w:jc w:val="center"/>
              <w:rPr>
                <w:rFonts w:hint="default" w:ascii="Times New Roman" w:hAnsi="Times New Roman" w:eastAsia="微软雅黑" w:cs="Times New Roman"/>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C7EBE">
            <w:pPr>
              <w:jc w:val="center"/>
              <w:rPr>
                <w:rFonts w:hint="default" w:ascii="Times New Roman" w:hAnsi="Times New Roman" w:eastAsia="微软雅黑" w:cs="Times New Roman"/>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622B">
            <w:pPr>
              <w:jc w:val="center"/>
              <w:rPr>
                <w:rFonts w:hint="default" w:ascii="Times New Roman" w:hAnsi="Times New Roman" w:eastAsia="微软雅黑" w:cs="Times New Roman"/>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DF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96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90D90">
            <w:pPr>
              <w:rPr>
                <w:rFonts w:hint="default" w:ascii="Times New Roman" w:hAnsi="Times New Roman" w:eastAsia="黑体" w:cs="Times New Roman"/>
                <w:i/>
                <w:iCs/>
                <w:color w:val="000000"/>
                <w:sz w:val="18"/>
                <w:szCs w:val="18"/>
                <w:u w:val="none"/>
              </w:rPr>
            </w:pPr>
          </w:p>
        </w:tc>
      </w:tr>
      <w:tr w14:paraId="5FB50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8C0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86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47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C3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F2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C9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B0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4A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09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97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E9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20606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0F30B">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6874">
            <w:pPr>
              <w:jc w:val="center"/>
              <w:rPr>
                <w:rFonts w:hint="default" w:ascii="Times New Roman" w:hAnsi="Times New Roman" w:eastAsia="宋体" w:cs="Times New Roman"/>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BC61">
            <w:pPr>
              <w:jc w:val="center"/>
              <w:rPr>
                <w:rFonts w:hint="default" w:ascii="Times New Roman" w:hAnsi="Times New Roman" w:eastAsia="宋体" w:cs="Times New Roman"/>
                <w:i w:val="0"/>
                <w:iCs w:val="0"/>
                <w:color w:val="000000"/>
                <w:sz w:val="18"/>
                <w:szCs w:val="18"/>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38FC">
            <w:pPr>
              <w:jc w:val="center"/>
              <w:rPr>
                <w:rFonts w:hint="default" w:ascii="Times New Roman" w:hAnsi="Times New Roman" w:eastAsia="宋体" w:cs="Times New Roman"/>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0B3D">
            <w:pPr>
              <w:jc w:val="center"/>
              <w:rPr>
                <w:rFonts w:hint="default" w:ascii="Times New Roman" w:hAnsi="Times New Roman" w:eastAsia="宋体" w:cs="Times New Roman"/>
                <w:i w:val="0"/>
                <w:iCs w:val="0"/>
                <w:color w:val="000000"/>
                <w:sz w:val="18"/>
                <w:szCs w:val="18"/>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A79C">
            <w:pPr>
              <w:jc w:val="center"/>
              <w:rPr>
                <w:rFonts w:hint="default" w:ascii="Times New Roman" w:hAnsi="Times New Roman" w:eastAsia="宋体" w:cs="Times New Roman"/>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63EB">
            <w:pPr>
              <w:jc w:val="center"/>
              <w:rPr>
                <w:rFonts w:hint="default" w:ascii="Times New Roman" w:hAnsi="Times New Roman" w:eastAsia="宋体" w:cs="Times New Roman"/>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76B2">
            <w:pPr>
              <w:jc w:val="center"/>
              <w:rPr>
                <w:rFonts w:hint="default" w:ascii="Times New Roman" w:hAnsi="Times New Roman" w:eastAsia="微软雅黑" w:cs="Times New Roman"/>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40DB">
            <w:pPr>
              <w:jc w:val="center"/>
              <w:rPr>
                <w:rFonts w:hint="default" w:ascii="Times New Roman" w:hAnsi="Times New Roman" w:eastAsia="宋体" w:cs="Times New Roman"/>
                <w:i w:val="0"/>
                <w:iCs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2380">
            <w:pPr>
              <w:jc w:val="center"/>
              <w:rPr>
                <w:rFonts w:hint="default" w:ascii="Times New Roman" w:hAnsi="Times New Roman" w:eastAsia="宋体" w:cs="Times New Roman"/>
                <w:i w:val="0"/>
                <w:iCs w:val="0"/>
                <w:color w:val="000000"/>
                <w:sz w:val="18"/>
                <w:szCs w:val="18"/>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128C">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财政资金困难</w:t>
            </w:r>
          </w:p>
        </w:tc>
      </w:tr>
      <w:tr w14:paraId="199AD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5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E50A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A9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D52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4323">
            <w:pPr>
              <w:rPr>
                <w:rFonts w:hint="default" w:ascii="Times New Roman" w:hAnsi="Times New Roman" w:eastAsia="宋体" w:cs="Times New Roman"/>
                <w:i w:val="0"/>
                <w:iCs w:val="0"/>
                <w:color w:val="000000"/>
                <w:sz w:val="18"/>
                <w:szCs w:val="18"/>
                <w:u w:val="none"/>
              </w:rPr>
            </w:pPr>
          </w:p>
        </w:tc>
      </w:tr>
      <w:tr w14:paraId="0FD14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E1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959A92">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本项目2022年度预算执行情况及绩效评价一般，因受年度财政资金等不可控因素影响，预算执行灵敏还未能全部达到年初预算数。</w:t>
            </w:r>
          </w:p>
        </w:tc>
      </w:tr>
      <w:tr w14:paraId="0FC7E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51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B0024B">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财政资金紧张，预算执行无法全部到位。</w:t>
            </w:r>
          </w:p>
        </w:tc>
      </w:tr>
      <w:tr w14:paraId="2ADA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27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969561">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积极与财政沟通协调，争取保运转资金，统筹开支。</w:t>
            </w:r>
          </w:p>
        </w:tc>
      </w:tr>
      <w:tr w14:paraId="35C74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8CB30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c>
          <w:tcPr>
            <w:tcW w:w="6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FF9A5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r>
      <w:tr w14:paraId="1ABCD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3A2343B7">
            <w:pPr>
              <w:rPr>
                <w:rFonts w:hint="default" w:ascii="Times New Roman" w:hAnsi="Times New Roman" w:eastAsia="宋体" w:cs="Times New Roman"/>
                <w:i w:val="0"/>
                <w:iCs w:val="0"/>
                <w:color w:val="000000"/>
                <w:sz w:val="18"/>
                <w:szCs w:val="18"/>
                <w:u w:val="none"/>
              </w:rPr>
            </w:pPr>
          </w:p>
        </w:tc>
        <w:tc>
          <w:tcPr>
            <w:tcW w:w="1847" w:type="dxa"/>
            <w:tcBorders>
              <w:top w:val="nil"/>
              <w:left w:val="nil"/>
              <w:bottom w:val="nil"/>
              <w:right w:val="nil"/>
            </w:tcBorders>
            <w:shd w:val="clear" w:color="auto" w:fill="auto"/>
            <w:vAlign w:val="center"/>
          </w:tcPr>
          <w:p w14:paraId="7CA72E11">
            <w:pPr>
              <w:rPr>
                <w:rFonts w:hint="default" w:ascii="Times New Roman" w:hAnsi="Times New Roman" w:eastAsia="宋体" w:cs="Times New Roman"/>
                <w:i w:val="0"/>
                <w:iCs w:val="0"/>
                <w:color w:val="000000"/>
                <w:sz w:val="18"/>
                <w:szCs w:val="18"/>
                <w:u w:val="none"/>
              </w:rPr>
            </w:pPr>
          </w:p>
        </w:tc>
        <w:tc>
          <w:tcPr>
            <w:tcW w:w="1598" w:type="dxa"/>
            <w:tcBorders>
              <w:top w:val="nil"/>
              <w:left w:val="nil"/>
              <w:bottom w:val="nil"/>
              <w:right w:val="nil"/>
            </w:tcBorders>
            <w:shd w:val="clear" w:color="auto" w:fill="auto"/>
            <w:vAlign w:val="center"/>
          </w:tcPr>
          <w:p w14:paraId="1B48C340">
            <w:pPr>
              <w:rPr>
                <w:rFonts w:hint="default" w:ascii="Times New Roman" w:hAnsi="Times New Roman" w:eastAsia="宋体" w:cs="Times New Roman"/>
                <w:i w:val="0"/>
                <w:iCs w:val="0"/>
                <w:color w:val="000000"/>
                <w:sz w:val="18"/>
                <w:szCs w:val="18"/>
                <w:u w:val="none"/>
              </w:rPr>
            </w:pPr>
          </w:p>
        </w:tc>
        <w:tc>
          <w:tcPr>
            <w:tcW w:w="2038" w:type="dxa"/>
            <w:tcBorders>
              <w:top w:val="nil"/>
              <w:left w:val="nil"/>
              <w:bottom w:val="nil"/>
              <w:right w:val="nil"/>
            </w:tcBorders>
            <w:shd w:val="clear" w:color="auto" w:fill="auto"/>
            <w:vAlign w:val="center"/>
          </w:tcPr>
          <w:p w14:paraId="29CB20C1">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2BDD4F82">
            <w:pPr>
              <w:rPr>
                <w:rFonts w:hint="default" w:ascii="Times New Roman" w:hAnsi="Times New Roman" w:eastAsia="宋体" w:cs="Times New Roman"/>
                <w:i w:val="0"/>
                <w:iCs w:val="0"/>
                <w:color w:val="000000"/>
                <w:sz w:val="18"/>
                <w:szCs w:val="18"/>
                <w:u w:val="none"/>
              </w:rPr>
            </w:pPr>
          </w:p>
        </w:tc>
        <w:tc>
          <w:tcPr>
            <w:tcW w:w="1509" w:type="dxa"/>
            <w:tcBorders>
              <w:top w:val="nil"/>
              <w:left w:val="nil"/>
              <w:bottom w:val="nil"/>
              <w:right w:val="nil"/>
            </w:tcBorders>
            <w:shd w:val="clear" w:color="auto" w:fill="auto"/>
            <w:vAlign w:val="center"/>
          </w:tcPr>
          <w:p w14:paraId="4951E04F">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6572C709">
            <w:pPr>
              <w:rPr>
                <w:rFonts w:hint="default" w:ascii="Times New Roman" w:hAnsi="Times New Roman" w:eastAsia="宋体" w:cs="Times New Roman"/>
                <w:i w:val="0"/>
                <w:iCs w:val="0"/>
                <w:color w:val="000000"/>
                <w:sz w:val="18"/>
                <w:szCs w:val="18"/>
                <w:u w:val="none"/>
              </w:rPr>
            </w:pPr>
          </w:p>
        </w:tc>
        <w:tc>
          <w:tcPr>
            <w:tcW w:w="982" w:type="dxa"/>
            <w:tcBorders>
              <w:top w:val="nil"/>
              <w:left w:val="nil"/>
              <w:bottom w:val="nil"/>
              <w:right w:val="nil"/>
            </w:tcBorders>
            <w:shd w:val="clear" w:color="auto" w:fill="auto"/>
            <w:vAlign w:val="center"/>
          </w:tcPr>
          <w:p w14:paraId="795882B8">
            <w:pPr>
              <w:rPr>
                <w:rFonts w:hint="default" w:ascii="Times New Roman" w:hAnsi="Times New Roman" w:eastAsia="宋体" w:cs="Times New Roman"/>
                <w:i w:val="0"/>
                <w:iCs w:val="0"/>
                <w:color w:val="000000"/>
                <w:sz w:val="18"/>
                <w:szCs w:val="18"/>
                <w:u w:val="none"/>
              </w:rPr>
            </w:pPr>
          </w:p>
        </w:tc>
        <w:tc>
          <w:tcPr>
            <w:tcW w:w="455" w:type="dxa"/>
            <w:tcBorders>
              <w:top w:val="nil"/>
              <w:left w:val="nil"/>
              <w:bottom w:val="nil"/>
              <w:right w:val="nil"/>
            </w:tcBorders>
            <w:shd w:val="clear" w:color="auto" w:fill="auto"/>
            <w:vAlign w:val="center"/>
          </w:tcPr>
          <w:p w14:paraId="40942DC0">
            <w:pPr>
              <w:rPr>
                <w:rFonts w:hint="default" w:ascii="Times New Roman" w:hAnsi="Times New Roman" w:eastAsia="宋体" w:cs="Times New Roman"/>
                <w:i w:val="0"/>
                <w:iCs w:val="0"/>
                <w:color w:val="000000"/>
                <w:sz w:val="18"/>
                <w:szCs w:val="18"/>
                <w:u w:val="none"/>
              </w:rPr>
            </w:pPr>
          </w:p>
        </w:tc>
        <w:tc>
          <w:tcPr>
            <w:tcW w:w="564" w:type="dxa"/>
            <w:tcBorders>
              <w:top w:val="nil"/>
              <w:left w:val="nil"/>
              <w:bottom w:val="nil"/>
              <w:right w:val="nil"/>
            </w:tcBorders>
            <w:shd w:val="clear" w:color="auto" w:fill="auto"/>
            <w:vAlign w:val="center"/>
          </w:tcPr>
          <w:p w14:paraId="0354E581">
            <w:pPr>
              <w:rPr>
                <w:rFonts w:hint="default" w:ascii="Times New Roman" w:hAnsi="Times New Roman" w:eastAsia="宋体" w:cs="Times New Roman"/>
                <w:i w:val="0"/>
                <w:iCs w:val="0"/>
                <w:color w:val="000000"/>
                <w:sz w:val="18"/>
                <w:szCs w:val="18"/>
                <w:u w:val="none"/>
              </w:rPr>
            </w:pPr>
          </w:p>
        </w:tc>
        <w:tc>
          <w:tcPr>
            <w:tcW w:w="2301" w:type="dxa"/>
            <w:tcBorders>
              <w:top w:val="nil"/>
              <w:left w:val="nil"/>
              <w:bottom w:val="nil"/>
              <w:right w:val="nil"/>
            </w:tcBorders>
            <w:shd w:val="clear" w:color="auto" w:fill="auto"/>
            <w:vAlign w:val="center"/>
          </w:tcPr>
          <w:p w14:paraId="6BDF9759">
            <w:pPr>
              <w:rPr>
                <w:rFonts w:hint="default" w:ascii="Times New Roman" w:hAnsi="Times New Roman" w:eastAsia="宋体" w:cs="Times New Roman"/>
                <w:i w:val="0"/>
                <w:iCs w:val="0"/>
                <w:color w:val="000000"/>
                <w:sz w:val="18"/>
                <w:szCs w:val="18"/>
                <w:u w:val="none"/>
              </w:rPr>
            </w:pPr>
          </w:p>
        </w:tc>
      </w:tr>
      <w:tr w14:paraId="50B0A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33543EA8">
            <w:pPr>
              <w:rPr>
                <w:rFonts w:hint="default" w:ascii="Times New Roman" w:hAnsi="Times New Roman" w:eastAsia="宋体" w:cs="Times New Roman"/>
                <w:i w:val="0"/>
                <w:iCs w:val="0"/>
                <w:color w:val="000000"/>
                <w:sz w:val="18"/>
                <w:szCs w:val="18"/>
                <w:u w:val="none"/>
              </w:rPr>
            </w:pPr>
          </w:p>
        </w:tc>
        <w:tc>
          <w:tcPr>
            <w:tcW w:w="1847" w:type="dxa"/>
            <w:tcBorders>
              <w:top w:val="nil"/>
              <w:left w:val="nil"/>
              <w:bottom w:val="nil"/>
              <w:right w:val="nil"/>
            </w:tcBorders>
            <w:shd w:val="clear" w:color="auto" w:fill="auto"/>
            <w:vAlign w:val="center"/>
          </w:tcPr>
          <w:p w14:paraId="3215CAE6">
            <w:pPr>
              <w:rPr>
                <w:rFonts w:hint="default" w:ascii="Times New Roman" w:hAnsi="Times New Roman" w:eastAsia="宋体" w:cs="Times New Roman"/>
                <w:i w:val="0"/>
                <w:iCs w:val="0"/>
                <w:color w:val="000000"/>
                <w:sz w:val="18"/>
                <w:szCs w:val="18"/>
                <w:u w:val="none"/>
              </w:rPr>
            </w:pPr>
          </w:p>
        </w:tc>
        <w:tc>
          <w:tcPr>
            <w:tcW w:w="1598" w:type="dxa"/>
            <w:tcBorders>
              <w:top w:val="nil"/>
              <w:left w:val="nil"/>
              <w:bottom w:val="nil"/>
              <w:right w:val="nil"/>
            </w:tcBorders>
            <w:shd w:val="clear" w:color="auto" w:fill="auto"/>
            <w:vAlign w:val="center"/>
          </w:tcPr>
          <w:p w14:paraId="49220215">
            <w:pPr>
              <w:rPr>
                <w:rFonts w:hint="default" w:ascii="Times New Roman" w:hAnsi="Times New Roman" w:eastAsia="宋体" w:cs="Times New Roman"/>
                <w:i w:val="0"/>
                <w:iCs w:val="0"/>
                <w:color w:val="000000"/>
                <w:sz w:val="18"/>
                <w:szCs w:val="18"/>
                <w:u w:val="none"/>
              </w:rPr>
            </w:pPr>
          </w:p>
        </w:tc>
        <w:tc>
          <w:tcPr>
            <w:tcW w:w="2038" w:type="dxa"/>
            <w:tcBorders>
              <w:top w:val="nil"/>
              <w:left w:val="nil"/>
              <w:bottom w:val="nil"/>
              <w:right w:val="nil"/>
            </w:tcBorders>
            <w:shd w:val="clear" w:color="auto" w:fill="auto"/>
            <w:vAlign w:val="center"/>
          </w:tcPr>
          <w:p w14:paraId="07EB1F11">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0F139C41">
            <w:pPr>
              <w:rPr>
                <w:rFonts w:hint="default" w:ascii="Times New Roman" w:hAnsi="Times New Roman" w:eastAsia="宋体" w:cs="Times New Roman"/>
                <w:i w:val="0"/>
                <w:iCs w:val="0"/>
                <w:color w:val="000000"/>
                <w:sz w:val="18"/>
                <w:szCs w:val="18"/>
                <w:u w:val="none"/>
              </w:rPr>
            </w:pPr>
          </w:p>
        </w:tc>
        <w:tc>
          <w:tcPr>
            <w:tcW w:w="1509" w:type="dxa"/>
            <w:tcBorders>
              <w:top w:val="nil"/>
              <w:left w:val="nil"/>
              <w:bottom w:val="nil"/>
              <w:right w:val="nil"/>
            </w:tcBorders>
            <w:shd w:val="clear" w:color="auto" w:fill="auto"/>
            <w:vAlign w:val="center"/>
          </w:tcPr>
          <w:p w14:paraId="026A3857">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1043362B">
            <w:pPr>
              <w:rPr>
                <w:rFonts w:hint="default" w:ascii="Times New Roman" w:hAnsi="Times New Roman" w:eastAsia="宋体" w:cs="Times New Roman"/>
                <w:i w:val="0"/>
                <w:iCs w:val="0"/>
                <w:color w:val="000000"/>
                <w:sz w:val="18"/>
                <w:szCs w:val="18"/>
                <w:u w:val="none"/>
              </w:rPr>
            </w:pPr>
          </w:p>
        </w:tc>
        <w:tc>
          <w:tcPr>
            <w:tcW w:w="982" w:type="dxa"/>
            <w:tcBorders>
              <w:top w:val="nil"/>
              <w:left w:val="nil"/>
              <w:bottom w:val="nil"/>
              <w:right w:val="nil"/>
            </w:tcBorders>
            <w:shd w:val="clear" w:color="auto" w:fill="auto"/>
            <w:vAlign w:val="center"/>
          </w:tcPr>
          <w:p w14:paraId="18F47468">
            <w:pPr>
              <w:rPr>
                <w:rFonts w:hint="default" w:ascii="Times New Roman" w:hAnsi="Times New Roman" w:eastAsia="宋体" w:cs="Times New Roman"/>
                <w:i w:val="0"/>
                <w:iCs w:val="0"/>
                <w:color w:val="000000"/>
                <w:sz w:val="18"/>
                <w:szCs w:val="18"/>
                <w:u w:val="none"/>
              </w:rPr>
            </w:pPr>
          </w:p>
        </w:tc>
        <w:tc>
          <w:tcPr>
            <w:tcW w:w="455" w:type="dxa"/>
            <w:tcBorders>
              <w:top w:val="nil"/>
              <w:left w:val="nil"/>
              <w:bottom w:val="nil"/>
              <w:right w:val="nil"/>
            </w:tcBorders>
            <w:shd w:val="clear" w:color="auto" w:fill="auto"/>
            <w:vAlign w:val="center"/>
          </w:tcPr>
          <w:p w14:paraId="54A24C89">
            <w:pPr>
              <w:rPr>
                <w:rFonts w:hint="default" w:ascii="Times New Roman" w:hAnsi="Times New Roman" w:eastAsia="宋体" w:cs="Times New Roman"/>
                <w:i w:val="0"/>
                <w:iCs w:val="0"/>
                <w:color w:val="000000"/>
                <w:sz w:val="18"/>
                <w:szCs w:val="18"/>
                <w:u w:val="none"/>
              </w:rPr>
            </w:pPr>
          </w:p>
        </w:tc>
        <w:tc>
          <w:tcPr>
            <w:tcW w:w="564" w:type="dxa"/>
            <w:tcBorders>
              <w:top w:val="nil"/>
              <w:left w:val="nil"/>
              <w:bottom w:val="nil"/>
              <w:right w:val="nil"/>
            </w:tcBorders>
            <w:shd w:val="clear" w:color="auto" w:fill="auto"/>
            <w:vAlign w:val="center"/>
          </w:tcPr>
          <w:p w14:paraId="3BD002F4">
            <w:pPr>
              <w:rPr>
                <w:rFonts w:hint="default" w:ascii="Times New Roman" w:hAnsi="Times New Roman" w:eastAsia="宋体" w:cs="Times New Roman"/>
                <w:i w:val="0"/>
                <w:iCs w:val="0"/>
                <w:color w:val="000000"/>
                <w:sz w:val="18"/>
                <w:szCs w:val="18"/>
                <w:u w:val="none"/>
              </w:rPr>
            </w:pPr>
          </w:p>
        </w:tc>
        <w:tc>
          <w:tcPr>
            <w:tcW w:w="2301" w:type="dxa"/>
            <w:tcBorders>
              <w:top w:val="nil"/>
              <w:left w:val="nil"/>
              <w:bottom w:val="nil"/>
              <w:right w:val="nil"/>
            </w:tcBorders>
            <w:shd w:val="clear" w:color="auto" w:fill="auto"/>
            <w:vAlign w:val="center"/>
          </w:tcPr>
          <w:p w14:paraId="24672268">
            <w:pPr>
              <w:rPr>
                <w:rFonts w:hint="default" w:ascii="Times New Roman" w:hAnsi="Times New Roman" w:eastAsia="宋体" w:cs="Times New Roman"/>
                <w:i w:val="0"/>
                <w:iCs w:val="0"/>
                <w:color w:val="000000"/>
                <w:sz w:val="18"/>
                <w:szCs w:val="18"/>
                <w:u w:val="none"/>
              </w:rPr>
            </w:pPr>
          </w:p>
        </w:tc>
      </w:tr>
      <w:tr w14:paraId="26BF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tcBorders>
              <w:top w:val="nil"/>
              <w:left w:val="nil"/>
              <w:bottom w:val="nil"/>
              <w:right w:val="nil"/>
            </w:tcBorders>
            <w:shd w:val="clear" w:color="auto" w:fill="auto"/>
            <w:vAlign w:val="center"/>
          </w:tcPr>
          <w:p w14:paraId="49B9DBED">
            <w:pPr>
              <w:rPr>
                <w:rFonts w:hint="default" w:ascii="Times New Roman" w:hAnsi="Times New Roman" w:eastAsia="宋体" w:cs="Times New Roman"/>
                <w:i w:val="0"/>
                <w:iCs w:val="0"/>
                <w:color w:val="000000"/>
                <w:sz w:val="18"/>
                <w:szCs w:val="18"/>
                <w:u w:val="none"/>
              </w:rPr>
            </w:pPr>
          </w:p>
        </w:tc>
        <w:tc>
          <w:tcPr>
            <w:tcW w:w="1847" w:type="dxa"/>
            <w:tcBorders>
              <w:top w:val="nil"/>
              <w:left w:val="nil"/>
              <w:bottom w:val="nil"/>
              <w:right w:val="nil"/>
            </w:tcBorders>
            <w:shd w:val="clear" w:color="auto" w:fill="auto"/>
            <w:vAlign w:val="center"/>
          </w:tcPr>
          <w:p w14:paraId="53824A45">
            <w:pPr>
              <w:rPr>
                <w:rFonts w:hint="default" w:ascii="Times New Roman" w:hAnsi="Times New Roman" w:eastAsia="宋体" w:cs="Times New Roman"/>
                <w:i w:val="0"/>
                <w:iCs w:val="0"/>
                <w:color w:val="000000"/>
                <w:sz w:val="18"/>
                <w:szCs w:val="18"/>
                <w:u w:val="none"/>
              </w:rPr>
            </w:pPr>
          </w:p>
        </w:tc>
        <w:tc>
          <w:tcPr>
            <w:tcW w:w="1598" w:type="dxa"/>
            <w:tcBorders>
              <w:top w:val="nil"/>
              <w:left w:val="nil"/>
              <w:bottom w:val="nil"/>
              <w:right w:val="nil"/>
            </w:tcBorders>
            <w:shd w:val="clear" w:color="auto" w:fill="auto"/>
            <w:vAlign w:val="center"/>
          </w:tcPr>
          <w:p w14:paraId="0FB422B0">
            <w:pPr>
              <w:rPr>
                <w:rFonts w:hint="default" w:ascii="Times New Roman" w:hAnsi="Times New Roman" w:eastAsia="宋体" w:cs="Times New Roman"/>
                <w:i w:val="0"/>
                <w:iCs w:val="0"/>
                <w:color w:val="000000"/>
                <w:sz w:val="18"/>
                <w:szCs w:val="18"/>
                <w:u w:val="none"/>
              </w:rPr>
            </w:pPr>
          </w:p>
        </w:tc>
        <w:tc>
          <w:tcPr>
            <w:tcW w:w="2038" w:type="dxa"/>
            <w:tcBorders>
              <w:top w:val="nil"/>
              <w:left w:val="nil"/>
              <w:bottom w:val="nil"/>
              <w:right w:val="nil"/>
            </w:tcBorders>
            <w:shd w:val="clear" w:color="auto" w:fill="auto"/>
            <w:vAlign w:val="center"/>
          </w:tcPr>
          <w:p w14:paraId="31232B0A">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264FD81B">
            <w:pPr>
              <w:rPr>
                <w:rFonts w:hint="default" w:ascii="Times New Roman" w:hAnsi="Times New Roman" w:eastAsia="宋体" w:cs="Times New Roman"/>
                <w:i w:val="0"/>
                <w:iCs w:val="0"/>
                <w:color w:val="000000"/>
                <w:sz w:val="18"/>
                <w:szCs w:val="18"/>
                <w:u w:val="none"/>
              </w:rPr>
            </w:pPr>
          </w:p>
        </w:tc>
        <w:tc>
          <w:tcPr>
            <w:tcW w:w="1509" w:type="dxa"/>
            <w:tcBorders>
              <w:top w:val="nil"/>
              <w:left w:val="nil"/>
              <w:bottom w:val="nil"/>
              <w:right w:val="nil"/>
            </w:tcBorders>
            <w:shd w:val="clear" w:color="auto" w:fill="auto"/>
            <w:vAlign w:val="center"/>
          </w:tcPr>
          <w:p w14:paraId="0F97B6BD">
            <w:pPr>
              <w:rPr>
                <w:rFonts w:hint="default" w:ascii="Times New Roman" w:hAnsi="Times New Roman" w:eastAsia="宋体" w:cs="Times New Roman"/>
                <w:i w:val="0"/>
                <w:iCs w:val="0"/>
                <w:color w:val="000000"/>
                <w:sz w:val="18"/>
                <w:szCs w:val="18"/>
                <w:u w:val="none"/>
              </w:rPr>
            </w:pPr>
          </w:p>
        </w:tc>
        <w:tc>
          <w:tcPr>
            <w:tcW w:w="469" w:type="dxa"/>
            <w:tcBorders>
              <w:top w:val="nil"/>
              <w:left w:val="nil"/>
              <w:bottom w:val="nil"/>
              <w:right w:val="nil"/>
            </w:tcBorders>
            <w:shd w:val="clear" w:color="auto" w:fill="auto"/>
            <w:vAlign w:val="center"/>
          </w:tcPr>
          <w:p w14:paraId="401CF455">
            <w:pPr>
              <w:rPr>
                <w:rFonts w:hint="default" w:ascii="Times New Roman" w:hAnsi="Times New Roman" w:eastAsia="宋体" w:cs="Times New Roman"/>
                <w:i w:val="0"/>
                <w:iCs w:val="0"/>
                <w:color w:val="000000"/>
                <w:sz w:val="18"/>
                <w:szCs w:val="18"/>
                <w:u w:val="none"/>
              </w:rPr>
            </w:pPr>
          </w:p>
        </w:tc>
        <w:tc>
          <w:tcPr>
            <w:tcW w:w="982" w:type="dxa"/>
            <w:tcBorders>
              <w:top w:val="nil"/>
              <w:left w:val="nil"/>
              <w:bottom w:val="nil"/>
              <w:right w:val="nil"/>
            </w:tcBorders>
            <w:shd w:val="clear" w:color="auto" w:fill="auto"/>
            <w:vAlign w:val="center"/>
          </w:tcPr>
          <w:p w14:paraId="77A0C17E">
            <w:pPr>
              <w:rPr>
                <w:rFonts w:hint="default" w:ascii="Times New Roman" w:hAnsi="Times New Roman" w:eastAsia="宋体" w:cs="Times New Roman"/>
                <w:i w:val="0"/>
                <w:iCs w:val="0"/>
                <w:color w:val="000000"/>
                <w:sz w:val="18"/>
                <w:szCs w:val="18"/>
                <w:u w:val="none"/>
              </w:rPr>
            </w:pPr>
          </w:p>
        </w:tc>
        <w:tc>
          <w:tcPr>
            <w:tcW w:w="455" w:type="dxa"/>
            <w:tcBorders>
              <w:top w:val="nil"/>
              <w:left w:val="nil"/>
              <w:bottom w:val="nil"/>
              <w:right w:val="nil"/>
            </w:tcBorders>
            <w:shd w:val="clear" w:color="auto" w:fill="auto"/>
            <w:vAlign w:val="center"/>
          </w:tcPr>
          <w:p w14:paraId="143C9494">
            <w:pPr>
              <w:rPr>
                <w:rFonts w:hint="default" w:ascii="Times New Roman" w:hAnsi="Times New Roman" w:eastAsia="宋体" w:cs="Times New Roman"/>
                <w:i w:val="0"/>
                <w:iCs w:val="0"/>
                <w:color w:val="000000"/>
                <w:sz w:val="18"/>
                <w:szCs w:val="18"/>
                <w:u w:val="none"/>
              </w:rPr>
            </w:pPr>
          </w:p>
        </w:tc>
        <w:tc>
          <w:tcPr>
            <w:tcW w:w="564" w:type="dxa"/>
            <w:tcBorders>
              <w:top w:val="nil"/>
              <w:left w:val="nil"/>
              <w:bottom w:val="nil"/>
              <w:right w:val="nil"/>
            </w:tcBorders>
            <w:shd w:val="clear" w:color="auto" w:fill="auto"/>
            <w:vAlign w:val="center"/>
          </w:tcPr>
          <w:p w14:paraId="606E65A4">
            <w:pPr>
              <w:rPr>
                <w:rFonts w:hint="default" w:ascii="Times New Roman" w:hAnsi="Times New Roman" w:eastAsia="宋体" w:cs="Times New Roman"/>
                <w:i w:val="0"/>
                <w:iCs w:val="0"/>
                <w:color w:val="000000"/>
                <w:sz w:val="18"/>
                <w:szCs w:val="18"/>
                <w:u w:val="none"/>
              </w:rPr>
            </w:pPr>
          </w:p>
        </w:tc>
        <w:tc>
          <w:tcPr>
            <w:tcW w:w="2301" w:type="dxa"/>
            <w:tcBorders>
              <w:top w:val="nil"/>
              <w:left w:val="nil"/>
              <w:bottom w:val="nil"/>
              <w:right w:val="nil"/>
            </w:tcBorders>
            <w:shd w:val="clear" w:color="auto" w:fill="auto"/>
            <w:vAlign w:val="center"/>
          </w:tcPr>
          <w:p w14:paraId="49F7827A">
            <w:pPr>
              <w:rPr>
                <w:rFonts w:hint="default" w:ascii="Times New Roman" w:hAnsi="Times New Roman" w:eastAsia="宋体" w:cs="Times New Roman"/>
                <w:i w:val="0"/>
                <w:iCs w:val="0"/>
                <w:color w:val="000000"/>
                <w:sz w:val="18"/>
                <w:szCs w:val="18"/>
                <w:u w:val="none"/>
              </w:rPr>
            </w:pPr>
          </w:p>
        </w:tc>
      </w:tr>
      <w:tr w14:paraId="10DE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8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6FCF166">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部门预算项目支出绩效自评表（2022年度）</w:t>
            </w:r>
          </w:p>
        </w:tc>
      </w:tr>
      <w:tr w14:paraId="306E7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AA3A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10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E1E4D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51041123T000007509601-维稳工作经费</w:t>
            </w:r>
          </w:p>
        </w:tc>
      </w:tr>
      <w:tr w14:paraId="3C8F2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8DAF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39B0C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攀枝花市仁和区信访局部门</w:t>
            </w:r>
          </w:p>
        </w:tc>
        <w:tc>
          <w:tcPr>
            <w:tcW w:w="982" w:type="dxa"/>
            <w:tcBorders>
              <w:top w:val="nil"/>
              <w:left w:val="nil"/>
              <w:bottom w:val="nil"/>
              <w:right w:val="nil"/>
            </w:tcBorders>
            <w:shd w:val="clear" w:color="auto" w:fill="auto"/>
            <w:vAlign w:val="center"/>
          </w:tcPr>
          <w:p w14:paraId="0031530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AB4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攀枝花市仁和区信访局</w:t>
            </w:r>
          </w:p>
        </w:tc>
      </w:tr>
      <w:tr w14:paraId="0310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56A6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441A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676F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BF2FE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43E01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B4D8B">
            <w:pPr>
              <w:rPr>
                <w:rFonts w:hint="default" w:ascii="Times New Roman" w:hAnsi="Times New Roman" w:eastAsia="宋体" w:cs="Times New Roman"/>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6772B">
            <w:pPr>
              <w:rPr>
                <w:rFonts w:hint="default" w:ascii="Times New Roman" w:hAnsi="Times New Roman" w:eastAsia="宋体" w:cs="Times New Roman"/>
                <w:i w:val="0"/>
                <w:iCs w:val="0"/>
                <w:color w:val="000000"/>
                <w:sz w:val="18"/>
                <w:szCs w:val="18"/>
                <w:u w:val="none"/>
              </w:rPr>
            </w:pP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389A4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完成2022年二十大期间的信访稳控工作。</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A5178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2022年基本完成年度目标</w:t>
            </w:r>
          </w:p>
        </w:tc>
      </w:tr>
      <w:tr w14:paraId="0CFB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E5185">
            <w:pP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CF1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103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559A5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已按要求完成2022年二十大期间的信访稳控工作，完成资金支付工作。</w:t>
            </w:r>
          </w:p>
        </w:tc>
      </w:tr>
      <w:tr w14:paraId="1CE4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395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FB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3A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A2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47D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CE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BA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96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EE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39B99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8A30A">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9D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0E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6A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14.98</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7AA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14.98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86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60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95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w:t>
            </w: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1E149">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default" w:ascii="Times New Roman" w:hAnsi="Times New Roman" w:eastAsia="黑体" w:cs="Times New Roman"/>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6B07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EC3E3">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CD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DB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44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14.98</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26F8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14.98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CC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9C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D9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EB643">
            <w:pPr>
              <w:rPr>
                <w:rFonts w:hint="default" w:ascii="Times New Roman" w:hAnsi="Times New Roman" w:eastAsia="黑体" w:cs="Times New Roman"/>
                <w:i/>
                <w:iCs/>
                <w:color w:val="000000"/>
                <w:sz w:val="18"/>
                <w:szCs w:val="18"/>
                <w:u w:val="none"/>
              </w:rPr>
            </w:pPr>
          </w:p>
        </w:tc>
      </w:tr>
      <w:tr w14:paraId="59CB5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6A4FC">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A8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BC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1E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F6A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D7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92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8F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C33DF">
            <w:pPr>
              <w:rPr>
                <w:rFonts w:hint="default" w:ascii="Times New Roman" w:hAnsi="Times New Roman" w:eastAsia="黑体" w:cs="Times New Roman"/>
                <w:i/>
                <w:iCs/>
                <w:color w:val="000000"/>
                <w:sz w:val="18"/>
                <w:szCs w:val="18"/>
                <w:u w:val="none"/>
              </w:rPr>
            </w:pPr>
          </w:p>
        </w:tc>
      </w:tr>
      <w:tr w14:paraId="716B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BB67D">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64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D2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BB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D6D6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05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91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7A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F811A">
            <w:pPr>
              <w:rPr>
                <w:rFonts w:hint="default" w:ascii="Times New Roman" w:hAnsi="Times New Roman" w:eastAsia="黑体" w:cs="Times New Roman"/>
                <w:i/>
                <w:iCs/>
                <w:color w:val="000000"/>
                <w:sz w:val="18"/>
                <w:szCs w:val="18"/>
                <w:u w:val="none"/>
              </w:rPr>
            </w:pPr>
          </w:p>
        </w:tc>
      </w:tr>
      <w:tr w14:paraId="31DE0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B64F5">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53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9548">
            <w:pPr>
              <w:jc w:val="center"/>
              <w:rPr>
                <w:rFonts w:hint="default" w:ascii="Times New Roman" w:hAnsi="Times New Roman" w:eastAsia="微软雅黑" w:cs="Times New Roman"/>
                <w:i/>
                <w:iCs/>
                <w:color w:val="000000"/>
                <w:sz w:val="16"/>
                <w:szCs w:val="16"/>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DDB0">
            <w:pPr>
              <w:jc w:val="center"/>
              <w:rPr>
                <w:rFonts w:hint="default" w:ascii="Times New Roman" w:hAnsi="Times New Roman" w:eastAsia="微软雅黑" w:cs="Times New Roman"/>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B4292">
            <w:pPr>
              <w:jc w:val="center"/>
              <w:rPr>
                <w:rFonts w:hint="default" w:ascii="Times New Roman" w:hAnsi="Times New Roman" w:eastAsia="微软雅黑" w:cs="Times New Roman"/>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1796">
            <w:pPr>
              <w:jc w:val="center"/>
              <w:rPr>
                <w:rFonts w:hint="default" w:ascii="Times New Roman" w:hAnsi="Times New Roman" w:eastAsia="微软雅黑" w:cs="Times New Roman"/>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EE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2D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9F57C">
            <w:pPr>
              <w:rPr>
                <w:rFonts w:hint="default" w:ascii="Times New Roman" w:hAnsi="Times New Roman" w:eastAsia="黑体" w:cs="Times New Roman"/>
                <w:i/>
                <w:iCs/>
                <w:color w:val="000000"/>
                <w:sz w:val="18"/>
                <w:szCs w:val="18"/>
                <w:u w:val="none"/>
              </w:rPr>
            </w:pPr>
          </w:p>
        </w:tc>
      </w:tr>
      <w:tr w14:paraId="77063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C86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5A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DF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89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C2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0D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04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D1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C3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EF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3F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00353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11D63">
            <w:pPr>
              <w:jc w:val="center"/>
              <w:rPr>
                <w:rFonts w:hint="default" w:ascii="Times New Roman" w:hAnsi="Times New Roman" w:eastAsia="宋体" w:cs="Times New Roman"/>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6267">
            <w:pPr>
              <w:jc w:val="center"/>
              <w:rPr>
                <w:rFonts w:hint="default" w:ascii="Times New Roman" w:hAnsi="Times New Roman" w:eastAsia="宋体" w:cs="Times New Roman"/>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796E">
            <w:pPr>
              <w:jc w:val="center"/>
              <w:rPr>
                <w:rFonts w:hint="default" w:ascii="Times New Roman" w:hAnsi="Times New Roman" w:eastAsia="宋体" w:cs="Times New Roman"/>
                <w:i w:val="0"/>
                <w:iCs w:val="0"/>
                <w:color w:val="000000"/>
                <w:sz w:val="18"/>
                <w:szCs w:val="18"/>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14AD">
            <w:pPr>
              <w:jc w:val="center"/>
              <w:rPr>
                <w:rFonts w:hint="default" w:ascii="Times New Roman" w:hAnsi="Times New Roman" w:eastAsia="宋体" w:cs="Times New Roman"/>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62F6">
            <w:pPr>
              <w:jc w:val="center"/>
              <w:rPr>
                <w:rFonts w:hint="default" w:ascii="Times New Roman" w:hAnsi="Times New Roman" w:eastAsia="宋体" w:cs="Times New Roman"/>
                <w:i w:val="0"/>
                <w:iCs w:val="0"/>
                <w:color w:val="000000"/>
                <w:sz w:val="18"/>
                <w:szCs w:val="18"/>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0E80">
            <w:pPr>
              <w:jc w:val="center"/>
              <w:rPr>
                <w:rFonts w:hint="default" w:ascii="Times New Roman" w:hAnsi="Times New Roman" w:eastAsia="宋体" w:cs="Times New Roman"/>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83ED">
            <w:pPr>
              <w:jc w:val="center"/>
              <w:rPr>
                <w:rFonts w:hint="default" w:ascii="Times New Roman" w:hAnsi="Times New Roman" w:eastAsia="宋体" w:cs="Times New Roman"/>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FE7B">
            <w:pPr>
              <w:jc w:val="center"/>
              <w:rPr>
                <w:rFonts w:hint="default" w:ascii="Times New Roman" w:hAnsi="Times New Roman" w:eastAsia="微软雅黑" w:cs="Times New Roman"/>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BD22">
            <w:pPr>
              <w:jc w:val="center"/>
              <w:rPr>
                <w:rFonts w:hint="default" w:ascii="Times New Roman" w:hAnsi="Times New Roman" w:eastAsia="宋体" w:cs="Times New Roman"/>
                <w:i w:val="0"/>
                <w:iCs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D15C">
            <w:pPr>
              <w:jc w:val="center"/>
              <w:rPr>
                <w:rFonts w:hint="default" w:ascii="Times New Roman" w:hAnsi="Times New Roman" w:eastAsia="宋体" w:cs="Times New Roman"/>
                <w:i w:val="0"/>
                <w:iCs w:val="0"/>
                <w:color w:val="000000"/>
                <w:sz w:val="18"/>
                <w:szCs w:val="18"/>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9189">
            <w:pPr>
              <w:jc w:val="center"/>
              <w:rPr>
                <w:rFonts w:hint="default" w:ascii="Times New Roman" w:hAnsi="Times New Roman" w:eastAsia="微软雅黑" w:cs="Times New Roman"/>
                <w:i/>
                <w:iCs/>
                <w:color w:val="000000"/>
                <w:sz w:val="16"/>
                <w:szCs w:val="16"/>
                <w:u w:val="none"/>
              </w:rPr>
            </w:pPr>
          </w:p>
        </w:tc>
      </w:tr>
      <w:tr w14:paraId="32904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5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05BDA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54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9C0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B8ED">
            <w:pPr>
              <w:rPr>
                <w:rFonts w:hint="default" w:ascii="Times New Roman" w:hAnsi="Times New Roman" w:eastAsia="宋体" w:cs="Times New Roman"/>
                <w:i w:val="0"/>
                <w:iCs w:val="0"/>
                <w:color w:val="000000"/>
                <w:sz w:val="18"/>
                <w:szCs w:val="18"/>
                <w:u w:val="none"/>
              </w:rPr>
            </w:pPr>
          </w:p>
        </w:tc>
      </w:tr>
      <w:tr w14:paraId="50828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57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768566">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本项目2022年度绩效评价优，已按要求完成资金支付金额</w:t>
            </w:r>
          </w:p>
        </w:tc>
      </w:tr>
      <w:tr w14:paraId="19A71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3F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B053BB">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14:paraId="733E1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76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22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0BCB09">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14:paraId="678F3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67701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c>
          <w:tcPr>
            <w:tcW w:w="6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06A50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r>
    </w:tbl>
    <w:p w14:paraId="5ED4140D">
      <w:pPr>
        <w:pStyle w:val="2"/>
        <w:rPr>
          <w:rFonts w:hint="default" w:ascii="Times New Roman" w:hAnsi="Times New Roman" w:cs="Times New Roman"/>
          <w:color w:val="auto"/>
          <w:kern w:val="0"/>
          <w:sz w:val="32"/>
          <w:szCs w:val="32"/>
          <w:highlight w:val="none"/>
          <w:shd w:val="clear" w:color="auto" w:fill="FFFFFF"/>
          <w:lang w:val="zh-CN"/>
        </w:rPr>
        <w:sectPr>
          <w:pgSz w:w="16838" w:h="11906" w:orient="landscape"/>
          <w:pgMar w:top="1803" w:right="1440" w:bottom="1803" w:left="1440" w:header="851" w:footer="992" w:gutter="0"/>
          <w:pgNumType w:start="1"/>
          <w:cols w:space="0" w:num="1"/>
          <w:titlePg/>
          <w:rtlGutter w:val="0"/>
          <w:docGrid w:type="lines" w:linePitch="319" w:charSpace="0"/>
        </w:sectPr>
      </w:pPr>
    </w:p>
    <w:p w14:paraId="684663CA">
      <w:pPr>
        <w:pStyle w:val="2"/>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kern w:val="0"/>
          <w:sz w:val="32"/>
          <w:szCs w:val="32"/>
          <w:highlight w:val="none"/>
          <w:shd w:val="clear" w:color="auto" w:fill="FFFFFF"/>
          <w:lang w:val="zh-CN"/>
        </w:rPr>
        <w:t>附件</w:t>
      </w:r>
      <w:r>
        <w:rPr>
          <w:rFonts w:hint="default" w:ascii="Times New Roman" w:hAnsi="Times New Roman" w:cs="Times New Roman"/>
          <w:color w:val="auto"/>
          <w:kern w:val="0"/>
          <w:sz w:val="32"/>
          <w:szCs w:val="32"/>
          <w:highlight w:val="none"/>
          <w:shd w:val="clear" w:color="auto" w:fill="FFFFFF"/>
          <w:lang w:val="en-US" w:eastAsia="zh-CN"/>
        </w:rPr>
        <w:t>2</w:t>
      </w:r>
    </w:p>
    <w:p w14:paraId="1F3CF402">
      <w:pPr>
        <w:pStyle w:val="34"/>
        <w:keepNext w:val="0"/>
        <w:keepLines w:val="0"/>
        <w:pageBreakBefore w:val="0"/>
        <w:widowControl w:val="0"/>
        <w:kinsoku/>
        <w:wordWrap/>
        <w:overflowPunct/>
        <w:topLinePunct w:val="0"/>
        <w:autoSpaceDE/>
        <w:autoSpaceDN/>
        <w:bidi w:val="0"/>
        <w:spacing w:line="578" w:lineRule="exact"/>
        <w:jc w:val="center"/>
        <w:textAlignment w:val="auto"/>
        <w:rPr>
          <w:rFonts w:hint="default" w:ascii="Times New Roman" w:hAnsi="Times New Roman" w:eastAsia="方正小标宋简体" w:cs="Times New Roman"/>
          <w:color w:val="auto"/>
          <w:kern w:val="2"/>
          <w:sz w:val="32"/>
          <w:szCs w:val="32"/>
          <w:highlight w:val="none"/>
          <w:lang w:val="en-US" w:eastAsia="zh-CN"/>
        </w:rPr>
      </w:pPr>
      <w:r>
        <w:rPr>
          <w:rFonts w:hint="default" w:ascii="Times New Roman" w:hAnsi="Times New Roman" w:eastAsia="方正小标宋简体" w:cs="Times New Roman"/>
          <w:color w:val="auto"/>
          <w:kern w:val="2"/>
          <w:sz w:val="32"/>
          <w:szCs w:val="32"/>
          <w:highlight w:val="none"/>
          <w:lang w:val="en-US" w:eastAsia="zh-CN"/>
        </w:rPr>
        <w:t>2022年区级专项资金预算项目绩效自评报告</w:t>
      </w:r>
    </w:p>
    <w:p w14:paraId="437E0DD5">
      <w:pPr>
        <w:pStyle w:val="8"/>
        <w:spacing w:line="600" w:lineRule="exact"/>
        <w:ind w:firstLine="560" w:firstLineChars="200"/>
        <w:jc w:val="both"/>
        <w:rPr>
          <w:rFonts w:hint="default" w:ascii="Times New Roman" w:hAnsi="Times New Roman" w:eastAsia="方正小标宋简体" w:cs="Times New Roman"/>
          <w:color w:val="auto"/>
          <w:kern w:val="2"/>
          <w:sz w:val="28"/>
          <w:szCs w:val="28"/>
          <w:highlight w:val="none"/>
          <w:lang w:val="en-US" w:eastAsia="zh-CN"/>
        </w:rPr>
      </w:pPr>
      <w:r>
        <w:rPr>
          <w:rFonts w:hint="default" w:ascii="Times New Roman" w:hAnsi="Times New Roman" w:eastAsia="方正小标宋简体" w:cs="Times New Roman"/>
          <w:color w:val="auto"/>
          <w:kern w:val="2"/>
          <w:sz w:val="28"/>
          <w:szCs w:val="28"/>
          <w:highlight w:val="none"/>
          <w:lang w:val="en-US" w:eastAsia="zh-CN"/>
        </w:rPr>
        <w:t>（</w:t>
      </w:r>
      <w:r>
        <w:rPr>
          <w:rFonts w:hint="default" w:ascii="Times New Roman" w:hAnsi="Times New Roman" w:eastAsia="方正小标宋_GBK" w:cs="Times New Roman"/>
          <w:sz w:val="28"/>
          <w:szCs w:val="28"/>
        </w:rPr>
        <w:t>仁和区矛盾纠纷排查化解、维稳、信访事项专项经费</w:t>
      </w:r>
      <w:r>
        <w:rPr>
          <w:rFonts w:hint="default" w:ascii="Times New Roman" w:hAnsi="Times New Roman" w:eastAsia="方正小标宋简体" w:cs="Times New Roman"/>
          <w:color w:val="auto"/>
          <w:kern w:val="2"/>
          <w:sz w:val="28"/>
          <w:szCs w:val="28"/>
          <w:highlight w:val="none"/>
          <w:lang w:val="en-US" w:eastAsia="zh-CN"/>
        </w:rPr>
        <w:t>）</w:t>
      </w:r>
    </w:p>
    <w:p w14:paraId="04B3565A">
      <w:pPr>
        <w:pStyle w:val="34"/>
        <w:keepNext w:val="0"/>
        <w:keepLines w:val="0"/>
        <w:pageBreakBefore w:val="0"/>
        <w:widowControl w:val="0"/>
        <w:kinsoku/>
        <w:wordWrap/>
        <w:overflowPunct/>
        <w:topLinePunct w:val="0"/>
        <w:autoSpaceDE/>
        <w:autoSpaceDN/>
        <w:bidi w:val="0"/>
        <w:spacing w:line="578" w:lineRule="exact"/>
        <w:ind w:firstLine="640"/>
        <w:jc w:val="center"/>
        <w:textAlignment w:val="auto"/>
        <w:rPr>
          <w:rFonts w:hint="default" w:ascii="Times New Roman" w:hAnsi="Times New Roman" w:cs="Times New Roman"/>
          <w:color w:val="auto"/>
          <w:kern w:val="2"/>
          <w:sz w:val="28"/>
          <w:szCs w:val="28"/>
          <w:highlight w:val="none"/>
        </w:rPr>
      </w:pPr>
    </w:p>
    <w:p w14:paraId="622A6265">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黑体" w:cs="Times New Roman"/>
          <w:color w:val="auto"/>
          <w:sz w:val="32"/>
          <w:szCs w:val="32"/>
          <w:highlight w:val="none"/>
          <w:lang w:val="zh-CN"/>
        </w:rPr>
      </w:pPr>
      <w:r>
        <w:rPr>
          <w:rFonts w:hint="default" w:ascii="Times New Roman" w:hAnsi="Times New Roman" w:eastAsia="黑体" w:cs="Times New Roman"/>
          <w:color w:val="auto"/>
          <w:sz w:val="32"/>
          <w:szCs w:val="32"/>
          <w:highlight w:val="none"/>
        </w:rPr>
        <w:t>一、</w:t>
      </w:r>
      <w:r>
        <w:rPr>
          <w:rFonts w:hint="default" w:ascii="Times New Roman" w:hAnsi="Times New Roman" w:eastAsia="黑体" w:cs="Times New Roman"/>
          <w:color w:val="auto"/>
          <w:sz w:val="32"/>
          <w:szCs w:val="32"/>
          <w:highlight w:val="none"/>
          <w:lang w:val="zh-CN"/>
        </w:rPr>
        <w:t>项目概况</w:t>
      </w:r>
    </w:p>
    <w:p w14:paraId="1B22ADCC">
      <w:pPr>
        <w:keepNext w:val="0"/>
        <w:keepLines w:val="0"/>
        <w:pageBreakBefore w:val="0"/>
        <w:kinsoku/>
        <w:wordWrap/>
        <w:overflowPunct/>
        <w:topLinePunct w:val="0"/>
        <w:autoSpaceDE/>
        <w:autoSpaceDN/>
        <w:bidi w:val="0"/>
        <w:adjustRightInd/>
        <w:snapToGrid/>
        <w:spacing w:line="240" w:lineRule="auto"/>
        <w:ind w:left="0" w:firstLine="643" w:firstLineChars="200"/>
        <w:jc w:val="both"/>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（一）项目基本情况。</w:t>
      </w:r>
    </w:p>
    <w:p w14:paraId="337E45A9">
      <w:pPr>
        <w:keepNext w:val="0"/>
        <w:keepLines w:val="0"/>
        <w:pageBreakBefore w:val="0"/>
        <w:kinsoku/>
        <w:wordWrap/>
        <w:overflowPunct/>
        <w:topLinePunct w:val="0"/>
        <w:autoSpaceDE w:val="0"/>
        <w:autoSpaceDN w:val="0"/>
        <w:bidi w:val="0"/>
        <w:adjustRightInd/>
        <w:snapToGrid/>
        <w:spacing w:line="240" w:lineRule="auto"/>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1.仁和区信访局在该项目管理中的职能。</w:t>
      </w:r>
    </w:p>
    <w:p w14:paraId="08C90253">
      <w:pPr>
        <w:keepNext w:val="0"/>
        <w:keepLines w:val="0"/>
        <w:pageBreakBefore w:val="0"/>
        <w:kinsoku/>
        <w:wordWrap/>
        <w:overflowPunct/>
        <w:topLinePunct w:val="0"/>
        <w:bidi w:val="0"/>
        <w:adjustRightInd/>
        <w:snapToGrid/>
        <w:spacing w:line="240" w:lineRule="auto"/>
        <w:ind w:lef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bidi="ar"/>
        </w:rPr>
        <w:t>（1）贯彻落实党中央关于信访工作的方针政策和省委、市委、区委的决策部署，在履行职责过程中坚持和加强党对信访工作的集中统一领导。起草有关信访工作的规范性文件；</w:t>
      </w:r>
      <w:bookmarkStart w:id="55" w:name="_Hlk102812795"/>
      <w:r>
        <w:rPr>
          <w:rFonts w:hint="default" w:ascii="Times New Roman" w:hAnsi="Times New Roman" w:eastAsia="方正仿宋_GBK" w:cs="Times New Roman"/>
          <w:sz w:val="33"/>
          <w:szCs w:val="33"/>
          <w:lang w:bidi="ar"/>
        </w:rPr>
        <w:t>制定信访问题排查、对重大疑难信访事项、无责任主体的信访事项进行调处化解。</w:t>
      </w:r>
    </w:p>
    <w:p w14:paraId="2CEB8189">
      <w:pPr>
        <w:keepNext w:val="0"/>
        <w:keepLines w:val="0"/>
        <w:pageBreakBefore w:val="0"/>
        <w:kinsoku/>
        <w:wordWrap/>
        <w:overflowPunct/>
        <w:topLinePunct w:val="0"/>
        <w:bidi w:val="0"/>
        <w:adjustRightInd/>
        <w:snapToGrid/>
        <w:spacing w:line="240" w:lineRule="auto"/>
        <w:ind w:lef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bidi="ar"/>
        </w:rPr>
        <w:t>（2）完成</w:t>
      </w:r>
      <w:bookmarkStart w:id="56" w:name="_Hlk102812436"/>
      <w:r>
        <w:rPr>
          <w:rFonts w:hint="default" w:ascii="Times New Roman" w:hAnsi="Times New Roman" w:eastAsia="方正仿宋_GBK" w:cs="Times New Roman"/>
          <w:sz w:val="33"/>
          <w:szCs w:val="33"/>
          <w:lang w:bidi="ar"/>
        </w:rPr>
        <w:t>上级部门安排的进京赴蓉值班值守工作，及时处置群众突发信访事项的劝访接访工作</w:t>
      </w:r>
      <w:bookmarkEnd w:id="56"/>
      <w:r>
        <w:rPr>
          <w:rFonts w:hint="default" w:ascii="Times New Roman" w:hAnsi="Times New Roman" w:eastAsia="方正仿宋_GBK" w:cs="Times New Roman"/>
          <w:sz w:val="33"/>
          <w:szCs w:val="33"/>
          <w:lang w:bidi="ar"/>
        </w:rPr>
        <w:t>。承担协调处理群众进京赴省到市、区集体上访和非接待场所上访的责任，</w:t>
      </w:r>
      <w:bookmarkStart w:id="57" w:name="_Hlk102812470"/>
      <w:r>
        <w:rPr>
          <w:rFonts w:hint="default" w:ascii="Times New Roman" w:hAnsi="Times New Roman" w:eastAsia="方正仿宋_GBK" w:cs="Times New Roman"/>
          <w:sz w:val="33"/>
          <w:szCs w:val="33"/>
          <w:lang w:bidi="ar"/>
        </w:rPr>
        <w:t>综合协调处理跨地区、跨部门的重要信访问题</w:t>
      </w:r>
      <w:bookmarkEnd w:id="57"/>
      <w:r>
        <w:rPr>
          <w:rFonts w:hint="default" w:ascii="Times New Roman" w:hAnsi="Times New Roman" w:eastAsia="方正仿宋_GBK" w:cs="Times New Roman"/>
          <w:sz w:val="33"/>
          <w:szCs w:val="33"/>
          <w:lang w:bidi="ar"/>
        </w:rPr>
        <w:t>。</w:t>
      </w:r>
    </w:p>
    <w:p w14:paraId="6D2A5EFE">
      <w:pPr>
        <w:keepNext w:val="0"/>
        <w:keepLines w:val="0"/>
        <w:pageBreakBefore w:val="0"/>
        <w:kinsoku/>
        <w:wordWrap/>
        <w:overflowPunct/>
        <w:topLinePunct w:val="0"/>
        <w:bidi w:val="0"/>
        <w:adjustRightInd/>
        <w:snapToGrid/>
        <w:spacing w:line="240" w:lineRule="auto"/>
        <w:ind w:left="0" w:firstLine="660" w:firstLineChars="200"/>
        <w:jc w:val="both"/>
        <w:textAlignment w:val="auto"/>
        <w:rPr>
          <w:rFonts w:hint="default" w:ascii="Times New Roman" w:hAnsi="Times New Roman" w:eastAsia="方正仿宋_GBK" w:cs="Times New Roman"/>
          <w:sz w:val="33"/>
          <w:szCs w:val="33"/>
          <w:lang w:bidi="ar"/>
        </w:rPr>
      </w:pPr>
      <w:r>
        <w:rPr>
          <w:rFonts w:hint="default" w:ascii="Times New Roman" w:hAnsi="Times New Roman" w:eastAsia="方正仿宋_GBK" w:cs="Times New Roman"/>
          <w:sz w:val="33"/>
          <w:szCs w:val="33"/>
          <w:lang w:bidi="ar"/>
        </w:rPr>
        <w:t>（3）</w:t>
      </w:r>
      <w:bookmarkStart w:id="58" w:name="_Hlk102812512"/>
      <w:r>
        <w:rPr>
          <w:rFonts w:hint="default" w:ascii="Times New Roman" w:hAnsi="Times New Roman" w:eastAsia="方正仿宋_GBK" w:cs="Times New Roman"/>
          <w:sz w:val="33"/>
          <w:szCs w:val="33"/>
          <w:lang w:bidi="ar"/>
        </w:rPr>
        <w:t>聘请法律顾问，完成来访群众法律咨询工作。</w:t>
      </w:r>
    </w:p>
    <w:p w14:paraId="3723FD0E">
      <w:pPr>
        <w:keepNext w:val="0"/>
        <w:keepLines w:val="0"/>
        <w:pageBreakBefore w:val="0"/>
        <w:kinsoku/>
        <w:wordWrap/>
        <w:overflowPunct/>
        <w:topLinePunct w:val="0"/>
        <w:bidi w:val="0"/>
        <w:adjustRightInd/>
        <w:snapToGrid/>
        <w:spacing w:line="240" w:lineRule="auto"/>
        <w:ind w:lef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bidi="ar"/>
        </w:rPr>
        <w:t>（4）聘请物业公司人员，完成来访接访群众公共区域的卫生清扫工作。</w:t>
      </w:r>
    </w:p>
    <w:bookmarkEnd w:id="58"/>
    <w:p w14:paraId="5CC30E64">
      <w:pPr>
        <w:keepNext w:val="0"/>
        <w:keepLines w:val="0"/>
        <w:pageBreakBefore w:val="0"/>
        <w:kinsoku/>
        <w:wordWrap/>
        <w:overflowPunct/>
        <w:topLinePunct w:val="0"/>
        <w:bidi w:val="0"/>
        <w:adjustRightInd/>
        <w:snapToGrid/>
        <w:spacing w:line="240" w:lineRule="auto"/>
        <w:ind w:left="0" w:firstLine="660" w:firstLineChars="200"/>
        <w:jc w:val="both"/>
        <w:textAlignment w:val="auto"/>
        <w:rPr>
          <w:rFonts w:hint="default" w:ascii="Times New Roman" w:hAnsi="Times New Roman" w:eastAsia="方正仿宋_GBK" w:cs="Times New Roman"/>
          <w:sz w:val="33"/>
          <w:szCs w:val="33"/>
          <w:lang w:bidi="ar"/>
        </w:rPr>
      </w:pPr>
      <w:r>
        <w:rPr>
          <w:rFonts w:hint="default" w:ascii="Times New Roman" w:hAnsi="Times New Roman" w:eastAsia="方正仿宋_GBK" w:cs="Times New Roman"/>
          <w:sz w:val="33"/>
          <w:szCs w:val="33"/>
          <w:lang w:bidi="ar"/>
        </w:rPr>
        <w:t>（5）</w:t>
      </w:r>
      <w:bookmarkStart w:id="59" w:name="_Hlk102812634"/>
      <w:r>
        <w:rPr>
          <w:rFonts w:hint="default" w:ascii="Times New Roman" w:hAnsi="Times New Roman" w:eastAsia="方正仿宋_GBK" w:cs="Times New Roman"/>
          <w:sz w:val="33"/>
          <w:szCs w:val="33"/>
          <w:lang w:bidi="ar"/>
        </w:rPr>
        <w:t>接入网络专线，完成视频接访、视频会议、网上信访投诉受理办理等</w:t>
      </w:r>
      <w:bookmarkEnd w:id="59"/>
      <w:r>
        <w:rPr>
          <w:rFonts w:hint="default" w:ascii="Times New Roman" w:hAnsi="Times New Roman" w:eastAsia="方正仿宋_GBK" w:cs="Times New Roman"/>
          <w:sz w:val="33"/>
          <w:szCs w:val="33"/>
          <w:lang w:bidi="ar"/>
        </w:rPr>
        <w:t>相关工作。</w:t>
      </w:r>
      <w:bookmarkEnd w:id="55"/>
    </w:p>
    <w:p w14:paraId="0C7A0E2A">
      <w:pPr>
        <w:keepNext w:val="0"/>
        <w:keepLines w:val="0"/>
        <w:pageBreakBefore w:val="0"/>
        <w:kinsoku/>
        <w:wordWrap/>
        <w:overflowPunct/>
        <w:topLinePunct w:val="0"/>
        <w:bidi w:val="0"/>
        <w:adjustRightInd/>
        <w:snapToGrid/>
        <w:spacing w:line="240" w:lineRule="auto"/>
        <w:ind w:left="0" w:firstLine="660" w:firstLineChars="200"/>
        <w:jc w:val="both"/>
        <w:textAlignment w:val="auto"/>
        <w:rPr>
          <w:rFonts w:hint="default" w:ascii="Times New Roman" w:hAnsi="Times New Roman" w:eastAsia="方正仿宋_GBK" w:cs="Times New Roman"/>
          <w:sz w:val="33"/>
          <w:szCs w:val="33"/>
          <w:lang w:bidi="ar"/>
        </w:rPr>
      </w:pPr>
      <w:r>
        <w:rPr>
          <w:rFonts w:hint="default" w:ascii="Times New Roman" w:hAnsi="Times New Roman" w:eastAsia="方正仿宋_GBK" w:cs="Times New Roman"/>
          <w:sz w:val="33"/>
          <w:szCs w:val="33"/>
          <w:lang w:bidi="ar"/>
        </w:rPr>
        <w:t>（6）完成区委、区政府交办的其他任务。</w:t>
      </w:r>
    </w:p>
    <w:p w14:paraId="59617AEE">
      <w:pPr>
        <w:keepNext w:val="0"/>
        <w:keepLines w:val="0"/>
        <w:pageBreakBefore w:val="0"/>
        <w:kinsoku/>
        <w:wordWrap/>
        <w:overflowPunct/>
        <w:topLinePunct w:val="0"/>
        <w:autoSpaceDE w:val="0"/>
        <w:autoSpaceDN w:val="0"/>
        <w:bidi w:val="0"/>
        <w:adjustRightInd/>
        <w:snapToGrid/>
        <w:spacing w:line="240" w:lineRule="auto"/>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2.项目立项、资金申报的依据。</w:t>
      </w:r>
    </w:p>
    <w:p w14:paraId="64D0ED21">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方正仿宋_GBK" w:cs="Times New Roman"/>
          <w:sz w:val="33"/>
          <w:szCs w:val="33"/>
          <w:lang w:val="zh-CN" w:bidi="ar"/>
        </w:rPr>
      </w:pPr>
      <w:r>
        <w:rPr>
          <w:rFonts w:hint="default" w:ascii="Times New Roman" w:hAnsi="Times New Roman" w:eastAsia="仿宋_GB2312" w:cs="Times New Roman"/>
          <w:sz w:val="32"/>
          <w:szCs w:val="32"/>
        </w:rPr>
        <w:t>根据《攀枝花市信访工作联席会议办公室关于</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年驻京</w:t>
      </w:r>
      <w:r>
        <w:rPr>
          <w:rFonts w:hint="default" w:ascii="Times New Roman" w:hAnsi="Times New Roman" w:eastAsia="仿宋_GB2312" w:cs="Times New Roman"/>
          <w:sz w:val="32"/>
          <w:szCs w:val="32"/>
          <w:lang w:eastAsia="zh-CN"/>
        </w:rPr>
        <w:t>信访值班工作</w:t>
      </w:r>
      <w:r>
        <w:rPr>
          <w:rFonts w:hint="default" w:ascii="Times New Roman" w:hAnsi="Times New Roman" w:eastAsia="仿宋_GB2312" w:cs="Times New Roman"/>
          <w:sz w:val="32"/>
          <w:szCs w:val="32"/>
        </w:rPr>
        <w:t>的通知》（攀信联办〔202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号，每年都要求信访干部赴北京值班）、《攀枝花市信访工作联席会议办公室关于</w:t>
      </w:r>
      <w:r>
        <w:rPr>
          <w:rFonts w:hint="default" w:ascii="Times New Roman" w:hAnsi="Times New Roman" w:eastAsia="仿宋_GB2312" w:cs="Times New Roman"/>
          <w:sz w:val="32"/>
          <w:szCs w:val="32"/>
          <w:lang w:eastAsia="zh-CN"/>
        </w:rPr>
        <w:t>选派人员到省委省政府人民来访接待室参与服务保障工作的通知</w:t>
      </w:r>
      <w:r>
        <w:rPr>
          <w:rFonts w:hint="default" w:ascii="Times New Roman" w:hAnsi="Times New Roman" w:eastAsia="仿宋_GB2312" w:cs="Times New Roman"/>
          <w:sz w:val="32"/>
          <w:szCs w:val="32"/>
        </w:rPr>
        <w:t>》（攀信联办〔202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139</w:t>
      </w:r>
      <w:r>
        <w:rPr>
          <w:rFonts w:hint="default" w:ascii="Times New Roman" w:hAnsi="Times New Roman" w:eastAsia="仿宋_GB2312" w:cs="Times New Roman"/>
          <w:sz w:val="32"/>
          <w:szCs w:val="32"/>
        </w:rPr>
        <w:t>号，每年都要求信访干部赴</w:t>
      </w:r>
      <w:r>
        <w:rPr>
          <w:rFonts w:hint="default" w:ascii="Times New Roman" w:hAnsi="Times New Roman" w:eastAsia="仿宋_GB2312" w:cs="Times New Roman"/>
          <w:sz w:val="32"/>
          <w:szCs w:val="32"/>
          <w:lang w:eastAsia="zh-CN"/>
        </w:rPr>
        <w:t>成都</w:t>
      </w:r>
      <w:r>
        <w:rPr>
          <w:rFonts w:hint="default" w:ascii="Times New Roman" w:hAnsi="Times New Roman" w:eastAsia="仿宋_GB2312" w:cs="Times New Roman"/>
          <w:sz w:val="32"/>
          <w:szCs w:val="32"/>
        </w:rPr>
        <w:t>值班）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川省信访工作联席会议办公室关于印发＜中央信访工作联席会议关于开展集中治理重复信访、化解信访积案专项工作的意见＞的通知》（川信联办发〔2020〕7号）、《攀枝花市仁和区信访工作联席会议关于印发&lt;关于开展集中治理重复信访、信访积案化解三年攻坚实施方案&gt;的通知》（攀仁信联〔2020〕4号）、《中共攀枝花市仁和区委办公室 攀枝花市仁和区人民政府办公室关于印发&lt;攀枝花市仁和区领导干部定期接待群众来访工作实施方案&gt;的通知》、《卫生清扫保洁协议》、《聘用法律顾问合同》、仁和区信访局与四川广电网络仁和分公司的《接入业务协议》、《仁和区群众工作局互联网专线及电路业务接入合同》、《全省市、县两级网上投诉受理平台和市级互联网门户网站建设实施方案》。</w:t>
      </w:r>
    </w:p>
    <w:p w14:paraId="6FA92460">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contextualSpacing/>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仿宋_GB2312" w:cs="Times New Roman"/>
          <w:color w:val="auto"/>
          <w:kern w:val="0"/>
          <w:sz w:val="32"/>
          <w:szCs w:val="32"/>
          <w:highlight w:val="none"/>
          <w:u w:val="none"/>
          <w:shd w:val="clear" w:color="auto" w:fill="FFFFFF"/>
          <w:lang w:val="en-US" w:eastAsia="zh-CN"/>
        </w:rPr>
        <w:t>3.</w:t>
      </w:r>
      <w:r>
        <w:rPr>
          <w:rFonts w:hint="default" w:ascii="Times New Roman" w:hAnsi="Times New Roman" w:eastAsia="仿宋_GB2312" w:cs="Times New Roman"/>
          <w:color w:val="auto"/>
          <w:kern w:val="0"/>
          <w:sz w:val="32"/>
          <w:szCs w:val="32"/>
          <w:highlight w:val="none"/>
          <w:u w:val="none"/>
          <w:shd w:val="clear" w:color="auto" w:fill="FFFFFF"/>
          <w:lang w:val="zh-CN"/>
        </w:rPr>
        <w:t>资金分配的原则及考虑因素。</w:t>
      </w:r>
    </w:p>
    <w:p w14:paraId="024DDD32">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cs="Times New Roman"/>
          <w:lang w:val="zh-CN"/>
        </w:rPr>
      </w:pPr>
      <w:r>
        <w:rPr>
          <w:rFonts w:hint="default" w:ascii="Times New Roman" w:hAnsi="Times New Roman" w:eastAsia="仿宋_GB2312" w:cs="Times New Roman"/>
          <w:kern w:val="0"/>
          <w:sz w:val="32"/>
          <w:szCs w:val="32"/>
        </w:rPr>
        <w:t>该项目资金主要用于：一是疑难信访事项和无责任主体信访事项的化解；二是</w:t>
      </w:r>
      <w:r>
        <w:rPr>
          <w:rFonts w:hint="default" w:ascii="Times New Roman" w:hAnsi="Times New Roman" w:eastAsia="方正仿宋_GBK" w:cs="Times New Roman"/>
          <w:sz w:val="33"/>
          <w:szCs w:val="33"/>
          <w:lang w:bidi="ar"/>
        </w:rPr>
        <w:t>上级部门安排的进京赴蓉值班值守、及时处置群众突发信访事项的劝访接访、综合协调处理跨地区、跨部门的重要信访事项的差旅费；</w:t>
      </w:r>
      <w:bookmarkStart w:id="60" w:name="_Hlk102813293"/>
      <w:r>
        <w:rPr>
          <w:rFonts w:hint="default" w:ascii="Times New Roman" w:hAnsi="Times New Roman" w:eastAsia="方正仿宋_GBK" w:cs="Times New Roman"/>
          <w:sz w:val="33"/>
          <w:szCs w:val="33"/>
          <w:lang w:bidi="ar"/>
        </w:rPr>
        <w:t>三是聘请法律顾问、聘请物业公司保洁人员劳务费</w:t>
      </w:r>
      <w:bookmarkEnd w:id="60"/>
      <w:r>
        <w:rPr>
          <w:rFonts w:hint="default" w:ascii="Times New Roman" w:hAnsi="Times New Roman" w:eastAsia="方正仿宋_GBK" w:cs="Times New Roman"/>
          <w:sz w:val="33"/>
          <w:szCs w:val="33"/>
          <w:lang w:bidi="ar"/>
        </w:rPr>
        <w:t>；</w:t>
      </w:r>
      <w:bookmarkStart w:id="61" w:name="_Hlk102813404"/>
      <w:r>
        <w:rPr>
          <w:rFonts w:hint="default" w:ascii="Times New Roman" w:hAnsi="Times New Roman" w:eastAsia="方正仿宋_GBK" w:cs="Times New Roman"/>
          <w:sz w:val="33"/>
          <w:szCs w:val="33"/>
          <w:lang w:bidi="ar"/>
        </w:rPr>
        <w:t>四是接入网络专线费用</w:t>
      </w:r>
      <w:bookmarkEnd w:id="61"/>
      <w:r>
        <w:rPr>
          <w:rFonts w:hint="default" w:ascii="Times New Roman" w:hAnsi="Times New Roman" w:eastAsia="方正仿宋_GBK" w:cs="Times New Roman"/>
          <w:sz w:val="33"/>
          <w:szCs w:val="33"/>
          <w:lang w:bidi="ar"/>
        </w:rPr>
        <w:t>。</w:t>
      </w:r>
    </w:p>
    <w:p w14:paraId="1A7B9B5F">
      <w:pPr>
        <w:keepNext w:val="0"/>
        <w:keepLines w:val="0"/>
        <w:pageBreakBefore w:val="0"/>
        <w:kinsoku/>
        <w:wordWrap/>
        <w:overflowPunct/>
        <w:topLinePunct w:val="0"/>
        <w:autoSpaceDE/>
        <w:autoSpaceDN/>
        <w:bidi w:val="0"/>
        <w:adjustRightInd/>
        <w:snapToGrid/>
        <w:spacing w:line="240" w:lineRule="auto"/>
        <w:ind w:left="0" w:firstLine="643" w:firstLineChars="200"/>
        <w:jc w:val="both"/>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（二）项目绩效目标。</w:t>
      </w:r>
    </w:p>
    <w:p w14:paraId="1F8DCA28">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firstLine="640" w:firstLineChars="200"/>
        <w:contextualSpacing/>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仿宋_GB2312" w:cs="Times New Roman"/>
          <w:color w:val="auto"/>
          <w:kern w:val="0"/>
          <w:sz w:val="32"/>
          <w:szCs w:val="32"/>
          <w:highlight w:val="none"/>
          <w:u w:val="none"/>
          <w:shd w:val="clear" w:color="auto" w:fill="FFFFFF"/>
          <w:lang w:val="zh-CN"/>
        </w:rPr>
        <w:t>1</w:t>
      </w:r>
      <w:r>
        <w:rPr>
          <w:rFonts w:hint="default" w:ascii="Times New Roman" w:hAnsi="Times New Roman" w:eastAsia="仿宋_GB2312" w:cs="Times New Roman"/>
          <w:color w:val="auto"/>
          <w:kern w:val="0"/>
          <w:sz w:val="32"/>
          <w:szCs w:val="32"/>
          <w:highlight w:val="none"/>
          <w:u w:val="none"/>
          <w:shd w:val="clear" w:color="auto" w:fill="FFFFFF"/>
          <w:lang w:val="en-US" w:eastAsia="zh-CN"/>
        </w:rPr>
        <w:t>.</w:t>
      </w:r>
      <w:r>
        <w:rPr>
          <w:rFonts w:hint="default" w:ascii="Times New Roman" w:hAnsi="Times New Roman" w:eastAsia="仿宋_GB2312" w:cs="Times New Roman"/>
          <w:color w:val="auto"/>
          <w:kern w:val="0"/>
          <w:sz w:val="32"/>
          <w:szCs w:val="32"/>
          <w:highlight w:val="none"/>
          <w:u w:val="none"/>
          <w:shd w:val="clear" w:color="auto" w:fill="FFFFFF"/>
          <w:lang w:val="zh-CN"/>
        </w:rPr>
        <w:t>项目主要内容。</w:t>
      </w:r>
    </w:p>
    <w:p w14:paraId="418DE474">
      <w:pPr>
        <w:keepNext w:val="0"/>
        <w:keepLines w:val="0"/>
        <w:pageBreakBefore w:val="0"/>
        <w:kinsoku/>
        <w:wordWrap/>
        <w:overflowPunct/>
        <w:topLinePunct w:val="0"/>
        <w:bidi w:val="0"/>
        <w:adjustRightInd/>
        <w:snapToGrid/>
        <w:spacing w:line="240" w:lineRule="auto"/>
        <w:ind w:left="0" w:firstLine="660" w:firstLineChars="200"/>
        <w:jc w:val="both"/>
        <w:textAlignment w:val="auto"/>
        <w:rPr>
          <w:rFonts w:hint="default" w:ascii="Times New Roman" w:hAnsi="Times New Roman" w:eastAsia="方正仿宋_GBK" w:cs="Times New Roman"/>
          <w:sz w:val="33"/>
          <w:szCs w:val="33"/>
          <w:lang w:bidi="ar"/>
        </w:rPr>
      </w:pPr>
      <w:r>
        <w:rPr>
          <w:rFonts w:hint="default" w:ascii="Times New Roman" w:hAnsi="Times New Roman" w:eastAsia="方正仿宋_GBK" w:cs="Times New Roman"/>
          <w:sz w:val="33"/>
          <w:szCs w:val="33"/>
          <w:lang w:bidi="ar"/>
        </w:rPr>
        <w:t>一是制定信访事项排查、对重大疑难信访事项、无责任主体的信访事项进行调处化解。</w:t>
      </w:r>
      <w:r>
        <w:rPr>
          <w:rFonts w:hint="default" w:ascii="Times New Roman" w:hAnsi="Times New Roman" w:eastAsia="方正仿宋_GBK" w:cs="Times New Roman"/>
          <w:sz w:val="33"/>
          <w:szCs w:val="33"/>
        </w:rPr>
        <w:t>二是</w:t>
      </w:r>
      <w:r>
        <w:rPr>
          <w:rFonts w:hint="default" w:ascii="Times New Roman" w:hAnsi="Times New Roman" w:eastAsia="方正仿宋_GBK" w:cs="Times New Roman"/>
          <w:sz w:val="33"/>
          <w:szCs w:val="33"/>
          <w:lang w:bidi="ar"/>
        </w:rPr>
        <w:t>完成上级部门安排的</w:t>
      </w:r>
      <w:bookmarkStart w:id="62" w:name="_Hlk102813126"/>
      <w:r>
        <w:rPr>
          <w:rFonts w:hint="default" w:ascii="Times New Roman" w:hAnsi="Times New Roman" w:eastAsia="方正仿宋_GBK" w:cs="Times New Roman"/>
          <w:sz w:val="33"/>
          <w:szCs w:val="33"/>
          <w:lang w:bidi="ar"/>
        </w:rPr>
        <w:t>进京赴蓉值班值守工作，及时处置群众突发信访事项的劝访接访工作，综合协调处理跨地区、跨部门的重要信访问题</w:t>
      </w:r>
      <w:bookmarkEnd w:id="62"/>
      <w:r>
        <w:rPr>
          <w:rFonts w:hint="default" w:ascii="Times New Roman" w:hAnsi="Times New Roman" w:eastAsia="方正仿宋_GBK" w:cs="Times New Roman"/>
          <w:sz w:val="33"/>
          <w:szCs w:val="33"/>
          <w:lang w:bidi="ar"/>
        </w:rPr>
        <w:t>。三是聘请法律顾问，完成来访群众法律咨询工作。四是聘请物业公司保洁人员，完成来访接访群众公共区域的卫生保洁工作。五是接入网络专线，完成视频接访、视频会议、网上信访投诉受理办理等相关工作。</w:t>
      </w:r>
    </w:p>
    <w:p w14:paraId="781C43DF">
      <w:pPr>
        <w:keepNext w:val="0"/>
        <w:keepLines w:val="0"/>
        <w:pageBreakBefore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仿宋_GB2312" w:cs="Times New Roman"/>
          <w:color w:val="auto"/>
          <w:kern w:val="0"/>
          <w:sz w:val="32"/>
          <w:szCs w:val="32"/>
          <w:highlight w:val="none"/>
          <w:u w:val="none"/>
          <w:shd w:val="clear" w:color="auto" w:fill="FFFFFF"/>
          <w:lang w:val="en-US" w:eastAsia="zh-CN"/>
        </w:rPr>
        <w:t>2.</w:t>
      </w:r>
      <w:r>
        <w:rPr>
          <w:rFonts w:hint="default" w:ascii="Times New Roman" w:hAnsi="Times New Roman" w:eastAsia="仿宋_GB2312" w:cs="Times New Roman"/>
          <w:color w:val="auto"/>
          <w:kern w:val="0"/>
          <w:sz w:val="32"/>
          <w:szCs w:val="32"/>
          <w:highlight w:val="none"/>
          <w:u w:val="none"/>
          <w:shd w:val="clear" w:color="auto" w:fill="FFFFFF"/>
          <w:lang w:val="zh-CN"/>
        </w:rPr>
        <w:t>项目应实现的具体绩效目标，</w:t>
      </w:r>
      <w:r>
        <w:rPr>
          <w:rFonts w:hint="default" w:ascii="Times New Roman" w:hAnsi="Times New Roman" w:eastAsia="仿宋_GB2312" w:cs="Times New Roman"/>
          <w:color w:val="auto"/>
          <w:kern w:val="0"/>
          <w:sz w:val="32"/>
          <w:szCs w:val="32"/>
          <w:highlight w:val="none"/>
          <w:u w:val="none"/>
          <w:shd w:val="clear" w:color="auto" w:fill="FFFFFF"/>
          <w:lang w:val="en-US" w:eastAsia="zh-CN"/>
        </w:rPr>
        <w:t>包括但不限于：绩效</w:t>
      </w:r>
      <w:r>
        <w:rPr>
          <w:rFonts w:hint="default" w:ascii="Times New Roman" w:hAnsi="Times New Roman" w:eastAsia="仿宋_GB2312" w:cs="Times New Roman"/>
          <w:color w:val="auto"/>
          <w:kern w:val="0"/>
          <w:sz w:val="32"/>
          <w:szCs w:val="32"/>
          <w:highlight w:val="none"/>
          <w:u w:val="none"/>
          <w:shd w:val="clear" w:color="auto" w:fill="FFFFFF"/>
          <w:lang w:val="zh-CN"/>
        </w:rPr>
        <w:t>目标的量化细化情况、项目实施进度计划等。</w:t>
      </w:r>
    </w:p>
    <w:p w14:paraId="09BD564B">
      <w:pPr>
        <w:keepNext w:val="0"/>
        <w:keepLines w:val="0"/>
        <w:pageBreakBefore w:val="0"/>
        <w:kinsoku/>
        <w:wordWrap/>
        <w:overflowPunct/>
        <w:topLinePunct w:val="0"/>
        <w:autoSpaceDE w:val="0"/>
        <w:autoSpaceDN w:val="0"/>
        <w:bidi w:val="0"/>
        <w:adjustRightInd/>
        <w:snapToGrid/>
        <w:spacing w:line="240" w:lineRule="auto"/>
        <w:ind w:left="0" w:firstLine="640" w:firstLineChars="200"/>
        <w:jc w:val="both"/>
        <w:textAlignment w:val="auto"/>
        <w:rPr>
          <w:rFonts w:hint="default" w:ascii="Times New Roman" w:hAnsi="Times New Roman" w:eastAsia="方正仿宋_GBK" w:cs="Times New Roman"/>
          <w:sz w:val="33"/>
          <w:szCs w:val="33"/>
          <w:lang w:bidi="ar"/>
        </w:rPr>
      </w:pPr>
      <w:r>
        <w:rPr>
          <w:rFonts w:hint="default" w:ascii="Times New Roman" w:hAnsi="Times New Roman" w:eastAsia="仿宋_GB2312" w:cs="Times New Roman"/>
          <w:kern w:val="0"/>
          <w:sz w:val="32"/>
          <w:szCs w:val="32"/>
        </w:rPr>
        <w:t>项目实施后，</w:t>
      </w:r>
      <w:bookmarkStart w:id="63" w:name="_Hlk102815753"/>
      <w:r>
        <w:rPr>
          <w:rFonts w:hint="default" w:ascii="Times New Roman" w:hAnsi="Times New Roman" w:eastAsia="仿宋_GB2312" w:cs="Times New Roman"/>
          <w:kern w:val="0"/>
          <w:sz w:val="32"/>
          <w:szCs w:val="32"/>
        </w:rPr>
        <w:t>一是能有效化解疑难及无责任主体的信访事项，维护仁和区的社会稳定，确保一方平安，促进地方经济发展；二是确保</w:t>
      </w:r>
      <w:r>
        <w:rPr>
          <w:rFonts w:hint="default" w:ascii="Times New Roman" w:hAnsi="Times New Roman" w:eastAsia="方正仿宋_GBK" w:cs="Times New Roman"/>
          <w:sz w:val="33"/>
          <w:szCs w:val="33"/>
          <w:lang w:bidi="ar"/>
        </w:rPr>
        <w:t>进京赴蓉值班值守、处置群众突发信访事项、协调处理跨地区、跨部门的重要信访问题工作顺利开展，出差人员差旅费得到有力保障；三是聘请法律顾问、聘请物业公司保洁人员劳务费得到有力保障，来访群众法律问题得到有效解决，接访场所环境有所提升。四是接入网络专线费用得到保障，各项网络办公能正常运行。以上项目按进度实施，年终项目实施进度达100%。</w:t>
      </w:r>
      <w:bookmarkEnd w:id="63"/>
    </w:p>
    <w:p w14:paraId="01F74DDF">
      <w:pPr>
        <w:keepNext w:val="0"/>
        <w:keepLines w:val="0"/>
        <w:pageBreakBefore w:val="0"/>
        <w:kinsoku/>
        <w:wordWrap/>
        <w:overflowPunct/>
        <w:topLinePunct w:val="0"/>
        <w:autoSpaceDE w:val="0"/>
        <w:autoSpaceDN w:val="0"/>
        <w:bidi w:val="0"/>
        <w:adjustRightInd/>
        <w:snapToGrid/>
        <w:spacing w:line="240" w:lineRule="auto"/>
        <w:ind w:left="0" w:firstLine="660" w:firstLineChars="200"/>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方正仿宋_GBK" w:cs="Times New Roman"/>
          <w:sz w:val="33"/>
          <w:szCs w:val="33"/>
          <w:lang w:val="en-US" w:eastAsia="zh-CN" w:bidi="ar"/>
        </w:rPr>
        <w:t>3.</w:t>
      </w:r>
      <w:r>
        <w:rPr>
          <w:rFonts w:hint="default" w:ascii="Times New Roman" w:hAnsi="Times New Roman" w:eastAsia="仿宋_GB2312" w:cs="Times New Roman"/>
          <w:color w:val="auto"/>
          <w:kern w:val="0"/>
          <w:sz w:val="32"/>
          <w:szCs w:val="32"/>
          <w:highlight w:val="none"/>
          <w:u w:val="none"/>
          <w:shd w:val="clear" w:color="auto" w:fill="FFFFFF"/>
          <w:lang w:val="zh-CN"/>
        </w:rPr>
        <w:t>分析评价申报内容是否与实际相符，申报目标是否合理可行。</w:t>
      </w:r>
    </w:p>
    <w:p w14:paraId="37BD3D3C">
      <w:pPr>
        <w:keepNext w:val="0"/>
        <w:keepLines w:val="0"/>
        <w:pageBreakBefore w:val="0"/>
        <w:kinsoku/>
        <w:wordWrap/>
        <w:overflowPunct/>
        <w:topLinePunct w:val="0"/>
        <w:autoSpaceDE w:val="0"/>
        <w:autoSpaceDN w:val="0"/>
        <w:bidi w:val="0"/>
        <w:adjustRightInd/>
        <w:snapToGrid/>
        <w:spacing w:line="240" w:lineRule="auto"/>
        <w:ind w:left="0" w:firstLine="640" w:firstLineChars="200"/>
        <w:jc w:val="both"/>
        <w:textAlignment w:val="auto"/>
        <w:rPr>
          <w:rFonts w:hint="default" w:ascii="Times New Roman" w:hAnsi="Times New Roman" w:cs="Times New Roman"/>
          <w:lang w:val="zh-CN"/>
        </w:rPr>
      </w:pPr>
      <w:r>
        <w:rPr>
          <w:rFonts w:hint="default" w:ascii="Times New Roman" w:hAnsi="Times New Roman" w:eastAsia="仿宋_GB2312" w:cs="Times New Roman"/>
          <w:kern w:val="0"/>
          <w:sz w:val="32"/>
          <w:szCs w:val="32"/>
        </w:rPr>
        <w:t>评价申报内容与实际相符，申报目标合理可行。</w:t>
      </w:r>
    </w:p>
    <w:p w14:paraId="30FF8DD9">
      <w:pPr>
        <w:keepNext w:val="0"/>
        <w:keepLines w:val="0"/>
        <w:pageBreakBefore w:val="0"/>
        <w:numPr>
          <w:ilvl w:val="0"/>
          <w:numId w:val="0"/>
        </w:numPr>
        <w:kinsoku/>
        <w:wordWrap/>
        <w:overflowPunct/>
        <w:topLinePunct w:val="0"/>
        <w:autoSpaceDE/>
        <w:autoSpaceDN/>
        <w:bidi w:val="0"/>
        <w:adjustRightInd/>
        <w:snapToGrid/>
        <w:spacing w:line="240" w:lineRule="auto"/>
        <w:ind w:left="0" w:firstLine="643" w:firstLineChars="200"/>
        <w:jc w:val="both"/>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（三）项目自评步骤及方法。</w:t>
      </w:r>
    </w:p>
    <w:p w14:paraId="08812C34">
      <w:pPr>
        <w:keepNext w:val="0"/>
        <w:keepLines w:val="0"/>
        <w:pageBreakBefore w:val="0"/>
        <w:widowControl/>
        <w:kinsoku/>
        <w:wordWrap/>
        <w:overflowPunct/>
        <w:topLinePunct w:val="0"/>
        <w:bidi w:val="0"/>
        <w:adjustRightInd/>
        <w:snapToGrid/>
        <w:spacing w:line="240" w:lineRule="auto"/>
        <w:ind w:left="0" w:firstLine="640" w:firstLineChars="200"/>
        <w:contextualSpacing/>
        <w:jc w:val="both"/>
        <w:textAlignment w:val="auto"/>
        <w:rPr>
          <w:rFonts w:hint="default" w:ascii="Times New Roman" w:hAnsi="Times New Roman" w:cs="Times New Roman"/>
          <w:lang w:val="zh-CN"/>
        </w:rPr>
      </w:pPr>
      <w:r>
        <w:rPr>
          <w:rFonts w:hint="default" w:ascii="Times New Roman" w:hAnsi="Times New Roman" w:eastAsia="仿宋" w:cs="Times New Roman"/>
          <w:kern w:val="0"/>
          <w:sz w:val="32"/>
          <w:szCs w:val="32"/>
          <w:shd w:val="clear" w:color="auto" w:fill="FFFFFF"/>
          <w:lang w:val="zh-CN"/>
        </w:rPr>
        <w:t>项目绩效自评实施过程采用年初制定项目绩效目标，年中检查进度，项目结束评价总结，提出改进意见。</w:t>
      </w:r>
    </w:p>
    <w:p w14:paraId="17BD7ABF">
      <w:pPr>
        <w:keepNext w:val="0"/>
        <w:keepLines w:val="0"/>
        <w:pageBreakBefore w:val="0"/>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二、项目资金申报及使用情况</w:t>
      </w:r>
    </w:p>
    <w:p w14:paraId="6A07A365">
      <w:pPr>
        <w:keepNext w:val="0"/>
        <w:keepLines w:val="0"/>
        <w:pageBreakBefore w:val="0"/>
        <w:kinsoku/>
        <w:wordWrap/>
        <w:overflowPunct/>
        <w:topLinePunct w:val="0"/>
        <w:autoSpaceDE/>
        <w:autoSpaceDN/>
        <w:bidi w:val="0"/>
        <w:adjustRightInd/>
        <w:snapToGrid/>
        <w:spacing w:line="240" w:lineRule="auto"/>
        <w:ind w:left="0" w:firstLine="643" w:firstLineChars="200"/>
        <w:jc w:val="both"/>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（一）项目资金申报及批复情况。</w:t>
      </w:r>
    </w:p>
    <w:p w14:paraId="5406D795">
      <w:pPr>
        <w:pStyle w:val="2"/>
        <w:keepNext w:val="0"/>
        <w:keepLines w:val="0"/>
        <w:pageBreakBefore w:val="0"/>
        <w:kinsoku/>
        <w:wordWrap/>
        <w:overflowPunct/>
        <w:topLinePunct w:val="0"/>
        <w:bidi w:val="0"/>
        <w:adjustRightInd/>
        <w:snapToGrid/>
        <w:spacing w:beforeLines="0" w:line="240" w:lineRule="auto"/>
        <w:ind w:left="0" w:firstLine="640" w:firstLineChars="200"/>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仿宋_GB2312" w:cs="Times New Roman"/>
          <w:kern w:val="0"/>
          <w:sz w:val="32"/>
          <w:szCs w:val="32"/>
        </w:rPr>
        <w:t>202</w:t>
      </w:r>
      <w:r>
        <w:rPr>
          <w:rFonts w:hint="default" w:ascii="Times New Roman" w:hAnsi="Times New Roman" w:cs="Times New Roman"/>
          <w:kern w:val="0"/>
          <w:sz w:val="32"/>
          <w:szCs w:val="32"/>
          <w:lang w:val="en-US" w:eastAsia="zh-CN"/>
        </w:rPr>
        <w:t>2</w:t>
      </w:r>
      <w:r>
        <w:rPr>
          <w:rFonts w:hint="default" w:ascii="Times New Roman" w:hAnsi="Times New Roman" w:eastAsia="仿宋_GB2312" w:cs="Times New Roman"/>
          <w:kern w:val="0"/>
          <w:sz w:val="32"/>
          <w:szCs w:val="32"/>
        </w:rPr>
        <w:t>年，该项目资金申报</w:t>
      </w:r>
      <w:r>
        <w:rPr>
          <w:rFonts w:hint="default" w:ascii="Times New Roman" w:hAnsi="Times New Roman" w:cs="Times New Roman"/>
          <w:kern w:val="0"/>
          <w:sz w:val="32"/>
          <w:szCs w:val="32"/>
          <w:lang w:val="en-US" w:eastAsia="zh-CN"/>
        </w:rPr>
        <w:t>35</w:t>
      </w:r>
      <w:r>
        <w:rPr>
          <w:rFonts w:hint="default" w:ascii="Times New Roman" w:hAnsi="Times New Roman" w:eastAsia="仿宋_GB2312" w:cs="Times New Roman"/>
          <w:kern w:val="0"/>
          <w:sz w:val="32"/>
          <w:szCs w:val="32"/>
        </w:rPr>
        <w:t>万元、批复</w:t>
      </w:r>
      <w:r>
        <w:rPr>
          <w:rFonts w:hint="default" w:ascii="Times New Roman" w:hAnsi="Times New Roman" w:cs="Times New Roman"/>
          <w:kern w:val="0"/>
          <w:sz w:val="32"/>
          <w:szCs w:val="32"/>
          <w:lang w:val="en-US" w:eastAsia="zh-CN"/>
        </w:rPr>
        <w:t>35</w:t>
      </w:r>
      <w:r>
        <w:rPr>
          <w:rFonts w:hint="default" w:ascii="Times New Roman" w:hAnsi="Times New Roman" w:eastAsia="仿宋_GB2312" w:cs="Times New Roman"/>
          <w:kern w:val="0"/>
          <w:sz w:val="32"/>
          <w:szCs w:val="32"/>
        </w:rPr>
        <w:t>万元。</w:t>
      </w:r>
    </w:p>
    <w:p w14:paraId="134E8FAB">
      <w:pPr>
        <w:keepNext w:val="0"/>
        <w:keepLines w:val="0"/>
        <w:pageBreakBefore w:val="0"/>
        <w:kinsoku/>
        <w:wordWrap/>
        <w:overflowPunct/>
        <w:topLinePunct w:val="0"/>
        <w:autoSpaceDE/>
        <w:autoSpaceDN/>
        <w:bidi w:val="0"/>
        <w:adjustRightInd/>
        <w:snapToGrid/>
        <w:spacing w:line="240" w:lineRule="auto"/>
        <w:ind w:left="0" w:firstLine="643" w:firstLineChars="200"/>
        <w:jc w:val="both"/>
        <w:textAlignment w:val="auto"/>
        <w:rPr>
          <w:rFonts w:hint="default" w:ascii="Times New Roman" w:hAnsi="Times New Roman" w:cs="Times New Roman"/>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（二）资金计划、到位及使用情况。</w:t>
      </w:r>
    </w:p>
    <w:p w14:paraId="0F1E1EAE">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firstLine="640" w:firstLineChars="200"/>
        <w:contextualSpacing/>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仿宋_GB2312" w:cs="Times New Roman"/>
          <w:color w:val="auto"/>
          <w:kern w:val="0"/>
          <w:sz w:val="32"/>
          <w:szCs w:val="32"/>
          <w:highlight w:val="none"/>
          <w:u w:val="none"/>
          <w:shd w:val="clear" w:color="auto" w:fill="FFFFFF"/>
          <w:lang w:val="zh-CN"/>
        </w:rPr>
        <w:t>1</w:t>
      </w:r>
      <w:r>
        <w:rPr>
          <w:rFonts w:hint="default" w:ascii="Times New Roman" w:hAnsi="Times New Roman" w:eastAsia="仿宋_GB2312" w:cs="Times New Roman"/>
          <w:color w:val="auto"/>
          <w:kern w:val="0"/>
          <w:sz w:val="32"/>
          <w:szCs w:val="32"/>
          <w:highlight w:val="none"/>
          <w:u w:val="none"/>
          <w:shd w:val="clear" w:color="auto" w:fill="FFFFFF"/>
          <w:lang w:val="en-US" w:eastAsia="zh-CN"/>
        </w:rPr>
        <w:t>.</w:t>
      </w:r>
      <w:r>
        <w:rPr>
          <w:rFonts w:hint="default" w:ascii="Times New Roman" w:hAnsi="Times New Roman" w:eastAsia="仿宋_GB2312" w:cs="Times New Roman"/>
          <w:color w:val="auto"/>
          <w:kern w:val="0"/>
          <w:sz w:val="32"/>
          <w:szCs w:val="32"/>
          <w:highlight w:val="none"/>
          <w:u w:val="none"/>
          <w:shd w:val="clear" w:color="auto" w:fill="FFFFFF"/>
          <w:lang w:val="zh-CN"/>
        </w:rPr>
        <w:t>资金计划。</w:t>
      </w:r>
    </w:p>
    <w:p w14:paraId="268C8901">
      <w:pPr>
        <w:keepNext w:val="0"/>
        <w:keepLines w:val="0"/>
        <w:pageBreakBefore w:val="0"/>
        <w:kinsoku/>
        <w:wordWrap/>
        <w:overflowPunct/>
        <w:topLinePunct w:val="0"/>
        <w:autoSpaceDE w:val="0"/>
        <w:autoSpaceDN w:val="0"/>
        <w:bidi w:val="0"/>
        <w:adjustRightInd/>
        <w:snapToGrid/>
        <w:spacing w:line="240" w:lineRule="auto"/>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年，该项目资金计划</w:t>
      </w:r>
      <w:r>
        <w:rPr>
          <w:rFonts w:hint="default" w:ascii="Times New Roman" w:hAnsi="Times New Roman" w:eastAsia="方正仿宋_GBK" w:cs="Times New Roman"/>
          <w:kern w:val="0"/>
          <w:sz w:val="32"/>
          <w:szCs w:val="32"/>
          <w:lang w:val="en-US" w:eastAsia="zh-CN"/>
        </w:rPr>
        <w:t>35</w:t>
      </w:r>
      <w:r>
        <w:rPr>
          <w:rFonts w:hint="default" w:ascii="Times New Roman" w:hAnsi="Times New Roman" w:eastAsia="方正仿宋_GBK" w:cs="Times New Roman"/>
          <w:kern w:val="0"/>
          <w:sz w:val="32"/>
          <w:szCs w:val="32"/>
        </w:rPr>
        <w:t>万元，均计划来自区本级资金。</w:t>
      </w:r>
    </w:p>
    <w:p w14:paraId="2155470C">
      <w:pPr>
        <w:keepNext w:val="0"/>
        <w:keepLines w:val="0"/>
        <w:pageBreakBefore w:val="0"/>
        <w:kinsoku/>
        <w:wordWrap/>
        <w:overflowPunct/>
        <w:topLinePunct w:val="0"/>
        <w:autoSpaceDE w:val="0"/>
        <w:autoSpaceDN w:val="0"/>
        <w:bidi w:val="0"/>
        <w:adjustRightInd/>
        <w:snapToGrid/>
        <w:spacing w:line="240" w:lineRule="auto"/>
        <w:ind w:left="0" w:firstLine="640" w:firstLineChars="200"/>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仿宋_GB2312" w:cs="Times New Roman"/>
          <w:color w:val="auto"/>
          <w:kern w:val="0"/>
          <w:sz w:val="32"/>
          <w:szCs w:val="32"/>
          <w:highlight w:val="none"/>
          <w:u w:val="none"/>
          <w:shd w:val="clear" w:color="auto" w:fill="FFFFFF"/>
          <w:lang w:val="en-US" w:eastAsia="zh-CN"/>
        </w:rPr>
        <w:t>2.</w:t>
      </w:r>
      <w:r>
        <w:rPr>
          <w:rFonts w:hint="default" w:ascii="Times New Roman" w:hAnsi="Times New Roman" w:eastAsia="仿宋_GB2312" w:cs="Times New Roman"/>
          <w:color w:val="auto"/>
          <w:kern w:val="0"/>
          <w:sz w:val="32"/>
          <w:szCs w:val="32"/>
          <w:highlight w:val="none"/>
          <w:u w:val="none"/>
          <w:shd w:val="clear" w:color="auto" w:fill="FFFFFF"/>
          <w:lang w:val="zh-CN"/>
        </w:rPr>
        <w:t>资金到位。</w:t>
      </w:r>
    </w:p>
    <w:p w14:paraId="5956DAAE">
      <w:pPr>
        <w:keepNext w:val="0"/>
        <w:keepLines w:val="0"/>
        <w:pageBreakBefore w:val="0"/>
        <w:kinsoku/>
        <w:wordWrap/>
        <w:overflowPunct/>
        <w:topLinePunct w:val="0"/>
        <w:autoSpaceDE w:val="0"/>
        <w:autoSpaceDN w:val="0"/>
        <w:bidi w:val="0"/>
        <w:adjustRightInd/>
        <w:snapToGrid/>
        <w:spacing w:line="240" w:lineRule="auto"/>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年</w:t>
      </w:r>
      <w:r>
        <w:rPr>
          <w:rFonts w:hint="default" w:ascii="Times New Roman" w:hAnsi="Times New Roman" w:eastAsia="仿宋_GB2312" w:cs="Times New Roman"/>
          <w:kern w:val="0"/>
          <w:sz w:val="32"/>
          <w:szCs w:val="32"/>
        </w:rPr>
        <w:t>，该项目全区资金到位</w:t>
      </w:r>
      <w:r>
        <w:rPr>
          <w:rFonts w:hint="default" w:ascii="Times New Roman" w:hAnsi="Times New Roman" w:eastAsia="仿宋_GB2312" w:cs="Times New Roman"/>
          <w:kern w:val="0"/>
          <w:sz w:val="32"/>
          <w:szCs w:val="32"/>
          <w:lang w:val="en-US" w:eastAsia="zh-CN"/>
        </w:rPr>
        <w:t>35</w:t>
      </w:r>
      <w:r>
        <w:rPr>
          <w:rFonts w:hint="default" w:ascii="Times New Roman" w:hAnsi="Times New Roman" w:eastAsia="仿宋_GB2312" w:cs="Times New Roman"/>
          <w:kern w:val="0"/>
          <w:sz w:val="32"/>
          <w:szCs w:val="32"/>
        </w:rPr>
        <w:t>万元，资金到位和资金计划相同，到位率100%，资金到位比较及时。</w:t>
      </w:r>
    </w:p>
    <w:p w14:paraId="09882C63">
      <w:pPr>
        <w:keepNext w:val="0"/>
        <w:keepLines w:val="0"/>
        <w:pageBreakBefore w:val="0"/>
        <w:kinsoku/>
        <w:wordWrap/>
        <w:overflowPunct/>
        <w:topLinePunct w:val="0"/>
        <w:autoSpaceDE w:val="0"/>
        <w:autoSpaceDN w:val="0"/>
        <w:bidi w:val="0"/>
        <w:adjustRightInd/>
        <w:snapToGrid/>
        <w:spacing w:line="240" w:lineRule="auto"/>
        <w:ind w:left="0" w:firstLine="640" w:firstLineChars="200"/>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仿宋_GB2312" w:cs="Times New Roman"/>
          <w:color w:val="auto"/>
          <w:kern w:val="0"/>
          <w:sz w:val="32"/>
          <w:szCs w:val="32"/>
          <w:highlight w:val="none"/>
          <w:u w:val="none"/>
          <w:shd w:val="clear" w:color="auto" w:fill="FFFFFF"/>
          <w:lang w:val="en-US" w:eastAsia="zh-CN"/>
        </w:rPr>
        <w:t>3.</w:t>
      </w:r>
      <w:r>
        <w:rPr>
          <w:rFonts w:hint="default" w:ascii="Times New Roman" w:hAnsi="Times New Roman" w:eastAsia="仿宋_GB2312" w:cs="Times New Roman"/>
          <w:color w:val="auto"/>
          <w:kern w:val="0"/>
          <w:sz w:val="32"/>
          <w:szCs w:val="32"/>
          <w:highlight w:val="none"/>
          <w:u w:val="none"/>
          <w:shd w:val="clear" w:color="auto" w:fill="FFFFFF"/>
          <w:lang w:val="zh-CN"/>
        </w:rPr>
        <w:t>资金使用。</w:t>
      </w:r>
    </w:p>
    <w:p w14:paraId="528E8754">
      <w:pPr>
        <w:keepNext w:val="0"/>
        <w:keepLines w:val="0"/>
        <w:pageBreakBefore w:val="0"/>
        <w:kinsoku/>
        <w:wordWrap/>
        <w:overflowPunct/>
        <w:topLinePunct w:val="0"/>
        <w:autoSpaceDE w:val="0"/>
        <w:autoSpaceDN w:val="0"/>
        <w:bidi w:val="0"/>
        <w:adjustRightInd/>
        <w:snapToGrid/>
        <w:spacing w:line="240" w:lineRule="auto"/>
        <w:ind w:left="0"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年</w:t>
      </w:r>
      <w:r>
        <w:rPr>
          <w:rFonts w:hint="default" w:ascii="Times New Roman" w:hAnsi="Times New Roman" w:eastAsia="仿宋_GB2312" w:cs="Times New Roman"/>
          <w:kern w:val="0"/>
          <w:sz w:val="32"/>
          <w:szCs w:val="32"/>
        </w:rPr>
        <w:t>，该项目资金支出</w:t>
      </w:r>
      <w:r>
        <w:rPr>
          <w:rFonts w:hint="default" w:ascii="Times New Roman" w:hAnsi="Times New Roman" w:eastAsia="仿宋_GB2312" w:cs="Times New Roman"/>
          <w:kern w:val="0"/>
          <w:sz w:val="32"/>
          <w:szCs w:val="32"/>
          <w:lang w:val="en-US" w:eastAsia="zh-CN"/>
        </w:rPr>
        <w:t>18.52</w:t>
      </w:r>
      <w:r>
        <w:rPr>
          <w:rFonts w:hint="default" w:ascii="Times New Roman" w:hAnsi="Times New Roman" w:eastAsia="仿宋_GB2312" w:cs="Times New Roman"/>
          <w:kern w:val="0"/>
          <w:sz w:val="32"/>
          <w:szCs w:val="32"/>
        </w:rPr>
        <w:t>万元，执行率</w:t>
      </w:r>
      <w:r>
        <w:rPr>
          <w:rFonts w:hint="default" w:ascii="Times New Roman" w:hAnsi="Times New Roman" w:eastAsia="仿宋_GB2312" w:cs="Times New Roman"/>
          <w:kern w:val="0"/>
          <w:sz w:val="32"/>
          <w:szCs w:val="32"/>
          <w:lang w:val="en-US" w:eastAsia="zh-CN"/>
        </w:rPr>
        <w:t>52.91</w:t>
      </w:r>
      <w:r>
        <w:rPr>
          <w:rFonts w:hint="default" w:ascii="Times New Roman" w:hAnsi="Times New Roman" w:eastAsia="仿宋_GB2312" w:cs="Times New Roman"/>
          <w:kern w:val="0"/>
          <w:sz w:val="32"/>
          <w:szCs w:val="32"/>
        </w:rPr>
        <w:t>%，资金使用安全、规范、及时有效，资金支付范围、支付标准、支付进度、支付依据合规合法；与预算不符，不符原因是</w:t>
      </w:r>
      <w:r>
        <w:rPr>
          <w:rFonts w:hint="default" w:ascii="Times New Roman" w:hAnsi="Times New Roman" w:eastAsia="仿宋_GB2312" w:cs="Times New Roman"/>
          <w:kern w:val="0"/>
          <w:sz w:val="32"/>
          <w:szCs w:val="32"/>
          <w:lang w:eastAsia="zh-CN"/>
        </w:rPr>
        <w:t>财政资金困难</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无法按时支付。</w:t>
      </w:r>
    </w:p>
    <w:p w14:paraId="07611334">
      <w:pPr>
        <w:keepNext w:val="0"/>
        <w:keepLines w:val="0"/>
        <w:pageBreakBefore w:val="0"/>
        <w:kinsoku/>
        <w:wordWrap/>
        <w:overflowPunct/>
        <w:topLinePunct w:val="0"/>
        <w:autoSpaceDE w:val="0"/>
        <w:autoSpaceDN w:val="0"/>
        <w:bidi w:val="0"/>
        <w:adjustRightInd/>
        <w:snapToGrid/>
        <w:spacing w:line="240" w:lineRule="auto"/>
        <w:ind w:left="0" w:firstLine="643" w:firstLineChars="200"/>
        <w:jc w:val="both"/>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eastAsia="zh-CN"/>
        </w:rPr>
        <w:t>（三）</w:t>
      </w:r>
      <w:r>
        <w:rPr>
          <w:rFonts w:hint="default" w:ascii="Times New Roman" w:hAnsi="Times New Roman" w:eastAsia="楷体_GB2312" w:cs="Times New Roman"/>
          <w:b/>
          <w:color w:val="auto"/>
          <w:sz w:val="32"/>
          <w:szCs w:val="32"/>
          <w:highlight w:val="none"/>
          <w:u w:val="none"/>
          <w:lang w:val="zh-CN"/>
        </w:rPr>
        <w:t>项目财务管理情况。</w:t>
      </w:r>
    </w:p>
    <w:p w14:paraId="10F5B3E1">
      <w:pPr>
        <w:keepNext w:val="0"/>
        <w:keepLines w:val="0"/>
        <w:pageBreakBefore w:val="0"/>
        <w:kinsoku/>
        <w:wordWrap/>
        <w:overflowPunct/>
        <w:topLinePunct w:val="0"/>
        <w:autoSpaceDE w:val="0"/>
        <w:autoSpaceDN w:val="0"/>
        <w:bidi w:val="0"/>
        <w:adjustRightInd/>
        <w:snapToGrid/>
        <w:spacing w:line="240" w:lineRule="auto"/>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仁和区信访局财务管理制度健全，严格执行财务管理制度，账务处理及时，会计核算规范。</w:t>
      </w:r>
    </w:p>
    <w:p w14:paraId="0CD2CC5F">
      <w:pPr>
        <w:keepNext w:val="0"/>
        <w:keepLines w:val="0"/>
        <w:pageBreakBefore w:val="0"/>
        <w:kinsoku/>
        <w:wordWrap/>
        <w:overflowPunct/>
        <w:topLinePunct w:val="0"/>
        <w:autoSpaceDE w:val="0"/>
        <w:autoSpaceDN w:val="0"/>
        <w:bidi w:val="0"/>
        <w:adjustRightInd/>
        <w:snapToGrid/>
        <w:spacing w:line="240" w:lineRule="auto"/>
        <w:ind w:left="0" w:firstLine="640" w:firstLineChars="200"/>
        <w:jc w:val="both"/>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三、</w:t>
      </w:r>
      <w:r>
        <w:rPr>
          <w:rFonts w:hint="default" w:ascii="Times New Roman" w:hAnsi="Times New Roman" w:eastAsia="黑体" w:cs="Times New Roman"/>
          <w:color w:val="auto"/>
          <w:sz w:val="32"/>
          <w:szCs w:val="32"/>
          <w:highlight w:val="none"/>
          <w:u w:val="none"/>
        </w:rPr>
        <w:t>项目实施及管理情况</w:t>
      </w:r>
    </w:p>
    <w:p w14:paraId="63A8DA82">
      <w:pPr>
        <w:keepNext w:val="0"/>
        <w:keepLines w:val="0"/>
        <w:pageBreakBefore w:val="0"/>
        <w:kinsoku/>
        <w:wordWrap/>
        <w:overflowPunct/>
        <w:topLinePunct w:val="0"/>
        <w:autoSpaceDE w:val="0"/>
        <w:autoSpaceDN w:val="0"/>
        <w:bidi w:val="0"/>
        <w:adjustRightInd/>
        <w:snapToGrid/>
        <w:spacing w:line="240" w:lineRule="auto"/>
        <w:ind w:left="0" w:firstLine="640" w:firstLineChars="200"/>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方正仿宋_GBK" w:cs="Times New Roman"/>
          <w:kern w:val="0"/>
          <w:sz w:val="32"/>
          <w:szCs w:val="32"/>
        </w:rPr>
        <w:t>根据工作进展情况对项目进行实施。在项目实施前、实施中进行监督并开会讨论研究。项目实施后我局的各项工作得到有力保障，各项工作能正常运转。</w:t>
      </w:r>
    </w:p>
    <w:p w14:paraId="2797A510">
      <w:pPr>
        <w:keepNext w:val="0"/>
        <w:keepLines w:val="0"/>
        <w:pageBreakBefore w:val="0"/>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cs="Times New Roman"/>
          <w:color w:val="auto"/>
          <w:sz w:val="32"/>
          <w:szCs w:val="32"/>
          <w:highlight w:val="none"/>
          <w:u w:val="none"/>
          <w:lang w:val="zh-CN"/>
        </w:rPr>
      </w:pPr>
      <w:r>
        <w:rPr>
          <w:rFonts w:hint="default" w:ascii="Times New Roman" w:hAnsi="Times New Roman" w:eastAsia="黑体" w:cs="Times New Roman"/>
          <w:color w:val="auto"/>
          <w:sz w:val="32"/>
          <w:szCs w:val="32"/>
          <w:highlight w:val="none"/>
          <w:u w:val="none"/>
        </w:rPr>
        <w:t>四、项目绩效情况</w:t>
      </w:r>
      <w:r>
        <w:rPr>
          <w:rFonts w:hint="default" w:ascii="Times New Roman" w:hAnsi="Times New Roman" w:cs="Times New Roman"/>
          <w:color w:val="auto"/>
          <w:sz w:val="32"/>
          <w:szCs w:val="32"/>
          <w:highlight w:val="none"/>
          <w:u w:val="none"/>
          <w:lang w:val="zh-CN"/>
        </w:rPr>
        <w:tab/>
      </w:r>
    </w:p>
    <w:p w14:paraId="17BA0700">
      <w:pPr>
        <w:keepNext w:val="0"/>
        <w:keepLines w:val="0"/>
        <w:pageBreakBefore w:val="0"/>
        <w:kinsoku/>
        <w:wordWrap/>
        <w:overflowPunct/>
        <w:topLinePunct w:val="0"/>
        <w:autoSpaceDE/>
        <w:autoSpaceDN/>
        <w:bidi w:val="0"/>
        <w:adjustRightInd/>
        <w:snapToGrid/>
        <w:spacing w:line="240" w:lineRule="auto"/>
        <w:ind w:left="0" w:firstLine="643" w:firstLineChars="200"/>
        <w:jc w:val="both"/>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（一）项目完成情况。</w:t>
      </w:r>
    </w:p>
    <w:p w14:paraId="2BA82BEE">
      <w:pPr>
        <w:keepNext w:val="0"/>
        <w:keepLines w:val="0"/>
        <w:pageBreakBefore w:val="0"/>
        <w:kinsoku/>
        <w:wordWrap/>
        <w:overflowPunct/>
        <w:topLinePunct w:val="0"/>
        <w:autoSpaceDE w:val="0"/>
        <w:autoSpaceDN w:val="0"/>
        <w:bidi w:val="0"/>
        <w:adjustRightInd/>
        <w:snapToGrid/>
        <w:spacing w:line="240" w:lineRule="auto"/>
        <w:ind w:left="0"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年该项目主要完成以下内容：一是有效化解疑难及无责任主体的信访事项，维护仁和区的社会稳定，确保一方平安，促进地方经济发展；二是确保</w:t>
      </w:r>
      <w:r>
        <w:rPr>
          <w:rFonts w:hint="default" w:ascii="Times New Roman" w:hAnsi="Times New Roman" w:eastAsia="方正仿宋_GBK" w:cs="Times New Roman"/>
          <w:sz w:val="33"/>
          <w:szCs w:val="33"/>
          <w:lang w:bidi="ar"/>
        </w:rPr>
        <w:t>进京赴蓉值班值守、处置群众突发信访事项、协调处理跨地区、跨部门的重要信访问题工作顺利开展，出差人员差旅费得到有力保障；三是聘请法律顾问、聘请物业公司保洁人员劳务费得到有力保障，来访群众法律问题得到有效解决，接访场所环境有所提升。四是接入网络专线费用得到保障，各项网络办公能正常运行。以上项目按进度实施，年终项目实施进度100%。</w:t>
      </w:r>
    </w:p>
    <w:p w14:paraId="1E0DF67F">
      <w:pPr>
        <w:keepNext w:val="0"/>
        <w:keepLines w:val="0"/>
        <w:pageBreakBefore w:val="0"/>
        <w:numPr>
          <w:ilvl w:val="0"/>
          <w:numId w:val="6"/>
        </w:numPr>
        <w:kinsoku/>
        <w:wordWrap/>
        <w:overflowPunct/>
        <w:topLinePunct w:val="0"/>
        <w:autoSpaceDE/>
        <w:autoSpaceDN/>
        <w:bidi w:val="0"/>
        <w:adjustRightInd/>
        <w:snapToGrid/>
        <w:spacing w:line="240" w:lineRule="auto"/>
        <w:ind w:left="0" w:firstLine="643" w:firstLineChars="200"/>
        <w:jc w:val="both"/>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项目效益情况。</w:t>
      </w:r>
    </w:p>
    <w:p w14:paraId="4428BE50">
      <w:pPr>
        <w:keepNext w:val="0"/>
        <w:keepLines w:val="0"/>
        <w:pageBreakBefore w:val="0"/>
        <w:kinsoku/>
        <w:wordWrap/>
        <w:overflowPunct/>
        <w:topLinePunct w:val="0"/>
        <w:autoSpaceDE w:val="0"/>
        <w:autoSpaceDN w:val="0"/>
        <w:bidi w:val="0"/>
        <w:adjustRightInd/>
        <w:snapToGrid/>
        <w:spacing w:line="240" w:lineRule="auto"/>
        <w:ind w:left="0" w:firstLine="640" w:firstLineChars="200"/>
        <w:jc w:val="both"/>
        <w:textAlignment w:val="auto"/>
        <w:rPr>
          <w:rFonts w:hint="default" w:ascii="Times New Roman" w:hAnsi="Times New Roman" w:cs="Times New Roman"/>
          <w:lang w:val="zh-CN"/>
        </w:rPr>
      </w:pPr>
      <w:r>
        <w:rPr>
          <w:rFonts w:hint="default" w:ascii="Times New Roman" w:hAnsi="Times New Roman" w:eastAsia="仿宋_GB2312" w:cs="Times New Roman"/>
          <w:kern w:val="0"/>
          <w:sz w:val="32"/>
          <w:szCs w:val="32"/>
        </w:rPr>
        <w:t>社会效益：维护仁和区的社会稳定，确保一方平安，促进地方经济发展。服务对象满意度：及时办理群众来访、来信、网上信访受理、办理事项，及时化解群众诉求，群众满意度达到95%以上。</w:t>
      </w:r>
    </w:p>
    <w:p w14:paraId="52064D80">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五、</w:t>
      </w:r>
      <w:r>
        <w:rPr>
          <w:rFonts w:hint="default" w:ascii="Times New Roman" w:hAnsi="Times New Roman" w:eastAsia="黑体" w:cs="Times New Roman"/>
          <w:color w:val="auto"/>
          <w:sz w:val="32"/>
          <w:szCs w:val="32"/>
          <w:highlight w:val="none"/>
          <w:u w:val="none"/>
        </w:rPr>
        <w:t>评价结论及建议</w:t>
      </w:r>
    </w:p>
    <w:p w14:paraId="551F40AB">
      <w:pPr>
        <w:keepNext w:val="0"/>
        <w:keepLines w:val="0"/>
        <w:pageBreakBefore w:val="0"/>
        <w:kinsoku/>
        <w:wordWrap/>
        <w:overflowPunct/>
        <w:topLinePunct w:val="0"/>
        <w:autoSpaceDE w:val="0"/>
        <w:autoSpaceDN w:val="0"/>
        <w:bidi w:val="0"/>
        <w:adjustRightInd/>
        <w:snapToGrid/>
        <w:spacing w:line="240" w:lineRule="auto"/>
        <w:ind w:left="0" w:firstLine="643" w:firstLineChars="200"/>
        <w:jc w:val="both"/>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（一）评价结论。</w:t>
      </w:r>
    </w:p>
    <w:p w14:paraId="7F7A841D">
      <w:pPr>
        <w:keepNext w:val="0"/>
        <w:keepLines w:val="0"/>
        <w:pageBreakBefore w:val="0"/>
        <w:kinsoku/>
        <w:wordWrap/>
        <w:overflowPunct/>
        <w:topLinePunct w:val="0"/>
        <w:bidi w:val="0"/>
        <w:adjustRightInd/>
        <w:snapToGrid/>
        <w:spacing w:line="240" w:lineRule="auto"/>
        <w:ind w:lef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bidi="ar"/>
        </w:rPr>
        <w:t>一是执行预算制度到位。能够严格执行《预算法》和各项财经纪律，机关制度健全，财务管理规范，预算编制合理;二是资金监管到位。经费开支按用途使用合理，做到专账专管,专款专用；三是人员配备和账务核算到位。项目总体评价好。</w:t>
      </w:r>
    </w:p>
    <w:p w14:paraId="725E19F4">
      <w:pPr>
        <w:keepNext w:val="0"/>
        <w:keepLines w:val="0"/>
        <w:pageBreakBefore w:val="0"/>
        <w:kinsoku/>
        <w:wordWrap/>
        <w:overflowPunct/>
        <w:topLinePunct w:val="0"/>
        <w:autoSpaceDE w:val="0"/>
        <w:autoSpaceDN w:val="0"/>
        <w:bidi w:val="0"/>
        <w:adjustRightInd/>
        <w:snapToGrid/>
        <w:spacing w:line="240" w:lineRule="auto"/>
        <w:ind w:left="0" w:firstLine="643" w:firstLineChars="200"/>
        <w:jc w:val="both"/>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（二）存在的问题。</w:t>
      </w:r>
    </w:p>
    <w:p w14:paraId="40DCD4D4">
      <w:pPr>
        <w:keepNext w:val="0"/>
        <w:keepLines w:val="0"/>
        <w:pageBreakBefore w:val="0"/>
        <w:kinsoku/>
        <w:wordWrap/>
        <w:overflowPunct/>
        <w:topLinePunct w:val="0"/>
        <w:autoSpaceDE w:val="0"/>
        <w:autoSpaceDN w:val="0"/>
        <w:bidi w:val="0"/>
        <w:adjustRightInd/>
        <w:snapToGrid/>
        <w:spacing w:line="240" w:lineRule="auto"/>
        <w:ind w:left="0"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因财政资金困难，资金无法按进度完成支付。</w:t>
      </w:r>
    </w:p>
    <w:p w14:paraId="5838A23E">
      <w:pPr>
        <w:keepNext w:val="0"/>
        <w:keepLines w:val="0"/>
        <w:pageBreakBefore w:val="0"/>
        <w:kinsoku/>
        <w:wordWrap/>
        <w:overflowPunct/>
        <w:topLinePunct w:val="0"/>
        <w:autoSpaceDE w:val="0"/>
        <w:autoSpaceDN w:val="0"/>
        <w:bidi w:val="0"/>
        <w:adjustRightInd/>
        <w:snapToGrid/>
        <w:spacing w:line="240" w:lineRule="auto"/>
        <w:ind w:left="0" w:firstLine="643" w:firstLineChars="200"/>
        <w:jc w:val="both"/>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（三）相关建议。</w:t>
      </w:r>
    </w:p>
    <w:p w14:paraId="13F828B3">
      <w:pPr>
        <w:keepNext w:val="0"/>
        <w:keepLines w:val="0"/>
        <w:pageBreakBefore w:val="0"/>
        <w:kinsoku/>
        <w:wordWrap/>
        <w:overflowPunct/>
        <w:topLinePunct w:val="0"/>
        <w:bidi w:val="0"/>
        <w:adjustRightInd/>
        <w:snapToGrid/>
        <w:spacing w:line="240" w:lineRule="auto"/>
        <w:ind w:left="0" w:firstLine="660" w:firstLineChars="200"/>
        <w:jc w:val="both"/>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sz w:val="33"/>
          <w:szCs w:val="33"/>
          <w:lang w:eastAsia="zh-CN" w:bidi="ar"/>
        </w:rPr>
        <w:t>一是加强与财政沟强，加强支付进度；二是</w:t>
      </w:r>
      <w:r>
        <w:rPr>
          <w:rFonts w:hint="default" w:ascii="Times New Roman" w:hAnsi="Times New Roman" w:eastAsia="方正仿宋_GBK" w:cs="Times New Roman"/>
          <w:sz w:val="33"/>
          <w:szCs w:val="33"/>
          <w:lang w:bidi="ar"/>
        </w:rPr>
        <w:t>加强单位内部控制建设，建立内控长效机制</w:t>
      </w:r>
      <w:r>
        <w:rPr>
          <w:rFonts w:hint="default" w:ascii="Times New Roman" w:hAnsi="Times New Roman" w:eastAsia="方正仿宋_GBK" w:cs="Times New Roman"/>
          <w:sz w:val="33"/>
          <w:szCs w:val="33"/>
          <w:lang w:eastAsia="zh-CN" w:bidi="ar"/>
        </w:rPr>
        <w:t>。</w:t>
      </w:r>
    </w:p>
    <w:p w14:paraId="72F1B484">
      <w:pPr>
        <w:spacing w:line="580" w:lineRule="exact"/>
        <w:rPr>
          <w:rStyle w:val="28"/>
          <w:rFonts w:hint="default" w:ascii="Times New Roman" w:hAnsi="Times New Roman" w:eastAsia="黑体" w:cs="Times New Roman"/>
          <w:b w:val="0"/>
          <w:color w:val="auto"/>
          <w:highlight w:val="none"/>
        </w:rPr>
      </w:pPr>
    </w:p>
    <w:p w14:paraId="589B7523">
      <w:pPr>
        <w:widowControl/>
        <w:jc w:val="left"/>
        <w:rPr>
          <w:rStyle w:val="28"/>
          <w:rFonts w:hint="default" w:ascii="Times New Roman" w:hAnsi="Times New Roman" w:eastAsia="黑体" w:cs="Times New Roman"/>
          <w:b w:val="0"/>
          <w:color w:val="auto"/>
          <w:highlight w:val="none"/>
        </w:rPr>
      </w:pPr>
      <w:r>
        <w:rPr>
          <w:rStyle w:val="28"/>
          <w:rFonts w:hint="default" w:ascii="Times New Roman" w:hAnsi="Times New Roman" w:eastAsia="黑体" w:cs="Times New Roman"/>
          <w:b w:val="0"/>
          <w:color w:val="auto"/>
          <w:highlight w:val="none"/>
        </w:rPr>
        <w:br w:type="page"/>
      </w:r>
    </w:p>
    <w:p w14:paraId="20D2A4FF">
      <w:pPr>
        <w:spacing w:line="600" w:lineRule="exact"/>
        <w:jc w:val="center"/>
        <w:rPr>
          <w:rFonts w:hint="default" w:ascii="Times New Roman" w:hAnsi="Times New Roman" w:eastAsia="宋体" w:cs="Times New Roman"/>
          <w:sz w:val="36"/>
          <w:szCs w:val="36"/>
        </w:rPr>
      </w:pPr>
      <w:r>
        <w:rPr>
          <w:rFonts w:hint="default" w:ascii="Times New Roman" w:hAnsi="Times New Roman" w:eastAsia="方正小标宋_GBK" w:cs="Times New Roman"/>
          <w:sz w:val="36"/>
          <w:szCs w:val="36"/>
        </w:rPr>
        <w:t>攀枝花市仁和区信访局</w:t>
      </w:r>
    </w:p>
    <w:p w14:paraId="371EC65C">
      <w:pPr>
        <w:pStyle w:val="34"/>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val="en-US"/>
        </w:rPr>
        <w:t>202</w:t>
      </w:r>
      <w:r>
        <w:rPr>
          <w:rFonts w:hint="default" w:ascii="Times New Roman" w:hAnsi="Times New Roman" w:eastAsia="方正小标宋简体" w:cs="Times New Roman"/>
          <w:sz w:val="36"/>
          <w:szCs w:val="36"/>
          <w:lang w:val="en-US" w:eastAsia="zh-CN"/>
        </w:rPr>
        <w:t>2</w:t>
      </w:r>
      <w:r>
        <w:rPr>
          <w:rFonts w:hint="default" w:ascii="Times New Roman" w:hAnsi="Times New Roman" w:eastAsia="方正小标宋简体" w:cs="Times New Roman"/>
          <w:sz w:val="36"/>
          <w:szCs w:val="36"/>
          <w:lang w:val="en-US"/>
        </w:rPr>
        <w:t>年</w:t>
      </w:r>
      <w:r>
        <w:rPr>
          <w:rFonts w:hint="default" w:ascii="Times New Roman" w:hAnsi="Times New Roman" w:eastAsia="方正小标宋简体" w:cs="Times New Roman"/>
          <w:sz w:val="36"/>
          <w:szCs w:val="36"/>
          <w:lang w:val="en-US" w:eastAsia="zh-CN"/>
        </w:rPr>
        <w:t>政府性基金</w:t>
      </w:r>
      <w:r>
        <w:rPr>
          <w:rFonts w:hint="default" w:ascii="Times New Roman" w:hAnsi="Times New Roman" w:eastAsia="方正小标宋简体" w:cs="Times New Roman"/>
          <w:sz w:val="36"/>
          <w:szCs w:val="36"/>
        </w:rPr>
        <w:t>预算项目支出绩效自评报告</w:t>
      </w:r>
    </w:p>
    <w:p w14:paraId="66C01414">
      <w:pPr>
        <w:spacing w:line="600" w:lineRule="exact"/>
        <w:ind w:firstLine="117" w:firstLineChars="39"/>
        <w:jc w:val="center"/>
        <w:rPr>
          <w:rFonts w:hint="default" w:ascii="Times New Roman" w:hAnsi="Times New Roman" w:eastAsia="方正小标宋_GBK" w:cs="Times New Roman"/>
          <w:sz w:val="30"/>
          <w:szCs w:val="30"/>
        </w:rPr>
      </w:pPr>
      <w:r>
        <w:rPr>
          <w:rFonts w:hint="default" w:ascii="Times New Roman" w:hAnsi="Times New Roman" w:eastAsia="方正小标宋_GBK" w:cs="Times New Roman"/>
          <w:sz w:val="30"/>
          <w:szCs w:val="30"/>
        </w:rPr>
        <w:t>（仁和区群众意见受理中心项目经费）</w:t>
      </w:r>
    </w:p>
    <w:p w14:paraId="36E810DB">
      <w:pPr>
        <w:pStyle w:val="34"/>
        <w:spacing w:line="560" w:lineRule="exact"/>
        <w:jc w:val="center"/>
        <w:rPr>
          <w:rFonts w:hint="default" w:ascii="Times New Roman" w:hAnsi="Times New Roman" w:eastAsia="仿宋_GB2312" w:cs="Times New Roman"/>
          <w:color w:val="auto"/>
          <w:kern w:val="2"/>
          <w:sz w:val="30"/>
          <w:szCs w:val="30"/>
        </w:rPr>
      </w:pPr>
    </w:p>
    <w:p w14:paraId="02D8AC56">
      <w:pPr>
        <w:keepNext w:val="0"/>
        <w:keepLines w:val="0"/>
        <w:pageBreakBefore w:val="0"/>
        <w:widowControl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一、项目概况</w:t>
      </w:r>
    </w:p>
    <w:p w14:paraId="41A8DD6B">
      <w:pPr>
        <w:keepNext w:val="0"/>
        <w:keepLines w:val="0"/>
        <w:pageBreakBefore w:val="0"/>
        <w:widowControl w:val="0"/>
        <w:numPr>
          <w:ilvl w:val="0"/>
          <w:numId w:val="0"/>
        </w:numPr>
        <w:kinsoku/>
        <w:wordWrap/>
        <w:overflowPunct/>
        <w:topLinePunct w:val="0"/>
        <w:bidi w:val="0"/>
        <w:adjustRightInd/>
        <w:snapToGrid/>
        <w:spacing w:line="240" w:lineRule="auto"/>
        <w:ind w:left="0" w:leftChars="0" w:firstLine="643"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楷体_GB2312" w:cs="Times New Roman"/>
          <w:b/>
          <w:sz w:val="32"/>
          <w:szCs w:val="32"/>
          <w:lang w:val="zh-CN"/>
        </w:rPr>
        <w:t>（一）项目资金申报及批复情况。</w:t>
      </w:r>
    </w:p>
    <w:p w14:paraId="450BDE1A">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lang w:val="en-US" w:eastAsia="zh-CN"/>
        </w:rPr>
        <w:t>1.</w:t>
      </w:r>
      <w:r>
        <w:rPr>
          <w:rFonts w:hint="default" w:ascii="Times New Roman" w:hAnsi="Times New Roman" w:eastAsia="楷体_GB2312" w:cs="Times New Roman"/>
          <w:kern w:val="0"/>
          <w:sz w:val="32"/>
          <w:szCs w:val="32"/>
        </w:rPr>
        <w:t>项目基本情况。</w:t>
      </w:r>
    </w:p>
    <w:p w14:paraId="14F44442">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信访局加强对党群一号通暨群众意见受理中心工作的领导、管理和指导，加大信访业务的培训，指导对群众投诉进行转交办督等工作，对复杂诉求和建议事件积极沟通协调，开展跟踪督查，妥善解决群众诉求，不断提升交办、答复的时效和质量。具体职能是</w:t>
      </w:r>
      <w:r>
        <w:rPr>
          <w:rFonts w:hint="default" w:ascii="Times New Roman" w:hAnsi="Times New Roman" w:eastAsia="仿宋_GB2312" w:cs="Times New Roman"/>
          <w:sz w:val="32"/>
          <w:szCs w:val="32"/>
        </w:rPr>
        <w:t>日常运行及管理，承担受理、审核、转送、交办、督办、综合协调、回访群众通过网络、电话反映的投诉事项；综合分析、报送和通报群众投诉事项；指导区级部门和乡镇、街道网络（电话）投诉受理工作；负责监管服务热线（网络）运行情况，及时反映群众关注的焦点、热点、难点</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；负责对服务热线运营商的监督、管理和考核工作。</w:t>
      </w:r>
    </w:p>
    <w:p w14:paraId="6722A2EF">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项目立项、资金申报的依据。</w:t>
      </w:r>
    </w:p>
    <w:p w14:paraId="016B4517">
      <w:pPr>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2022年5月30日</w:t>
      </w:r>
      <w:r>
        <w:rPr>
          <w:rFonts w:hint="default" w:ascii="Times New Roman" w:hAnsi="Times New Roman" w:eastAsia="仿宋_GB2312" w:cs="Times New Roman"/>
          <w:sz w:val="32"/>
          <w:szCs w:val="32"/>
        </w:rPr>
        <w:t>攀枝花市仁和区人民政府常务会</w:t>
      </w:r>
      <w:r>
        <w:rPr>
          <w:rFonts w:hint="default" w:ascii="Times New Roman" w:hAnsi="Times New Roman" w:eastAsia="仿宋_GB2312" w:cs="Times New Roman"/>
          <w:sz w:val="32"/>
          <w:szCs w:val="32"/>
          <w:lang w:eastAsia="zh-CN"/>
        </w:rPr>
        <w:t>第</w:t>
      </w:r>
      <w:r>
        <w:rPr>
          <w:rFonts w:hint="default" w:ascii="Times New Roman" w:hAnsi="Times New Roman" w:eastAsia="仿宋_GB2312" w:cs="Times New Roman"/>
          <w:sz w:val="32"/>
          <w:szCs w:val="32"/>
          <w:lang w:val="en-US" w:eastAsia="zh-CN"/>
        </w:rPr>
        <w:t>14期会议纪要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区政府第</w:t>
      </w:r>
      <w:r>
        <w:rPr>
          <w:rFonts w:hint="default" w:ascii="Times New Roman" w:hAnsi="Times New Roman" w:eastAsia="仿宋_GB2312" w:cs="Times New Roman"/>
          <w:sz w:val="32"/>
          <w:szCs w:val="32"/>
          <w:lang w:val="en-US" w:eastAsia="zh-CN"/>
        </w:rPr>
        <w:t>14次常务会议纪要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攀枝花市仁和区人民政府常务会</w:t>
      </w:r>
      <w:r>
        <w:rPr>
          <w:rFonts w:hint="default" w:ascii="Times New Roman" w:hAnsi="Times New Roman" w:eastAsia="仿宋_GB2312" w:cs="Times New Roman"/>
          <w:sz w:val="32"/>
          <w:szCs w:val="32"/>
          <w:lang w:eastAsia="zh-CN"/>
        </w:rPr>
        <w:t>议文件十三届第</w:t>
      </w:r>
      <w:r>
        <w:rPr>
          <w:rFonts w:hint="default" w:ascii="Times New Roman" w:hAnsi="Times New Roman" w:eastAsia="仿宋_GB2312" w:cs="Times New Roman"/>
          <w:sz w:val="32"/>
          <w:szCs w:val="32"/>
          <w:lang w:val="en-US" w:eastAsia="zh-CN"/>
        </w:rPr>
        <w:t>14次《关于继续运用</w:t>
      </w:r>
      <w:r>
        <w:rPr>
          <w:rFonts w:hint="default" w:ascii="Times New Roman" w:hAnsi="Times New Roman" w:eastAsia="仿宋_GB2312" w:cs="Times New Roman"/>
          <w:sz w:val="32"/>
          <w:szCs w:val="32"/>
          <w:lang w:eastAsia="zh-CN"/>
        </w:rPr>
        <w:t>区党群一号通暨群众意见受理中心网上信访系统并保障运行费用请示的汇报提纲</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《仁和区党群一号通暨群众意见受理中心网上信访系统运行维护项目合同》《仁和区党群一号通暨群众意见受理中心网上信访系统外包服务项目合同》《攀枝花市仁和区信访局网络安全业务协议》</w:t>
      </w:r>
    </w:p>
    <w:p w14:paraId="524096FE">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资金分配的原则及考虑因素。</w:t>
      </w:r>
    </w:p>
    <w:p w14:paraId="6E64592C">
      <w:pPr>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该项目资金主要用于：一是支付短号资源占用费、光纤网络租用费、智呼云维护、短信套餐等第三方运营商费用。二是支付项目96097热线、官网、微信、微博、APP等服务，整合人民网地方领导留言板、区委书记信箱、区长信箱、12345 政务服务便民热线、四川日报“问政四川”、四川麻辣社区“群众呼声”、现场接访等投诉平台涉及系统硬件+软件运行和维护费。三是支付坐席人员的</w:t>
      </w:r>
      <w:r>
        <w:rPr>
          <w:rFonts w:hint="default" w:ascii="Times New Roman" w:hAnsi="Times New Roman" w:eastAsia="方正仿宋_GBK" w:cs="Times New Roman"/>
          <w:color w:val="000000"/>
          <w:sz w:val="32"/>
          <w:szCs w:val="32"/>
        </w:rPr>
        <w:t>员工薪酬和五险一金的人力成本费。</w:t>
      </w:r>
    </w:p>
    <w:p w14:paraId="7053413F">
      <w:pPr>
        <w:keepNext w:val="0"/>
        <w:keepLines w:val="0"/>
        <w:pageBreakBefore w:val="0"/>
        <w:widowControl w:val="0"/>
        <w:numPr>
          <w:ilvl w:val="0"/>
          <w:numId w:val="0"/>
        </w:numPr>
        <w:kinsoku/>
        <w:wordWrap/>
        <w:overflowPunct/>
        <w:topLinePunct w:val="0"/>
        <w:bidi w:val="0"/>
        <w:adjustRightInd/>
        <w:snapToGrid/>
        <w:spacing w:line="240" w:lineRule="auto"/>
        <w:ind w:left="0" w:leftChars="0" w:firstLine="643" w:firstLineChars="200"/>
        <w:jc w:val="both"/>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14:paraId="16D27DDF">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项目主要内容。</w:t>
      </w:r>
    </w:p>
    <w:p w14:paraId="1EB9DD2F">
      <w:pPr>
        <w:keepNext w:val="0"/>
        <w:keepLines w:val="0"/>
        <w:pageBreakBefore w:val="0"/>
        <w:widowControl w:val="0"/>
        <w:kinsoku/>
        <w:wordWrap/>
        <w:overflowPunct/>
        <w:topLinePunct w:val="0"/>
        <w:bidi w:val="0"/>
        <w:adjustRightInd/>
        <w:snapToGrid/>
        <w:spacing w:line="240" w:lineRule="auto"/>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建有语音咨询投诉系统。主要是新开通热线电话(96097)，设置5个坐席人员，每天提供24小时的服务，为群众提供政务咨询、投诉、建议、办事、求助类的便民服务，很大程度方便群众，提高服务质量，提升群众满意度。</w:t>
      </w:r>
    </w:p>
    <w:p w14:paraId="5906BF5B">
      <w:pPr>
        <w:keepNext w:val="0"/>
        <w:keepLines w:val="0"/>
        <w:pageBreakBefore w:val="0"/>
        <w:widowControl w:val="0"/>
        <w:kinsoku/>
        <w:wordWrap/>
        <w:overflowPunct/>
        <w:topLinePunct w:val="0"/>
        <w:bidi w:val="0"/>
        <w:adjustRightInd/>
        <w:snapToGrid/>
        <w:spacing w:line="240" w:lineRule="auto"/>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整合网络投诉平台。现整合有人民网地方领导留言板、区委书记信箱、区长信箱、12345 政务服务便民热线、四川日报“问政四川”、四川麻辣社区“群众呼声”等投诉平台，联通全区机关企事业单位、乡镇（街道）91个，群众可利用高效便捷的网络向政府部门提出建议、意见或进行投诉、举报等事项，建立起政府与群众之间全天候的联系渠道，随时听取群众的意见、解决群众的困难、接受群众监督。</w:t>
      </w:r>
    </w:p>
    <w:p w14:paraId="31791B41">
      <w:pPr>
        <w:keepNext w:val="0"/>
        <w:keepLines w:val="0"/>
        <w:pageBreakBefore w:val="0"/>
        <w:widowControl w:val="0"/>
        <w:kinsoku/>
        <w:wordWrap/>
        <w:overflowPunct/>
        <w:topLinePunct w:val="0"/>
        <w:bidi w:val="0"/>
        <w:adjustRightInd/>
        <w:snapToGrid/>
        <w:spacing w:line="240" w:lineRule="auto"/>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运营信访网站、微信、微博，负责政策咨询、诉求受理以及相关咨询等工作。</w:t>
      </w:r>
    </w:p>
    <w:p w14:paraId="690312D2">
      <w:pPr>
        <w:keepNext w:val="0"/>
        <w:keepLines w:val="0"/>
        <w:pageBreakBefore w:val="0"/>
        <w:widowControl w:val="0"/>
        <w:kinsoku/>
        <w:wordWrap/>
        <w:overflowPunct/>
        <w:topLinePunct w:val="0"/>
        <w:bidi w:val="0"/>
        <w:adjustRightInd/>
        <w:snapToGrid/>
        <w:spacing w:line="240" w:lineRule="auto"/>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建有知识库系统。按照“统一建设、分责维护、信息共享”和“谁提供谁负责、谁录入谁更新”的原则，建有咨询类知识数据库和民生服务类知识数据库，主要涉及政府政策类咨询、民生热点、便民提示、办事指南等，方便广大群众快捷咨询查询服务。</w:t>
      </w:r>
    </w:p>
    <w:p w14:paraId="502568B0">
      <w:pPr>
        <w:keepNext w:val="0"/>
        <w:keepLines w:val="0"/>
        <w:pageBreakBefore w:val="0"/>
        <w:widowControl w:val="0"/>
        <w:kinsoku/>
        <w:wordWrap/>
        <w:overflowPunct/>
        <w:topLinePunct w:val="0"/>
        <w:bidi w:val="0"/>
        <w:adjustRightInd/>
        <w:snapToGrid/>
        <w:spacing w:line="240" w:lineRule="auto"/>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五是</w:t>
      </w:r>
      <w:r>
        <w:rPr>
          <w:rFonts w:hint="default" w:ascii="Times New Roman" w:hAnsi="Times New Roman" w:eastAsia="仿宋_GB2312" w:cs="Times New Roman"/>
          <w:sz w:val="32"/>
          <w:szCs w:val="32"/>
        </w:rPr>
        <w:t>建有数据分析系统。对系统历史数据按照时间、地域、事件类型等进行深度挖掘和大数据分析，为区委、区政府决策提供有力的数据支撑。</w:t>
      </w:r>
    </w:p>
    <w:p w14:paraId="33169ABD">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项目应实现的具体绩效目标，包括目标的量化、细化情况以及项目实施进度计划等。</w:t>
      </w:r>
    </w:p>
    <w:p w14:paraId="1E2F60A4">
      <w:pPr>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项目实施后，</w:t>
      </w:r>
      <w:r>
        <w:rPr>
          <w:rFonts w:hint="default" w:ascii="Times New Roman" w:hAnsi="Times New Roman" w:eastAsia="仿宋_GB2312" w:cs="Times New Roman"/>
          <w:color w:val="000000"/>
          <w:sz w:val="32"/>
          <w:szCs w:val="32"/>
        </w:rPr>
        <w:t>区党群一号通暨群众意见受理中心每年处理办结辖区群众各类投诉、举报、建议和12345政务服务热线交办信访事项7000余件次，及时解决信访群众所急所盼，有效减少信访上行压力。</w:t>
      </w:r>
    </w:p>
    <w:p w14:paraId="0B8BA85E">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cs="Times New Roman"/>
          <w:lang w:val="zh-CN"/>
        </w:rPr>
      </w:pPr>
      <w:r>
        <w:rPr>
          <w:rFonts w:hint="default" w:ascii="Times New Roman" w:hAnsi="Times New Roman" w:eastAsia="方正仿宋_GBK" w:cs="Times New Roman"/>
          <w:sz w:val="33"/>
          <w:szCs w:val="33"/>
          <w:lang w:bidi="ar"/>
        </w:rPr>
        <w:t>以上项目按进度实施，年终项目实施进度100%。</w:t>
      </w:r>
      <w:r>
        <w:rPr>
          <w:rFonts w:hint="default" w:ascii="Times New Roman" w:hAnsi="Times New Roman" w:eastAsia="仿宋_GB2312" w:cs="Times New Roman"/>
          <w:kern w:val="0"/>
          <w:sz w:val="32"/>
          <w:szCs w:val="32"/>
        </w:rPr>
        <w:t xml:space="preserve">  </w:t>
      </w:r>
      <w:r>
        <w:rPr>
          <w:rFonts w:hint="default" w:ascii="Times New Roman" w:hAnsi="Times New Roman" w:cs="Times New Roman"/>
          <w:kern w:val="0"/>
          <w:sz w:val="32"/>
          <w:szCs w:val="32"/>
          <w:lang w:val="en-US" w:eastAsia="zh-CN"/>
        </w:rPr>
        <w:t xml:space="preserve"> </w:t>
      </w:r>
    </w:p>
    <w:p w14:paraId="65B70F8F">
      <w:pPr>
        <w:keepNext w:val="0"/>
        <w:keepLines w:val="0"/>
        <w:pageBreakBefore w:val="0"/>
        <w:widowControl w:val="0"/>
        <w:numPr>
          <w:ilvl w:val="0"/>
          <w:numId w:val="0"/>
        </w:numPr>
        <w:kinsoku/>
        <w:wordWrap/>
        <w:overflowPunct/>
        <w:topLinePunct w:val="0"/>
        <w:bidi w:val="0"/>
        <w:adjustRightInd/>
        <w:snapToGrid/>
        <w:spacing w:line="240" w:lineRule="auto"/>
        <w:ind w:left="0" w:leftChars="0" w:firstLine="643" w:firstLineChars="200"/>
        <w:jc w:val="both"/>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（三）项目资金申报相符性。</w:t>
      </w:r>
    </w:p>
    <w:p w14:paraId="1CD4D96E">
      <w:pPr>
        <w:keepNext w:val="0"/>
        <w:keepLines w:val="0"/>
        <w:pageBreakBefore w:val="0"/>
        <w:widowControl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rPr>
        <w:t>申报内容与</w:t>
      </w:r>
      <w:r>
        <w:rPr>
          <w:rFonts w:hint="default" w:ascii="Times New Roman" w:hAnsi="Times New Roman" w:eastAsia="仿宋_GB2312" w:cs="Times New Roman"/>
          <w:color w:val="000000"/>
          <w:sz w:val="32"/>
          <w:szCs w:val="32"/>
          <w:lang w:eastAsia="zh-CN"/>
        </w:rPr>
        <w:t>具体</w:t>
      </w:r>
      <w:r>
        <w:rPr>
          <w:rFonts w:hint="default" w:ascii="Times New Roman" w:hAnsi="Times New Roman" w:eastAsia="仿宋_GB2312" w:cs="Times New Roman"/>
          <w:color w:val="000000"/>
          <w:sz w:val="32"/>
          <w:szCs w:val="32"/>
        </w:rPr>
        <w:t>实际相符，申报目标合理可行。</w:t>
      </w:r>
    </w:p>
    <w:p w14:paraId="40B7AD4E">
      <w:pPr>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二、项目实施及管理情况</w:t>
      </w:r>
    </w:p>
    <w:p w14:paraId="62198AA4">
      <w:pPr>
        <w:keepNext w:val="0"/>
        <w:keepLines w:val="0"/>
        <w:pageBreakBefore w:val="0"/>
        <w:widowControl w:val="0"/>
        <w:kinsoku/>
        <w:wordWrap/>
        <w:overflowPunct/>
        <w:topLinePunct w:val="0"/>
        <w:bidi w:val="0"/>
        <w:adjustRightInd/>
        <w:snapToGrid/>
        <w:spacing w:line="240" w:lineRule="auto"/>
        <w:ind w:left="0" w:leftChars="0" w:firstLine="643" w:firstLineChars="200"/>
        <w:jc w:val="both"/>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（一）资金计划、到位及使用情况。</w:t>
      </w:r>
    </w:p>
    <w:p w14:paraId="726847CC">
      <w:pPr>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1</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val="zh-CN"/>
        </w:rPr>
        <w:t>资金计划及到位。</w:t>
      </w:r>
    </w:p>
    <w:p w14:paraId="3D965404">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年，该项目资金计划54.75万元，均计划来自区本级资金。</w:t>
      </w:r>
      <w:r>
        <w:rPr>
          <w:rFonts w:hint="default" w:ascii="Times New Roman" w:hAnsi="Times New Roman" w:eastAsia="仿宋_GB2312" w:cs="Times New Roman"/>
          <w:kern w:val="0"/>
          <w:sz w:val="32"/>
          <w:szCs w:val="32"/>
          <w:lang w:val="en-US" w:eastAsia="zh-CN"/>
        </w:rPr>
        <w:t>2022年</w:t>
      </w:r>
      <w:r>
        <w:rPr>
          <w:rFonts w:hint="default" w:ascii="Times New Roman" w:hAnsi="Times New Roman" w:eastAsia="仿宋_GB2312" w:cs="Times New Roman"/>
          <w:kern w:val="0"/>
          <w:sz w:val="32"/>
          <w:szCs w:val="32"/>
        </w:rPr>
        <w:t>，该项目全区资金到位54.75万元，资金到位和资金计划相同，到位率100%，资金到位比较及时。</w:t>
      </w:r>
    </w:p>
    <w:p w14:paraId="346EAFA8">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楷体_GB2312" w:cs="Times New Roman"/>
          <w:sz w:val="32"/>
          <w:szCs w:val="32"/>
          <w:lang w:val="zh-CN"/>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楷体_GB2312" w:cs="Times New Roman"/>
          <w:sz w:val="32"/>
          <w:szCs w:val="32"/>
          <w:lang w:val="zh-CN"/>
        </w:rPr>
        <w:t>资金使用。</w:t>
      </w:r>
    </w:p>
    <w:p w14:paraId="135FBE87">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2022年</w:t>
      </w:r>
      <w:r>
        <w:rPr>
          <w:rFonts w:hint="default" w:ascii="Times New Roman" w:hAnsi="Times New Roman" w:eastAsia="仿宋_GB2312" w:cs="Times New Roman"/>
          <w:kern w:val="0"/>
          <w:sz w:val="32"/>
          <w:szCs w:val="32"/>
        </w:rPr>
        <w:t>，该项目资金支出</w:t>
      </w:r>
      <w:r>
        <w:rPr>
          <w:rFonts w:hint="default" w:ascii="Times New Roman" w:hAnsi="Times New Roman" w:eastAsia="仿宋_GB2312" w:cs="Times New Roman"/>
          <w:kern w:val="0"/>
          <w:sz w:val="32"/>
          <w:szCs w:val="32"/>
          <w:lang w:val="en-US" w:eastAsia="zh-CN"/>
        </w:rPr>
        <w:t>27.37</w:t>
      </w:r>
      <w:r>
        <w:rPr>
          <w:rFonts w:hint="default" w:ascii="Times New Roman" w:hAnsi="Times New Roman" w:eastAsia="仿宋_GB2312" w:cs="Times New Roman"/>
          <w:kern w:val="0"/>
          <w:sz w:val="32"/>
          <w:szCs w:val="32"/>
        </w:rPr>
        <w:t>万元，执行率</w:t>
      </w:r>
      <w:r>
        <w:rPr>
          <w:rFonts w:hint="default" w:ascii="Times New Roman" w:hAnsi="Times New Roman" w:eastAsia="仿宋_GB2312" w:cs="Times New Roman"/>
          <w:kern w:val="0"/>
          <w:sz w:val="32"/>
          <w:szCs w:val="32"/>
          <w:lang w:val="en-US" w:eastAsia="zh-CN"/>
        </w:rPr>
        <w:t>50</w:t>
      </w:r>
      <w:r>
        <w:rPr>
          <w:rFonts w:hint="default" w:ascii="Times New Roman" w:hAnsi="Times New Roman" w:eastAsia="仿宋_GB2312" w:cs="Times New Roman"/>
          <w:kern w:val="0"/>
          <w:sz w:val="32"/>
          <w:szCs w:val="32"/>
        </w:rPr>
        <w:t>%，资金使用安全、规范、有效</w:t>
      </w:r>
      <w:r>
        <w:rPr>
          <w:rFonts w:hint="default" w:ascii="Times New Roman" w:hAnsi="Times New Roman" w:eastAsia="仿宋_GB2312" w:cs="Times New Roman"/>
          <w:kern w:val="0"/>
          <w:sz w:val="32"/>
          <w:szCs w:val="32"/>
          <w:lang w:eastAsia="zh-CN"/>
        </w:rPr>
        <w:t>，但不够</w:t>
      </w:r>
      <w:r>
        <w:rPr>
          <w:rFonts w:hint="default" w:ascii="Times New Roman" w:hAnsi="Times New Roman" w:eastAsia="仿宋_GB2312" w:cs="Times New Roman"/>
          <w:kern w:val="0"/>
          <w:sz w:val="32"/>
          <w:szCs w:val="32"/>
        </w:rPr>
        <w:t>及时，资金支付范围、支付标准、支付进度</w:t>
      </w:r>
      <w:r>
        <w:rPr>
          <w:rFonts w:hint="default" w:ascii="Times New Roman" w:hAnsi="Times New Roman" w:eastAsia="仿宋_GB2312" w:cs="Times New Roman"/>
          <w:kern w:val="0"/>
          <w:sz w:val="32"/>
          <w:szCs w:val="32"/>
          <w:lang w:eastAsia="zh-CN"/>
        </w:rPr>
        <w:t>未达到进度要求</w:t>
      </w:r>
      <w:r>
        <w:rPr>
          <w:rFonts w:hint="default" w:ascii="Times New Roman" w:hAnsi="Times New Roman" w:eastAsia="仿宋_GB2312" w:cs="Times New Roman"/>
          <w:kern w:val="0"/>
          <w:sz w:val="32"/>
          <w:szCs w:val="32"/>
        </w:rPr>
        <w:t>、支付依据合规合法；与预算</w:t>
      </w:r>
      <w:r>
        <w:rPr>
          <w:rFonts w:hint="default" w:ascii="Times New Roman" w:hAnsi="Times New Roman" w:eastAsia="仿宋_GB2312" w:cs="Times New Roman"/>
          <w:kern w:val="0"/>
          <w:sz w:val="32"/>
          <w:szCs w:val="32"/>
          <w:lang w:eastAsia="zh-CN"/>
        </w:rPr>
        <w:t>不相</w:t>
      </w:r>
      <w:r>
        <w:rPr>
          <w:rFonts w:hint="default" w:ascii="Times New Roman" w:hAnsi="Times New Roman" w:eastAsia="仿宋_GB2312" w:cs="Times New Roman"/>
          <w:kern w:val="0"/>
          <w:sz w:val="32"/>
          <w:szCs w:val="32"/>
        </w:rPr>
        <w:t>符</w:t>
      </w:r>
      <w:r>
        <w:rPr>
          <w:rFonts w:hint="default" w:ascii="Times New Roman" w:hAnsi="Times New Roman" w:eastAsia="仿宋_GB2312" w:cs="Times New Roman"/>
          <w:kern w:val="0"/>
          <w:sz w:val="32"/>
          <w:szCs w:val="32"/>
          <w:lang w:eastAsia="zh-CN"/>
        </w:rPr>
        <w:t>，主要原因是财政资金困难，无法按进度支付</w:t>
      </w:r>
      <w:r>
        <w:rPr>
          <w:rFonts w:hint="default" w:ascii="Times New Roman" w:hAnsi="Times New Roman" w:eastAsia="仿宋_GB2312" w:cs="Times New Roman"/>
          <w:kern w:val="0"/>
          <w:sz w:val="32"/>
          <w:szCs w:val="32"/>
        </w:rPr>
        <w:t>。</w:t>
      </w:r>
    </w:p>
    <w:p w14:paraId="135BC9C6">
      <w:pPr>
        <w:keepNext w:val="0"/>
        <w:keepLines w:val="0"/>
        <w:pageBreakBefore w:val="0"/>
        <w:widowControl w:val="0"/>
        <w:numPr>
          <w:ilvl w:val="0"/>
          <w:numId w:val="0"/>
        </w:numPr>
        <w:kinsoku/>
        <w:wordWrap/>
        <w:overflowPunct/>
        <w:topLinePunct w:val="0"/>
        <w:bidi w:val="0"/>
        <w:adjustRightInd/>
        <w:snapToGrid/>
        <w:spacing w:line="240" w:lineRule="auto"/>
        <w:ind w:left="0" w:leftChars="0" w:firstLine="643" w:firstLineChars="200"/>
        <w:jc w:val="both"/>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（二）项目财务管理情况。</w:t>
      </w:r>
    </w:p>
    <w:p w14:paraId="428B7D2B">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zh-CN"/>
        </w:rPr>
        <w:t>项目</w:t>
      </w:r>
      <w:r>
        <w:rPr>
          <w:rFonts w:hint="default" w:ascii="Times New Roman" w:hAnsi="Times New Roman" w:eastAsia="仿宋_GB2312" w:cs="Times New Roman"/>
          <w:kern w:val="0"/>
          <w:sz w:val="32"/>
          <w:szCs w:val="32"/>
        </w:rPr>
        <w:t>财务管理制度健全，</w:t>
      </w:r>
      <w:r>
        <w:rPr>
          <w:rFonts w:hint="default" w:ascii="Times New Roman" w:hAnsi="Times New Roman" w:eastAsia="仿宋_GB2312" w:cs="Times New Roman"/>
          <w:sz w:val="32"/>
          <w:szCs w:val="32"/>
          <w:lang w:val="zh-CN"/>
        </w:rPr>
        <w:t>机构设置合理、会计核算及账务处理及时，</w:t>
      </w:r>
      <w:r>
        <w:rPr>
          <w:rFonts w:hint="default" w:ascii="Times New Roman" w:hAnsi="Times New Roman" w:eastAsia="仿宋_GB2312" w:cs="Times New Roman"/>
          <w:kern w:val="0"/>
          <w:sz w:val="32"/>
          <w:szCs w:val="32"/>
        </w:rPr>
        <w:t>严格执行财务管理制度，账务处理及时，会计核算规范。</w:t>
      </w:r>
    </w:p>
    <w:p w14:paraId="7AC69E8F">
      <w:pPr>
        <w:keepNext w:val="0"/>
        <w:keepLines w:val="0"/>
        <w:pageBreakBefore w:val="0"/>
        <w:widowControl w:val="0"/>
        <w:numPr>
          <w:ilvl w:val="0"/>
          <w:numId w:val="0"/>
        </w:numPr>
        <w:kinsoku/>
        <w:wordWrap/>
        <w:overflowPunct/>
        <w:topLinePunct w:val="0"/>
        <w:bidi w:val="0"/>
        <w:adjustRightInd/>
        <w:snapToGrid/>
        <w:spacing w:line="240" w:lineRule="auto"/>
        <w:ind w:left="0" w:leftChars="0" w:firstLine="643" w:firstLineChars="200"/>
        <w:jc w:val="both"/>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（三）项目组织实施情况。</w:t>
      </w:r>
    </w:p>
    <w:p w14:paraId="5B38EC00">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根据工作进展情况对项目进行实施。在项目实施前、实施中进行监督并开会讨论研究。项目实施后我局的各项工作得到有利保障，各项工作能正常运转。</w:t>
      </w:r>
    </w:p>
    <w:p w14:paraId="7E7F7F87">
      <w:pPr>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default" w:ascii="Times New Roman" w:hAnsi="Times New Roman" w:cs="Times New Roman"/>
          <w:sz w:val="32"/>
          <w:szCs w:val="32"/>
          <w:lang w:val="zh-CN"/>
        </w:rPr>
      </w:pPr>
      <w:r>
        <w:rPr>
          <w:rFonts w:hint="default" w:ascii="Times New Roman" w:hAnsi="Times New Roman" w:eastAsia="黑体" w:cs="Times New Roman"/>
          <w:sz w:val="32"/>
          <w:szCs w:val="32"/>
        </w:rPr>
        <w:t>三、项目绩效情况</w:t>
      </w:r>
      <w:r>
        <w:rPr>
          <w:rFonts w:hint="default" w:ascii="Times New Roman" w:hAnsi="Times New Roman" w:cs="Times New Roman"/>
          <w:sz w:val="32"/>
          <w:szCs w:val="32"/>
          <w:lang w:val="zh-CN"/>
        </w:rPr>
        <w:tab/>
      </w:r>
    </w:p>
    <w:p w14:paraId="7CDF2764">
      <w:pPr>
        <w:keepNext w:val="0"/>
        <w:keepLines w:val="0"/>
        <w:pageBreakBefore w:val="0"/>
        <w:widowControl w:val="0"/>
        <w:kinsoku/>
        <w:wordWrap/>
        <w:overflowPunct/>
        <w:topLinePunct w:val="0"/>
        <w:bidi w:val="0"/>
        <w:adjustRightInd/>
        <w:snapToGrid/>
        <w:spacing w:line="240" w:lineRule="auto"/>
        <w:ind w:left="0" w:leftChars="0" w:firstLine="643" w:firstLineChars="200"/>
        <w:jc w:val="both"/>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14:paraId="099A2F2A">
      <w:pPr>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区党群一号通暨群众意见受理中心每年处理办结辖区群众各类投诉、举报、建议和12345政务服务热线交办信访事项</w:t>
      </w:r>
      <w:r>
        <w:rPr>
          <w:rFonts w:hint="default" w:ascii="Times New Roman" w:hAnsi="Times New Roman" w:cs="Times New Roman"/>
          <w:color w:val="000000"/>
          <w:sz w:val="32"/>
          <w:szCs w:val="32"/>
          <w:lang w:val="en-US" w:eastAsia="zh-CN"/>
        </w:rPr>
        <w:t>8</w:t>
      </w:r>
      <w:r>
        <w:rPr>
          <w:rFonts w:hint="default" w:ascii="Times New Roman" w:hAnsi="Times New Roman" w:eastAsia="仿宋_GB2312" w:cs="Times New Roman"/>
          <w:color w:val="000000"/>
          <w:sz w:val="32"/>
          <w:szCs w:val="32"/>
        </w:rPr>
        <w:t>000余件次，及时解决信访群众所急所盼，有效减少信访上行压力。一是整合了12345政务服务热线的市民投诉，规范限时答复办理信访投诉，做到解决问题有据可查、可追溯；二是及时汇聚社情民意，有利服务决策，实现信息资源共享，有利把握执政“风向标”；三是基本实现了快捷方便服务群众，及时规范回应群众关切</w:t>
      </w:r>
      <w:r>
        <w:rPr>
          <w:rFonts w:hint="default" w:ascii="Times New Roman" w:hAnsi="Times New Roman" w:cs="Times New Roman"/>
          <w:color w:val="000000"/>
          <w:sz w:val="32"/>
          <w:szCs w:val="32"/>
          <w:lang w:eastAsia="zh-CN"/>
        </w:rPr>
        <w:t>的事项</w:t>
      </w:r>
      <w:r>
        <w:rPr>
          <w:rFonts w:hint="default" w:ascii="Times New Roman" w:hAnsi="Times New Roman" w:eastAsia="仿宋_GB2312" w:cs="Times New Roman"/>
          <w:color w:val="000000"/>
          <w:sz w:val="32"/>
          <w:szCs w:val="32"/>
        </w:rPr>
        <w:t>。</w:t>
      </w:r>
    </w:p>
    <w:p w14:paraId="1B05102C">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sz w:val="33"/>
          <w:szCs w:val="33"/>
          <w:lang w:bidi="ar"/>
        </w:rPr>
      </w:pPr>
      <w:r>
        <w:rPr>
          <w:rFonts w:hint="default" w:ascii="Times New Roman" w:hAnsi="Times New Roman" w:eastAsia="方正仿宋_GBK" w:cs="Times New Roman"/>
          <w:sz w:val="33"/>
          <w:szCs w:val="33"/>
          <w:lang w:bidi="ar"/>
        </w:rPr>
        <w:t>以上项目按进度实施，年终项目实施进度100%。</w:t>
      </w:r>
    </w:p>
    <w:p w14:paraId="64367AA0">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43" w:firstLineChars="200"/>
        <w:jc w:val="both"/>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eastAsia="zh-CN"/>
        </w:rPr>
        <w:t>（二）</w:t>
      </w:r>
      <w:r>
        <w:rPr>
          <w:rFonts w:hint="default" w:ascii="Times New Roman" w:hAnsi="Times New Roman" w:eastAsia="楷体_GB2312" w:cs="Times New Roman"/>
          <w:b/>
          <w:sz w:val="32"/>
          <w:szCs w:val="32"/>
          <w:lang w:val="zh-CN"/>
        </w:rPr>
        <w:t>项目效益情况。</w:t>
      </w:r>
    </w:p>
    <w:p w14:paraId="1241DA5C">
      <w:pPr>
        <w:keepNext w:val="0"/>
        <w:keepLines w:val="0"/>
        <w:pageBreakBefore w:val="0"/>
        <w:widowControl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default" w:ascii="Times New Roman" w:hAnsi="Times New Roman" w:eastAsia="楷体_GB2312" w:cs="Times New Roman"/>
          <w:b/>
          <w:lang w:val="zh-CN"/>
        </w:rPr>
      </w:pPr>
      <w:r>
        <w:rPr>
          <w:rFonts w:hint="default" w:ascii="Times New Roman" w:hAnsi="Times New Roman" w:eastAsia="仿宋_GB2312" w:cs="Times New Roman"/>
          <w:kern w:val="0"/>
          <w:sz w:val="32"/>
          <w:szCs w:val="32"/>
        </w:rPr>
        <w:t>社会效益：维护仁和区的社会稳定，确保一方平安，促进地方经济发展。服务对象满意度：及时办理群众来访、来信、网上信访受理、办理事项，及时化解群众诉求，群众满意度达到95%以上。</w:t>
      </w:r>
    </w:p>
    <w:p w14:paraId="3F530A75">
      <w:pPr>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四、问题及建议</w:t>
      </w:r>
    </w:p>
    <w:p w14:paraId="0119489D">
      <w:pPr>
        <w:keepNext w:val="0"/>
        <w:keepLines w:val="0"/>
        <w:pageBreakBefore w:val="0"/>
        <w:widowControl w:val="0"/>
        <w:kinsoku/>
        <w:wordWrap/>
        <w:overflowPunct/>
        <w:topLinePunct w:val="0"/>
        <w:bidi w:val="0"/>
        <w:adjustRightInd/>
        <w:snapToGrid/>
        <w:spacing w:line="240" w:lineRule="auto"/>
        <w:ind w:left="0" w:leftChars="0" w:firstLine="643" w:firstLineChars="200"/>
        <w:jc w:val="both"/>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（一）存在的问题。</w:t>
      </w:r>
    </w:p>
    <w:p w14:paraId="1AA0C0B0">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一是因财政资金困难，资金无法按进度完成支付。</w:t>
      </w:r>
    </w:p>
    <w:p w14:paraId="06E4CE7C">
      <w:pPr>
        <w:keepNext w:val="0"/>
        <w:keepLines w:val="0"/>
        <w:pageBreakBefore w:val="0"/>
        <w:widowControl w:val="0"/>
        <w:kinsoku/>
        <w:wordWrap/>
        <w:overflowPunct/>
        <w:topLinePunct w:val="0"/>
        <w:bidi w:val="0"/>
        <w:adjustRightInd/>
        <w:snapToGrid/>
        <w:spacing w:line="240" w:lineRule="auto"/>
        <w:ind w:left="0" w:leftChars="0" w:firstLine="640" w:firstLineChars="200"/>
        <w:jc w:val="both"/>
        <w:textAlignment w:val="auto"/>
        <w:rPr>
          <w:rFonts w:hint="default" w:ascii="Times New Roman" w:hAnsi="Times New Roman" w:eastAsia="方正仿宋_GBK" w:cs="Times New Roman"/>
          <w:sz w:val="33"/>
          <w:szCs w:val="33"/>
          <w:lang w:bidi="ar"/>
        </w:rPr>
      </w:pPr>
      <w:r>
        <w:rPr>
          <w:rFonts w:hint="default" w:ascii="Times New Roman" w:hAnsi="Times New Roman" w:eastAsia="仿宋_GB2312" w:cs="Times New Roman"/>
          <w:kern w:val="0"/>
          <w:sz w:val="32"/>
          <w:szCs w:val="32"/>
          <w:lang w:eastAsia="zh-CN"/>
        </w:rPr>
        <w:t>二是</w:t>
      </w:r>
      <w:r>
        <w:rPr>
          <w:rFonts w:hint="default" w:ascii="Times New Roman" w:hAnsi="Times New Roman" w:eastAsia="仿宋_GB2312" w:cs="Times New Roman"/>
          <w:kern w:val="0"/>
          <w:sz w:val="32"/>
          <w:szCs w:val="32"/>
        </w:rPr>
        <w:t>加强</w:t>
      </w:r>
      <w:r>
        <w:rPr>
          <w:rFonts w:hint="default" w:ascii="Times New Roman" w:hAnsi="Times New Roman" w:eastAsia="方正仿宋_GBK" w:cs="Times New Roman"/>
          <w:sz w:val="33"/>
          <w:szCs w:val="33"/>
          <w:lang w:bidi="ar"/>
        </w:rPr>
        <w:t>单位财务内部控制建设。</w:t>
      </w:r>
    </w:p>
    <w:p w14:paraId="2878F1FE">
      <w:pPr>
        <w:keepNext w:val="0"/>
        <w:keepLines w:val="0"/>
        <w:pageBreakBefore w:val="0"/>
        <w:widowControl w:val="0"/>
        <w:kinsoku/>
        <w:wordWrap/>
        <w:overflowPunct/>
        <w:topLinePunct w:val="0"/>
        <w:bidi w:val="0"/>
        <w:adjustRightInd/>
        <w:snapToGrid/>
        <w:spacing w:line="240" w:lineRule="auto"/>
        <w:ind w:left="0" w:leftChars="0" w:firstLine="643" w:firstLineChars="200"/>
        <w:jc w:val="both"/>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eastAsia="zh-CN"/>
        </w:rPr>
        <w:t>（二）</w:t>
      </w:r>
      <w:r>
        <w:rPr>
          <w:rFonts w:hint="default" w:ascii="Times New Roman" w:hAnsi="Times New Roman" w:eastAsia="楷体_GB2312" w:cs="Times New Roman"/>
          <w:b/>
          <w:sz w:val="32"/>
          <w:szCs w:val="32"/>
          <w:lang w:val="zh-CN"/>
        </w:rPr>
        <w:t>相关建议。</w:t>
      </w:r>
    </w:p>
    <w:p w14:paraId="22C67950">
      <w:pPr>
        <w:keepNext w:val="0"/>
        <w:keepLines w:val="0"/>
        <w:pageBreakBefore w:val="0"/>
        <w:widowControl w:val="0"/>
        <w:numPr>
          <w:ilvl w:val="0"/>
          <w:numId w:val="0"/>
        </w:numPr>
        <w:kinsoku/>
        <w:wordWrap/>
        <w:overflowPunct/>
        <w:topLinePunct w:val="0"/>
        <w:bidi w:val="0"/>
        <w:adjustRightInd/>
        <w:snapToGrid/>
        <w:spacing w:line="240" w:lineRule="auto"/>
        <w:ind w:firstLine="660" w:firstLineChars="200"/>
        <w:jc w:val="both"/>
        <w:textAlignment w:val="auto"/>
        <w:rPr>
          <w:rFonts w:hint="default" w:ascii="Times New Roman" w:hAnsi="Times New Roman" w:eastAsia="方正仿宋_GBK" w:cs="Times New Roman"/>
          <w:sz w:val="33"/>
          <w:szCs w:val="33"/>
          <w:lang w:eastAsia="zh-CN" w:bidi="ar"/>
        </w:rPr>
      </w:pPr>
      <w:r>
        <w:rPr>
          <w:rFonts w:hint="default" w:ascii="Times New Roman" w:hAnsi="Times New Roman" w:eastAsia="方正仿宋_GBK" w:cs="Times New Roman"/>
          <w:sz w:val="33"/>
          <w:szCs w:val="33"/>
          <w:lang w:eastAsia="zh-CN" w:bidi="ar"/>
        </w:rPr>
        <w:t>一是加强与财政沟通力度，加大支付进度；二是</w:t>
      </w:r>
      <w:r>
        <w:rPr>
          <w:rFonts w:hint="default" w:ascii="Times New Roman" w:hAnsi="Times New Roman" w:eastAsia="方正仿宋_GBK" w:cs="Times New Roman"/>
          <w:sz w:val="33"/>
          <w:szCs w:val="33"/>
          <w:lang w:bidi="ar"/>
        </w:rPr>
        <w:t>加强单位内部控制建设，建立内控长效机制</w:t>
      </w:r>
      <w:r>
        <w:rPr>
          <w:rFonts w:hint="default" w:ascii="Times New Roman" w:hAnsi="Times New Roman" w:eastAsia="方正仿宋_GBK" w:cs="Times New Roman"/>
          <w:sz w:val="33"/>
          <w:szCs w:val="33"/>
          <w:lang w:eastAsia="zh-CN" w:bidi="ar"/>
        </w:rPr>
        <w:t>。</w:t>
      </w:r>
    </w:p>
    <w:p w14:paraId="4E609B3F">
      <w:pPr>
        <w:pStyle w:val="2"/>
        <w:rPr>
          <w:rFonts w:hint="default" w:ascii="Times New Roman" w:hAnsi="Times New Roman" w:cs="Times New Roman"/>
          <w:lang w:eastAsia="zh-CN"/>
        </w:rPr>
      </w:pPr>
    </w:p>
    <w:p w14:paraId="4B28F26F">
      <w:pPr>
        <w:numPr>
          <w:ilvl w:val="0"/>
          <w:numId w:val="0"/>
        </w:numPr>
        <w:adjustRightInd w:val="0"/>
        <w:snapToGrid w:val="0"/>
        <w:spacing w:line="560" w:lineRule="exact"/>
        <w:ind w:leftChars="200"/>
        <w:rPr>
          <w:rFonts w:hint="default" w:ascii="Times New Roman" w:hAnsi="Times New Roman" w:eastAsia="仿宋_GB2312" w:cs="Times New Roman"/>
          <w:kern w:val="0"/>
          <w:sz w:val="32"/>
          <w:szCs w:val="32"/>
        </w:rPr>
      </w:pPr>
    </w:p>
    <w:p w14:paraId="302FE5D9">
      <w:pPr>
        <w:adjustRightInd w:val="0"/>
        <w:snapToGrid w:val="0"/>
        <w:spacing w:line="560" w:lineRule="exact"/>
        <w:ind w:firstLine="4880" w:firstLineChars="1525"/>
        <w:rPr>
          <w:rFonts w:hint="default" w:ascii="Times New Roman" w:hAnsi="Times New Roman" w:cs="Times New Roman"/>
          <w:sz w:val="32"/>
          <w:szCs w:val="32"/>
          <w:shd w:val="clear" w:color="auto" w:fill="FFFFFF"/>
          <w:lang w:val="zh-CN"/>
        </w:rPr>
        <w:sectPr>
          <w:pgSz w:w="11906" w:h="16838"/>
          <w:pgMar w:top="1440" w:right="1803" w:bottom="1440" w:left="1803" w:header="851" w:footer="992" w:gutter="0"/>
          <w:pgNumType w:start="1"/>
          <w:cols w:space="0" w:num="1"/>
          <w:titlePg/>
          <w:rtlGutter w:val="0"/>
          <w:docGrid w:type="lines" w:linePitch="319" w:charSpace="0"/>
        </w:sectPr>
      </w:pPr>
      <w:r>
        <w:rPr>
          <w:rFonts w:hint="default" w:ascii="Times New Roman" w:hAnsi="Times New Roman" w:cs="Times New Roman"/>
          <w:kern w:val="0"/>
          <w:sz w:val="32"/>
          <w:szCs w:val="32"/>
          <w:lang w:val="en-US" w:eastAsia="zh-CN"/>
        </w:rPr>
        <w:t xml:space="preserve">                         </w:t>
      </w:r>
    </w:p>
    <w:p w14:paraId="74BA41E9">
      <w:pPr>
        <w:spacing w:line="600" w:lineRule="exact"/>
        <w:jc w:val="both"/>
        <w:outlineLvl w:val="0"/>
        <w:rPr>
          <w:rFonts w:hint="default" w:ascii="Times New Roman" w:hAnsi="Times New Roman" w:eastAsia="黑体" w:cs="Times New Roman"/>
          <w:color w:val="auto"/>
          <w:sz w:val="44"/>
          <w:szCs w:val="44"/>
          <w:highlight w:val="none"/>
        </w:rPr>
      </w:pPr>
      <w:bookmarkStart w:id="64" w:name="_Toc15396618"/>
    </w:p>
    <w:p w14:paraId="05F36B72">
      <w:pPr>
        <w:spacing w:line="600" w:lineRule="exact"/>
        <w:jc w:val="center"/>
        <w:outlineLvl w:val="0"/>
        <w:rPr>
          <w:rFonts w:hint="default" w:ascii="Times New Roman" w:hAnsi="Times New Roman" w:eastAsia="仿宋" w:cs="Times New Roman"/>
          <w:b w:val="0"/>
          <w:color w:val="auto"/>
          <w:highlight w:val="none"/>
        </w:rPr>
      </w:pPr>
      <w:r>
        <w:rPr>
          <w:rFonts w:hint="default" w:ascii="Times New Roman" w:hAnsi="Times New Roman" w:eastAsia="黑体" w:cs="Times New Roman"/>
          <w:color w:val="auto"/>
          <w:sz w:val="44"/>
          <w:szCs w:val="44"/>
          <w:highlight w:val="none"/>
        </w:rPr>
        <w:t>第</w:t>
      </w:r>
      <w:r>
        <w:rPr>
          <w:rStyle w:val="28"/>
          <w:rFonts w:hint="default" w:ascii="Times New Roman" w:hAnsi="Times New Roman" w:eastAsia="黑体" w:cs="Times New Roman"/>
          <w:b w:val="0"/>
          <w:color w:val="auto"/>
          <w:highlight w:val="none"/>
        </w:rPr>
        <w:t>五部分 附表</w:t>
      </w:r>
      <w:bookmarkEnd w:id="49"/>
      <w:bookmarkEnd w:id="64"/>
      <w:bookmarkStart w:id="65" w:name="_Toc15396619"/>
    </w:p>
    <w:p w14:paraId="0146AC0C">
      <w:pPr>
        <w:pStyle w:val="4"/>
        <w:rPr>
          <w:rFonts w:hint="default" w:ascii="Times New Roman" w:hAnsi="Times New Roman" w:eastAsia="仿宋" w:cs="Times New Roman"/>
          <w:color w:val="auto"/>
          <w:highlight w:val="none"/>
        </w:rPr>
      </w:pPr>
      <w:r>
        <w:rPr>
          <w:rFonts w:hint="default" w:ascii="Times New Roman" w:hAnsi="Times New Roman" w:eastAsia="仿宋" w:cs="Times New Roman"/>
          <w:b w:val="0"/>
          <w:color w:val="auto"/>
          <w:highlight w:val="none"/>
        </w:rPr>
        <w:t>一、收</w:t>
      </w:r>
      <w:r>
        <w:rPr>
          <w:rStyle w:val="29"/>
          <w:rFonts w:hint="default" w:ascii="Times New Roman" w:hAnsi="Times New Roman" w:eastAsia="仿宋" w:cs="Times New Roman"/>
          <w:b w:val="0"/>
          <w:bCs w:val="0"/>
          <w:color w:val="auto"/>
          <w:highlight w:val="none"/>
        </w:rPr>
        <w:t>入支出决算总表</w:t>
      </w:r>
      <w:bookmarkEnd w:id="65"/>
    </w:p>
    <w:p w14:paraId="34981536">
      <w:pPr>
        <w:pStyle w:val="4"/>
        <w:rPr>
          <w:rFonts w:hint="default" w:ascii="Times New Roman" w:hAnsi="Times New Roman" w:eastAsia="仿宋" w:cs="Times New Roman"/>
          <w:color w:val="auto"/>
          <w:highlight w:val="none"/>
        </w:rPr>
      </w:pPr>
      <w:bookmarkStart w:id="66" w:name="_Toc15396620"/>
      <w:r>
        <w:rPr>
          <w:rFonts w:hint="default" w:ascii="Times New Roman" w:hAnsi="Times New Roman" w:eastAsia="仿宋" w:cs="Times New Roman"/>
          <w:b w:val="0"/>
          <w:color w:val="auto"/>
          <w:highlight w:val="none"/>
        </w:rPr>
        <w:t>二、收</w:t>
      </w:r>
      <w:r>
        <w:rPr>
          <w:rStyle w:val="29"/>
          <w:rFonts w:hint="default" w:ascii="Times New Roman" w:hAnsi="Times New Roman" w:eastAsia="仿宋" w:cs="Times New Roman"/>
          <w:b w:val="0"/>
          <w:bCs w:val="0"/>
          <w:color w:val="auto"/>
          <w:highlight w:val="none"/>
        </w:rPr>
        <w:t>入决算表</w:t>
      </w:r>
      <w:bookmarkEnd w:id="66"/>
    </w:p>
    <w:p w14:paraId="560EE520">
      <w:pPr>
        <w:pStyle w:val="4"/>
        <w:rPr>
          <w:rFonts w:hint="default" w:ascii="Times New Roman" w:hAnsi="Times New Roman" w:eastAsia="仿宋" w:cs="Times New Roman"/>
          <w:color w:val="auto"/>
          <w:highlight w:val="none"/>
        </w:rPr>
      </w:pPr>
      <w:bookmarkStart w:id="67" w:name="_Toc15396621"/>
      <w:r>
        <w:rPr>
          <w:rStyle w:val="29"/>
          <w:rFonts w:hint="default" w:ascii="Times New Roman" w:hAnsi="Times New Roman" w:eastAsia="仿宋" w:cs="Times New Roman"/>
          <w:b w:val="0"/>
          <w:bCs w:val="0"/>
          <w:color w:val="auto"/>
          <w:highlight w:val="none"/>
        </w:rPr>
        <w:t>三、</w:t>
      </w:r>
      <w:r>
        <w:rPr>
          <w:rFonts w:hint="default" w:ascii="Times New Roman" w:hAnsi="Times New Roman" w:eastAsia="仿宋" w:cs="Times New Roman"/>
          <w:b w:val="0"/>
          <w:color w:val="auto"/>
          <w:highlight w:val="none"/>
        </w:rPr>
        <w:t>支</w:t>
      </w:r>
      <w:r>
        <w:rPr>
          <w:rStyle w:val="29"/>
          <w:rFonts w:hint="default" w:ascii="Times New Roman" w:hAnsi="Times New Roman" w:eastAsia="仿宋" w:cs="Times New Roman"/>
          <w:b w:val="0"/>
          <w:bCs w:val="0"/>
          <w:color w:val="auto"/>
          <w:highlight w:val="none"/>
        </w:rPr>
        <w:t>出决算表</w:t>
      </w:r>
      <w:bookmarkEnd w:id="67"/>
    </w:p>
    <w:p w14:paraId="368DDABF">
      <w:pPr>
        <w:pStyle w:val="4"/>
        <w:rPr>
          <w:rFonts w:hint="default" w:ascii="Times New Roman" w:hAnsi="Times New Roman" w:eastAsia="仿宋" w:cs="Times New Roman"/>
          <w:b w:val="0"/>
          <w:color w:val="auto"/>
          <w:highlight w:val="none"/>
        </w:rPr>
      </w:pPr>
      <w:bookmarkStart w:id="68" w:name="_Toc15396622"/>
      <w:r>
        <w:rPr>
          <w:rStyle w:val="29"/>
          <w:rFonts w:hint="default" w:ascii="Times New Roman" w:hAnsi="Times New Roman" w:eastAsia="仿宋" w:cs="Times New Roman"/>
          <w:b w:val="0"/>
          <w:bCs w:val="0"/>
          <w:color w:val="auto"/>
          <w:highlight w:val="none"/>
        </w:rPr>
        <w:t>四、</w:t>
      </w:r>
      <w:r>
        <w:rPr>
          <w:rFonts w:hint="default" w:ascii="Times New Roman" w:hAnsi="Times New Roman" w:eastAsia="仿宋" w:cs="Times New Roman"/>
          <w:b w:val="0"/>
          <w:color w:val="auto"/>
          <w:highlight w:val="none"/>
        </w:rPr>
        <w:t>财</w:t>
      </w:r>
      <w:r>
        <w:rPr>
          <w:rStyle w:val="29"/>
          <w:rFonts w:hint="default" w:ascii="Times New Roman" w:hAnsi="Times New Roman" w:eastAsia="仿宋" w:cs="Times New Roman"/>
          <w:b w:val="0"/>
          <w:bCs w:val="0"/>
          <w:color w:val="auto"/>
          <w:highlight w:val="none"/>
        </w:rPr>
        <w:t>政拨款收入支出决算总表</w:t>
      </w:r>
      <w:bookmarkEnd w:id="68"/>
    </w:p>
    <w:p w14:paraId="12F7B307">
      <w:pPr>
        <w:pStyle w:val="4"/>
        <w:rPr>
          <w:rStyle w:val="29"/>
          <w:rFonts w:hint="default" w:ascii="Times New Roman" w:hAnsi="Times New Roman" w:eastAsia="仿宋" w:cs="Times New Roman"/>
          <w:b w:val="0"/>
          <w:bCs w:val="0"/>
          <w:color w:val="auto"/>
          <w:highlight w:val="none"/>
        </w:rPr>
      </w:pPr>
      <w:bookmarkStart w:id="69" w:name="_Toc15396623"/>
      <w:r>
        <w:rPr>
          <w:rStyle w:val="29"/>
          <w:rFonts w:hint="default" w:ascii="Times New Roman" w:hAnsi="Times New Roman" w:eastAsia="仿宋" w:cs="Times New Roman"/>
          <w:b w:val="0"/>
          <w:bCs w:val="0"/>
          <w:color w:val="auto"/>
          <w:highlight w:val="none"/>
        </w:rPr>
        <w:t>五、</w:t>
      </w:r>
      <w:r>
        <w:rPr>
          <w:rFonts w:hint="default" w:ascii="Times New Roman" w:hAnsi="Times New Roman" w:eastAsia="仿宋" w:cs="Times New Roman"/>
          <w:b w:val="0"/>
          <w:color w:val="auto"/>
          <w:highlight w:val="none"/>
        </w:rPr>
        <w:t>财</w:t>
      </w:r>
      <w:r>
        <w:rPr>
          <w:rStyle w:val="29"/>
          <w:rFonts w:hint="default" w:ascii="Times New Roman" w:hAnsi="Times New Roman" w:eastAsia="仿宋" w:cs="Times New Roman"/>
          <w:b w:val="0"/>
          <w:bCs w:val="0"/>
          <w:color w:val="auto"/>
          <w:highlight w:val="none"/>
        </w:rPr>
        <w:t>政拨款支出决算明细表</w:t>
      </w:r>
      <w:bookmarkEnd w:id="69"/>
      <w:bookmarkStart w:id="70" w:name="_Toc15396624"/>
    </w:p>
    <w:p w14:paraId="2BB2923F">
      <w:pPr>
        <w:pStyle w:val="4"/>
        <w:rPr>
          <w:rFonts w:hint="default" w:ascii="Times New Roman" w:hAnsi="Times New Roman" w:eastAsia="仿宋" w:cs="Times New Roman"/>
          <w:color w:val="auto"/>
          <w:highlight w:val="none"/>
        </w:rPr>
      </w:pPr>
      <w:r>
        <w:rPr>
          <w:rStyle w:val="29"/>
          <w:rFonts w:hint="default" w:ascii="Times New Roman" w:hAnsi="Times New Roman" w:eastAsia="仿宋" w:cs="Times New Roman"/>
          <w:b w:val="0"/>
          <w:bCs w:val="0"/>
          <w:color w:val="auto"/>
          <w:highlight w:val="none"/>
        </w:rPr>
        <w:t>六、</w:t>
      </w:r>
      <w:r>
        <w:rPr>
          <w:rFonts w:hint="default" w:ascii="Times New Roman" w:hAnsi="Times New Roman" w:eastAsia="仿宋" w:cs="Times New Roman"/>
          <w:b w:val="0"/>
          <w:color w:val="auto"/>
          <w:highlight w:val="none"/>
        </w:rPr>
        <w:t>一</w:t>
      </w:r>
      <w:r>
        <w:rPr>
          <w:rStyle w:val="29"/>
          <w:rFonts w:hint="default" w:ascii="Times New Roman" w:hAnsi="Times New Roman" w:eastAsia="仿宋" w:cs="Times New Roman"/>
          <w:b w:val="0"/>
          <w:bCs w:val="0"/>
          <w:color w:val="auto"/>
          <w:highlight w:val="none"/>
        </w:rPr>
        <w:t>般公共预算财政拨款支出决算表</w:t>
      </w:r>
      <w:bookmarkEnd w:id="70"/>
    </w:p>
    <w:p w14:paraId="4B4BD6D5">
      <w:pPr>
        <w:pStyle w:val="4"/>
        <w:rPr>
          <w:rFonts w:hint="default" w:ascii="Times New Roman" w:hAnsi="Times New Roman" w:eastAsia="仿宋" w:cs="Times New Roman"/>
          <w:color w:val="auto"/>
          <w:highlight w:val="none"/>
        </w:rPr>
      </w:pPr>
      <w:bookmarkStart w:id="71" w:name="_Toc15396625"/>
      <w:r>
        <w:rPr>
          <w:rStyle w:val="29"/>
          <w:rFonts w:hint="default" w:ascii="Times New Roman" w:hAnsi="Times New Roman" w:eastAsia="仿宋" w:cs="Times New Roman"/>
          <w:b w:val="0"/>
          <w:bCs w:val="0"/>
          <w:color w:val="auto"/>
          <w:highlight w:val="none"/>
        </w:rPr>
        <w:t>七、</w:t>
      </w:r>
      <w:r>
        <w:rPr>
          <w:rFonts w:hint="default" w:ascii="Times New Roman" w:hAnsi="Times New Roman" w:eastAsia="仿宋" w:cs="Times New Roman"/>
          <w:b w:val="0"/>
          <w:color w:val="auto"/>
          <w:highlight w:val="none"/>
        </w:rPr>
        <w:t>一</w:t>
      </w:r>
      <w:r>
        <w:rPr>
          <w:rStyle w:val="29"/>
          <w:rFonts w:hint="default" w:ascii="Times New Roman" w:hAnsi="Times New Roman" w:eastAsia="仿宋" w:cs="Times New Roman"/>
          <w:b w:val="0"/>
          <w:bCs w:val="0"/>
          <w:color w:val="auto"/>
          <w:highlight w:val="none"/>
        </w:rPr>
        <w:t>般公共预算财政拨款支出决算明细表</w:t>
      </w:r>
      <w:bookmarkEnd w:id="71"/>
    </w:p>
    <w:p w14:paraId="6D15C9AB">
      <w:pPr>
        <w:pStyle w:val="4"/>
        <w:rPr>
          <w:rFonts w:hint="default" w:ascii="Times New Roman" w:hAnsi="Times New Roman" w:eastAsia="仿宋" w:cs="Times New Roman"/>
          <w:color w:val="auto"/>
          <w:highlight w:val="none"/>
        </w:rPr>
      </w:pPr>
      <w:bookmarkStart w:id="72" w:name="_Toc15396626"/>
      <w:r>
        <w:rPr>
          <w:rStyle w:val="29"/>
          <w:rFonts w:hint="default" w:ascii="Times New Roman" w:hAnsi="Times New Roman" w:eastAsia="仿宋" w:cs="Times New Roman"/>
          <w:b w:val="0"/>
          <w:bCs w:val="0"/>
          <w:color w:val="auto"/>
          <w:highlight w:val="none"/>
        </w:rPr>
        <w:t>八、</w:t>
      </w:r>
      <w:r>
        <w:rPr>
          <w:rFonts w:hint="default" w:ascii="Times New Roman" w:hAnsi="Times New Roman" w:eastAsia="仿宋" w:cs="Times New Roman"/>
          <w:b w:val="0"/>
          <w:color w:val="auto"/>
          <w:highlight w:val="none"/>
        </w:rPr>
        <w:t>一</w:t>
      </w:r>
      <w:r>
        <w:rPr>
          <w:rStyle w:val="29"/>
          <w:rFonts w:hint="default" w:ascii="Times New Roman" w:hAnsi="Times New Roman" w:eastAsia="仿宋" w:cs="Times New Roman"/>
          <w:b w:val="0"/>
          <w:bCs w:val="0"/>
          <w:color w:val="auto"/>
          <w:highlight w:val="none"/>
        </w:rPr>
        <w:t>般公共预算财政拨款基本支出决算表</w:t>
      </w:r>
      <w:bookmarkEnd w:id="72"/>
    </w:p>
    <w:p w14:paraId="389E368F">
      <w:pPr>
        <w:pStyle w:val="4"/>
        <w:rPr>
          <w:rFonts w:hint="default" w:ascii="Times New Roman" w:hAnsi="Times New Roman" w:eastAsia="仿宋" w:cs="Times New Roman"/>
          <w:color w:val="auto"/>
          <w:highlight w:val="none"/>
        </w:rPr>
      </w:pPr>
      <w:bookmarkStart w:id="73" w:name="_Toc15396627"/>
      <w:r>
        <w:rPr>
          <w:rStyle w:val="29"/>
          <w:rFonts w:hint="default" w:ascii="Times New Roman" w:hAnsi="Times New Roman" w:eastAsia="仿宋" w:cs="Times New Roman"/>
          <w:b w:val="0"/>
          <w:bCs w:val="0"/>
          <w:color w:val="auto"/>
          <w:highlight w:val="none"/>
        </w:rPr>
        <w:t>九、</w:t>
      </w:r>
      <w:r>
        <w:rPr>
          <w:rFonts w:hint="default" w:ascii="Times New Roman" w:hAnsi="Times New Roman" w:eastAsia="仿宋" w:cs="Times New Roman"/>
          <w:b w:val="0"/>
          <w:color w:val="auto"/>
          <w:highlight w:val="none"/>
        </w:rPr>
        <w:t>一</w:t>
      </w:r>
      <w:r>
        <w:rPr>
          <w:rStyle w:val="29"/>
          <w:rFonts w:hint="default" w:ascii="Times New Roman" w:hAnsi="Times New Roman" w:eastAsia="仿宋" w:cs="Times New Roman"/>
          <w:b w:val="0"/>
          <w:bCs w:val="0"/>
          <w:color w:val="auto"/>
          <w:highlight w:val="none"/>
        </w:rPr>
        <w:t>般公共预算财政拨款项目支出决算表</w:t>
      </w:r>
      <w:bookmarkEnd w:id="73"/>
    </w:p>
    <w:p w14:paraId="5F067D31">
      <w:pPr>
        <w:pStyle w:val="4"/>
        <w:rPr>
          <w:rFonts w:hint="default" w:ascii="Times New Roman" w:hAnsi="Times New Roman" w:eastAsia="仿宋" w:cs="Times New Roman"/>
          <w:color w:val="auto"/>
          <w:highlight w:val="none"/>
        </w:rPr>
      </w:pPr>
      <w:bookmarkStart w:id="74" w:name="_Toc15396628"/>
      <w:r>
        <w:rPr>
          <w:rStyle w:val="29"/>
          <w:rFonts w:hint="default" w:ascii="Times New Roman" w:hAnsi="Times New Roman" w:eastAsia="仿宋" w:cs="Times New Roman"/>
          <w:b w:val="0"/>
          <w:bCs w:val="0"/>
          <w:color w:val="auto"/>
          <w:highlight w:val="none"/>
        </w:rPr>
        <w:t>十、</w:t>
      </w:r>
      <w:bookmarkEnd w:id="74"/>
      <w:r>
        <w:rPr>
          <w:rFonts w:hint="default" w:ascii="Times New Roman" w:hAnsi="Times New Roman" w:eastAsia="仿宋" w:cs="Times New Roman"/>
          <w:b w:val="0"/>
          <w:color w:val="auto"/>
          <w:highlight w:val="none"/>
        </w:rPr>
        <w:t>政</w:t>
      </w:r>
      <w:r>
        <w:rPr>
          <w:rStyle w:val="29"/>
          <w:rFonts w:hint="default" w:ascii="Times New Roman" w:hAnsi="Times New Roman" w:eastAsia="仿宋" w:cs="Times New Roman"/>
          <w:b w:val="0"/>
          <w:bCs w:val="0"/>
          <w:color w:val="auto"/>
          <w:highlight w:val="none"/>
        </w:rPr>
        <w:t>府性基金预算财政拨款收入支出决算表</w:t>
      </w:r>
    </w:p>
    <w:p w14:paraId="24404D62">
      <w:pPr>
        <w:pStyle w:val="4"/>
        <w:rPr>
          <w:rFonts w:hint="default" w:ascii="Times New Roman" w:hAnsi="Times New Roman" w:eastAsia="仿宋" w:cs="Times New Roman"/>
          <w:color w:val="auto"/>
          <w:highlight w:val="none"/>
        </w:rPr>
      </w:pPr>
      <w:bookmarkStart w:id="75" w:name="_Toc15396629"/>
      <w:r>
        <w:rPr>
          <w:rStyle w:val="29"/>
          <w:rFonts w:hint="default" w:ascii="Times New Roman" w:hAnsi="Times New Roman" w:eastAsia="仿宋" w:cs="Times New Roman"/>
          <w:b w:val="0"/>
          <w:bCs w:val="0"/>
          <w:color w:val="auto"/>
          <w:highlight w:val="none"/>
        </w:rPr>
        <w:t>十一、</w:t>
      </w:r>
      <w:bookmarkEnd w:id="75"/>
      <w:r>
        <w:rPr>
          <w:rFonts w:hint="default" w:ascii="Times New Roman" w:hAnsi="Times New Roman" w:eastAsia="仿宋" w:cs="Times New Roman"/>
          <w:b w:val="0"/>
          <w:color w:val="auto"/>
          <w:highlight w:val="none"/>
        </w:rPr>
        <w:t>国</w:t>
      </w:r>
      <w:r>
        <w:rPr>
          <w:rStyle w:val="29"/>
          <w:rFonts w:hint="default" w:ascii="Times New Roman" w:hAnsi="Times New Roman" w:eastAsia="仿宋" w:cs="Times New Roman"/>
          <w:b w:val="0"/>
          <w:bCs w:val="0"/>
          <w:color w:val="auto"/>
          <w:highlight w:val="none"/>
        </w:rPr>
        <w:t>有资本经营预算</w:t>
      </w:r>
      <w:r>
        <w:rPr>
          <w:rStyle w:val="29"/>
          <w:rFonts w:hint="default" w:ascii="Times New Roman" w:hAnsi="Times New Roman" w:eastAsia="仿宋" w:cs="Times New Roman"/>
          <w:b w:val="0"/>
          <w:bCs w:val="0"/>
          <w:color w:val="auto"/>
          <w:highlight w:val="none"/>
          <w:lang w:eastAsia="zh-CN"/>
        </w:rPr>
        <w:t>财政拨款收入</w:t>
      </w:r>
      <w:r>
        <w:rPr>
          <w:rStyle w:val="29"/>
          <w:rFonts w:hint="default" w:ascii="Times New Roman" w:hAnsi="Times New Roman" w:eastAsia="仿宋" w:cs="Times New Roman"/>
          <w:b w:val="0"/>
          <w:bCs w:val="0"/>
          <w:color w:val="auto"/>
          <w:highlight w:val="none"/>
        </w:rPr>
        <w:t>支出决算表</w:t>
      </w:r>
    </w:p>
    <w:p w14:paraId="7BA47A16">
      <w:pPr>
        <w:pStyle w:val="4"/>
        <w:rPr>
          <w:rFonts w:hint="default" w:ascii="Times New Roman" w:hAnsi="Times New Roman" w:eastAsia="仿宋" w:cs="Times New Roman"/>
          <w:color w:val="auto"/>
          <w:highlight w:val="none"/>
        </w:rPr>
      </w:pPr>
      <w:bookmarkStart w:id="76" w:name="_Toc15396630"/>
      <w:r>
        <w:rPr>
          <w:rStyle w:val="29"/>
          <w:rFonts w:hint="default" w:ascii="Times New Roman" w:hAnsi="Times New Roman" w:eastAsia="仿宋" w:cs="Times New Roman"/>
          <w:b w:val="0"/>
          <w:bCs w:val="0"/>
          <w:color w:val="auto"/>
          <w:highlight w:val="none"/>
        </w:rPr>
        <w:t>十二、</w:t>
      </w:r>
      <w:bookmarkEnd w:id="76"/>
      <w:r>
        <w:rPr>
          <w:rStyle w:val="29"/>
          <w:rFonts w:hint="default" w:ascii="Times New Roman" w:hAnsi="Times New Roman" w:eastAsia="仿宋" w:cs="Times New Roman"/>
          <w:b w:val="0"/>
          <w:bCs w:val="0"/>
          <w:color w:val="auto"/>
          <w:highlight w:val="none"/>
          <w:lang w:eastAsia="zh-CN"/>
        </w:rPr>
        <w:t>国有资本经营预算财政拨款支出决算表</w:t>
      </w:r>
    </w:p>
    <w:p w14:paraId="1EF18D20">
      <w:pPr>
        <w:pStyle w:val="4"/>
        <w:rPr>
          <w:rStyle w:val="29"/>
          <w:rFonts w:hint="default" w:ascii="Times New Roman" w:hAnsi="Times New Roman" w:eastAsia="仿宋" w:cs="Times New Roman"/>
          <w:b w:val="0"/>
          <w:bCs w:val="0"/>
          <w:color w:val="auto"/>
          <w:highlight w:val="none"/>
          <w:lang w:eastAsia="zh-CN"/>
        </w:rPr>
      </w:pPr>
      <w:bookmarkStart w:id="77" w:name="_Toc15396631"/>
      <w:r>
        <w:rPr>
          <w:rStyle w:val="29"/>
          <w:rFonts w:hint="default" w:ascii="Times New Roman" w:hAnsi="Times New Roman" w:eastAsia="仿宋" w:cs="Times New Roman"/>
          <w:b w:val="0"/>
          <w:bCs w:val="0"/>
          <w:color w:val="auto"/>
          <w:highlight w:val="none"/>
        </w:rPr>
        <w:t>十三、</w:t>
      </w:r>
      <w:bookmarkEnd w:id="77"/>
      <w:r>
        <w:rPr>
          <w:rStyle w:val="29"/>
          <w:rFonts w:hint="default" w:ascii="Times New Roman" w:hAnsi="Times New Roman" w:eastAsia="仿宋" w:cs="Times New Roman"/>
          <w:b w:val="0"/>
          <w:bCs w:val="0"/>
          <w:color w:val="auto"/>
          <w:highlight w:val="none"/>
          <w:lang w:eastAsia="zh-CN"/>
        </w:rPr>
        <w:t>财政拨款“三公”经费支出决算表</w:t>
      </w:r>
    </w:p>
    <w:p w14:paraId="002A0E84">
      <w:pP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附件：攀枝花市仁和区信访局2022年度部门决算公开表</w:t>
      </w:r>
    </w:p>
    <w:sectPr>
      <w:pgSz w:w="11906" w:h="16838"/>
      <w:pgMar w:top="1440" w:right="1803" w:bottom="1440" w:left="1803" w:header="851" w:footer="992" w:gutter="0"/>
      <w:pgNumType w:start="1"/>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F89F012">
        <w:pPr>
          <w:pStyle w:val="10"/>
          <w:jc w:val="center"/>
        </w:pPr>
        <w:r>
          <w:fldChar w:fldCharType="begin"/>
        </w:r>
        <w:r>
          <w:instrText xml:space="preserve">PAGE   \* MERGEFORMAT</w:instrText>
        </w:r>
        <w:r>
          <w:fldChar w:fldCharType="separate"/>
        </w:r>
        <w:r>
          <w:rPr>
            <w:lang w:val="zh-CN"/>
          </w:rPr>
          <w:t>8</w:t>
        </w:r>
        <w:r>
          <w:fldChar w:fldCharType="end"/>
        </w:r>
      </w:p>
    </w:sdtContent>
  </w:sdt>
  <w:p w14:paraId="4CC1739F">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16B9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70E37"/>
    <w:multiLevelType w:val="singleLevel"/>
    <w:tmpl w:val="B4C70E37"/>
    <w:lvl w:ilvl="0" w:tentative="0">
      <w:start w:val="2"/>
      <w:numFmt w:val="chineseCounting"/>
      <w:suff w:val="nothing"/>
      <w:lvlText w:val="（%1）"/>
      <w:lvlJc w:val="left"/>
      <w:rPr>
        <w:rFonts w:hint="eastAsia"/>
      </w:rPr>
    </w:lvl>
  </w:abstractNum>
  <w:abstractNum w:abstractNumId="1">
    <w:nsid w:val="D74AB734"/>
    <w:multiLevelType w:val="singleLevel"/>
    <w:tmpl w:val="D74AB734"/>
    <w:lvl w:ilvl="0" w:tentative="0">
      <w:start w:val="2"/>
      <w:numFmt w:val="chineseCounting"/>
      <w:suff w:val="nothing"/>
      <w:lvlText w:val="（%1）"/>
      <w:lvlJc w:val="left"/>
      <w:pPr>
        <w:ind w:left="397"/>
      </w:pPr>
      <w:rPr>
        <w:rFonts w:hint="eastAsia"/>
      </w:rPr>
    </w:lvl>
  </w:abstractNum>
  <w:abstractNum w:abstractNumId="2">
    <w:nsid w:val="DEBEF323"/>
    <w:multiLevelType w:val="singleLevel"/>
    <w:tmpl w:val="DEBEF323"/>
    <w:lvl w:ilvl="0" w:tentative="0">
      <w:start w:val="4"/>
      <w:numFmt w:val="chineseCounting"/>
      <w:suff w:val="nothing"/>
      <w:lvlText w:val="（%1）"/>
      <w:lvlJc w:val="left"/>
      <w:rPr>
        <w:rFonts w:hint="eastAsia"/>
      </w:rPr>
    </w:lvl>
  </w:abstractNum>
  <w:abstractNum w:abstractNumId="3">
    <w:nsid w:val="E1D64CA5"/>
    <w:multiLevelType w:val="singleLevel"/>
    <w:tmpl w:val="E1D64CA5"/>
    <w:lvl w:ilvl="0" w:tentative="0">
      <w:start w:val="1"/>
      <w:numFmt w:val="chineseCounting"/>
      <w:suff w:val="nothing"/>
      <w:lvlText w:val="（%1）"/>
      <w:lvlJc w:val="left"/>
      <w:pPr>
        <w:ind w:left="-13"/>
      </w:pPr>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01FCE067"/>
    <w:multiLevelType w:val="singleLevel"/>
    <w:tmpl w:val="01FCE067"/>
    <w:lvl w:ilvl="0" w:tentative="0">
      <w:start w:val="2"/>
      <w:numFmt w:val="chineseCounting"/>
      <w:suff w:val="nothing"/>
      <w:lvlText w:val="（%1）"/>
      <w:lvlJc w:val="left"/>
      <w:rPr>
        <w:rFonts w:hint="eastAsia"/>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YzE4MjE0Y2U2MjYwNGZmMGJhZWIzMWQ5MjQ2Zm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495B"/>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26ABB"/>
    <w:rsid w:val="015975B8"/>
    <w:rsid w:val="02143E91"/>
    <w:rsid w:val="03AC7B94"/>
    <w:rsid w:val="03EF3B00"/>
    <w:rsid w:val="04037E94"/>
    <w:rsid w:val="064A73D7"/>
    <w:rsid w:val="066E0107"/>
    <w:rsid w:val="06905732"/>
    <w:rsid w:val="06E15158"/>
    <w:rsid w:val="07084E89"/>
    <w:rsid w:val="07996F6E"/>
    <w:rsid w:val="07D91E6C"/>
    <w:rsid w:val="08BE6C67"/>
    <w:rsid w:val="08F5133F"/>
    <w:rsid w:val="09975B95"/>
    <w:rsid w:val="0A2032A3"/>
    <w:rsid w:val="0AFE2A19"/>
    <w:rsid w:val="0C50590B"/>
    <w:rsid w:val="0D5279EB"/>
    <w:rsid w:val="0F98263C"/>
    <w:rsid w:val="0FB12316"/>
    <w:rsid w:val="0FE2319C"/>
    <w:rsid w:val="101860EC"/>
    <w:rsid w:val="10C055FF"/>
    <w:rsid w:val="118107EC"/>
    <w:rsid w:val="12A67527"/>
    <w:rsid w:val="138D3FA2"/>
    <w:rsid w:val="13D50BC4"/>
    <w:rsid w:val="141259D8"/>
    <w:rsid w:val="16065505"/>
    <w:rsid w:val="16AD019A"/>
    <w:rsid w:val="16BB723D"/>
    <w:rsid w:val="17057A51"/>
    <w:rsid w:val="182F6239"/>
    <w:rsid w:val="18985C69"/>
    <w:rsid w:val="1A2B05FE"/>
    <w:rsid w:val="1B464990"/>
    <w:rsid w:val="1BE8440E"/>
    <w:rsid w:val="1BEE657B"/>
    <w:rsid w:val="1C8629DB"/>
    <w:rsid w:val="1CBD494F"/>
    <w:rsid w:val="1D155CEE"/>
    <w:rsid w:val="1E287B89"/>
    <w:rsid w:val="1E383DE6"/>
    <w:rsid w:val="1FF35744"/>
    <w:rsid w:val="23860B96"/>
    <w:rsid w:val="238D53E2"/>
    <w:rsid w:val="23AD3718"/>
    <w:rsid w:val="240371BF"/>
    <w:rsid w:val="245051B0"/>
    <w:rsid w:val="250C44BC"/>
    <w:rsid w:val="25275183"/>
    <w:rsid w:val="2622669F"/>
    <w:rsid w:val="27575417"/>
    <w:rsid w:val="276734B3"/>
    <w:rsid w:val="291665A6"/>
    <w:rsid w:val="29A235FC"/>
    <w:rsid w:val="29E4351B"/>
    <w:rsid w:val="29FD04D3"/>
    <w:rsid w:val="2A4E1C4C"/>
    <w:rsid w:val="2ACB5689"/>
    <w:rsid w:val="2C065256"/>
    <w:rsid w:val="2C8A61B5"/>
    <w:rsid w:val="2CE331F0"/>
    <w:rsid w:val="2D2946D7"/>
    <w:rsid w:val="2D50694E"/>
    <w:rsid w:val="2DF04E50"/>
    <w:rsid w:val="2DFE1FFB"/>
    <w:rsid w:val="2EEF2F90"/>
    <w:rsid w:val="2F040D46"/>
    <w:rsid w:val="314246DE"/>
    <w:rsid w:val="314A6AF9"/>
    <w:rsid w:val="317A2054"/>
    <w:rsid w:val="318B729A"/>
    <w:rsid w:val="319F7F4E"/>
    <w:rsid w:val="32D21971"/>
    <w:rsid w:val="32EB4A9A"/>
    <w:rsid w:val="3304709D"/>
    <w:rsid w:val="334245AE"/>
    <w:rsid w:val="342967AB"/>
    <w:rsid w:val="354B4375"/>
    <w:rsid w:val="365B07D6"/>
    <w:rsid w:val="36AA5135"/>
    <w:rsid w:val="3727738D"/>
    <w:rsid w:val="37504CCE"/>
    <w:rsid w:val="376D39B2"/>
    <w:rsid w:val="37CA1448"/>
    <w:rsid w:val="37E16F03"/>
    <w:rsid w:val="381621A6"/>
    <w:rsid w:val="389904C5"/>
    <w:rsid w:val="38B95537"/>
    <w:rsid w:val="38D469F0"/>
    <w:rsid w:val="3A7E3FAA"/>
    <w:rsid w:val="3AEF642E"/>
    <w:rsid w:val="3BDF37C8"/>
    <w:rsid w:val="3C1A11BD"/>
    <w:rsid w:val="3D98207C"/>
    <w:rsid w:val="3E78745D"/>
    <w:rsid w:val="3ED72E88"/>
    <w:rsid w:val="405A5969"/>
    <w:rsid w:val="409554A4"/>
    <w:rsid w:val="418A5DE6"/>
    <w:rsid w:val="41EF50B1"/>
    <w:rsid w:val="4321735E"/>
    <w:rsid w:val="432856A1"/>
    <w:rsid w:val="43900BE6"/>
    <w:rsid w:val="43911EEB"/>
    <w:rsid w:val="439475EC"/>
    <w:rsid w:val="43AA3FB3"/>
    <w:rsid w:val="43B86527"/>
    <w:rsid w:val="44865C7B"/>
    <w:rsid w:val="44E268DA"/>
    <w:rsid w:val="45824C19"/>
    <w:rsid w:val="47336826"/>
    <w:rsid w:val="47372FE6"/>
    <w:rsid w:val="48216A2C"/>
    <w:rsid w:val="49582C60"/>
    <w:rsid w:val="498B335F"/>
    <w:rsid w:val="49C74598"/>
    <w:rsid w:val="4A627F82"/>
    <w:rsid w:val="4A683282"/>
    <w:rsid w:val="4ACC3E46"/>
    <w:rsid w:val="4B0E749A"/>
    <w:rsid w:val="4B4F25DA"/>
    <w:rsid w:val="4BE068DB"/>
    <w:rsid w:val="4C0373D9"/>
    <w:rsid w:val="4C2C4BC1"/>
    <w:rsid w:val="4C7044F7"/>
    <w:rsid w:val="4D577224"/>
    <w:rsid w:val="4E045131"/>
    <w:rsid w:val="4E057E10"/>
    <w:rsid w:val="4EAB630A"/>
    <w:rsid w:val="4EB67752"/>
    <w:rsid w:val="4ECE2238"/>
    <w:rsid w:val="500D4962"/>
    <w:rsid w:val="51015FF6"/>
    <w:rsid w:val="517664B3"/>
    <w:rsid w:val="519C6773"/>
    <w:rsid w:val="51C07635"/>
    <w:rsid w:val="537E6D0A"/>
    <w:rsid w:val="53D17F19"/>
    <w:rsid w:val="54722618"/>
    <w:rsid w:val="552E65CF"/>
    <w:rsid w:val="55966EF8"/>
    <w:rsid w:val="565C59BC"/>
    <w:rsid w:val="571B0378"/>
    <w:rsid w:val="575A5650"/>
    <w:rsid w:val="579B414A"/>
    <w:rsid w:val="57DF393A"/>
    <w:rsid w:val="57F6355F"/>
    <w:rsid w:val="5868001A"/>
    <w:rsid w:val="587924B3"/>
    <w:rsid w:val="5A190AD8"/>
    <w:rsid w:val="5AF92295"/>
    <w:rsid w:val="5B3A58BA"/>
    <w:rsid w:val="5B8A0B3C"/>
    <w:rsid w:val="5BB466CF"/>
    <w:rsid w:val="5BFF437E"/>
    <w:rsid w:val="5CD71FC4"/>
    <w:rsid w:val="5D6C184B"/>
    <w:rsid w:val="5D7645D3"/>
    <w:rsid w:val="5D962984"/>
    <w:rsid w:val="5ED7462D"/>
    <w:rsid w:val="5F0E756A"/>
    <w:rsid w:val="5F1B0D98"/>
    <w:rsid w:val="5FCA2831"/>
    <w:rsid w:val="60C53352"/>
    <w:rsid w:val="618A6593"/>
    <w:rsid w:val="62237E80"/>
    <w:rsid w:val="628C2A25"/>
    <w:rsid w:val="62914671"/>
    <w:rsid w:val="62CC2423"/>
    <w:rsid w:val="63DB4953"/>
    <w:rsid w:val="647A6C66"/>
    <w:rsid w:val="64976216"/>
    <w:rsid w:val="64DC3487"/>
    <w:rsid w:val="65B16D8B"/>
    <w:rsid w:val="65BD5FF9"/>
    <w:rsid w:val="65F67457"/>
    <w:rsid w:val="66770CAA"/>
    <w:rsid w:val="67282CD6"/>
    <w:rsid w:val="67DB222E"/>
    <w:rsid w:val="68184B53"/>
    <w:rsid w:val="68780C3E"/>
    <w:rsid w:val="68852F89"/>
    <w:rsid w:val="68D07B85"/>
    <w:rsid w:val="69AF0A2E"/>
    <w:rsid w:val="69D578FA"/>
    <w:rsid w:val="6C4A05C8"/>
    <w:rsid w:val="6E7E3605"/>
    <w:rsid w:val="6F1D1E58"/>
    <w:rsid w:val="6FD939AC"/>
    <w:rsid w:val="6FF5CC65"/>
    <w:rsid w:val="70D8212E"/>
    <w:rsid w:val="711D2C22"/>
    <w:rsid w:val="712944B7"/>
    <w:rsid w:val="715C0E4B"/>
    <w:rsid w:val="72355C27"/>
    <w:rsid w:val="726F6D4C"/>
    <w:rsid w:val="72734D90"/>
    <w:rsid w:val="72FA2A34"/>
    <w:rsid w:val="737472D6"/>
    <w:rsid w:val="73AD73D5"/>
    <w:rsid w:val="73B6EB34"/>
    <w:rsid w:val="74245119"/>
    <w:rsid w:val="744731E5"/>
    <w:rsid w:val="744F04F5"/>
    <w:rsid w:val="75B00123"/>
    <w:rsid w:val="76E3355F"/>
    <w:rsid w:val="778769C8"/>
    <w:rsid w:val="787D2713"/>
    <w:rsid w:val="79E14685"/>
    <w:rsid w:val="79E7658E"/>
    <w:rsid w:val="79EB4AB3"/>
    <w:rsid w:val="79EE5BA4"/>
    <w:rsid w:val="79F7791E"/>
    <w:rsid w:val="7A092B1F"/>
    <w:rsid w:val="7A894339"/>
    <w:rsid w:val="7AB22638"/>
    <w:rsid w:val="7BDA5ED1"/>
    <w:rsid w:val="7C166823"/>
    <w:rsid w:val="7D210879"/>
    <w:rsid w:val="7D835C6A"/>
    <w:rsid w:val="7DA07BB2"/>
    <w:rsid w:val="7DDF5E0F"/>
    <w:rsid w:val="7EEF11D3"/>
    <w:rsid w:val="7F7571AA"/>
    <w:rsid w:val="7FA30C79"/>
    <w:rsid w:val="7FB7269E"/>
    <w:rsid w:val="7FC96657"/>
    <w:rsid w:val="7FF609FC"/>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r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t>2022年收、支决算总计变动情况图             （单位：万元）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Sheet1!$A$2:$A$4</c:f>
              <c:strCache>
                <c:ptCount val="3"/>
                <c:pt idx="0">
                  <c:v>2021年</c:v>
                </c:pt>
                <c:pt idx="1">
                  <c:v>2022年</c:v>
                </c:pt>
              </c:strCache>
            </c:strRef>
          </c:cat>
          <c:val>
            <c:numRef>
              <c:f>Sheet1!$B$2:$B$4</c:f>
              <c:numCache>
                <c:formatCode>General</c:formatCode>
                <c:ptCount val="3"/>
                <c:pt idx="0">
                  <c:v>358.79</c:v>
                </c:pt>
              </c:numCache>
            </c:numRef>
          </c:val>
        </c:ser>
        <c:ser>
          <c:idx val="1"/>
          <c:order val="1"/>
          <c:tx>
            <c:strRef>
              <c:f>Sheet1!$C$1</c:f>
              <c:strCache>
                <c:ptCount val="1"/>
                <c:pt idx="0">
                  <c:v>系列 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Sheet1!$A$2:$A$4</c:f>
              <c:strCache>
                <c:ptCount val="3"/>
                <c:pt idx="0">
                  <c:v>2021年</c:v>
                </c:pt>
                <c:pt idx="1">
                  <c:v>2022年</c:v>
                </c:pt>
              </c:strCache>
            </c:strRef>
          </c:cat>
          <c:val>
            <c:numRef>
              <c:f>Sheet1!$C$2:$C$4</c:f>
              <c:numCache>
                <c:formatCode>General</c:formatCode>
                <c:ptCount val="3"/>
                <c:pt idx="1">
                  <c:v>309.33</c:v>
                </c:pt>
              </c:numCache>
            </c:numRef>
          </c:val>
        </c:ser>
        <c:dLbls>
          <c:showLegendKey val="0"/>
          <c:showVal val="1"/>
          <c:showCatName val="0"/>
          <c:showSerName val="0"/>
          <c:showPercent val="0"/>
          <c:showBubbleSize val="0"/>
        </c:dLbls>
        <c:gapWidth val="100"/>
        <c:overlap val="-24"/>
        <c:axId val="603120936"/>
        <c:axId val="441834076"/>
      </c:barChart>
      <c:catAx>
        <c:axId val="603120936"/>
        <c:scaling>
          <c:orientation val="minMax"/>
        </c:scaling>
        <c:delete val="0"/>
        <c:axPos val="b"/>
        <c:majorTickMark val="none"/>
        <c:minorTickMark val="none"/>
        <c:tickLblPos val="nextTo"/>
        <c:spPr>
          <a:noFill/>
          <a:ln w="12700" cap="flat" cmpd="sng" algn="ctr">
            <a:solidFill>
              <a:schemeClr val="lt1">
                <a:lumMod val="95000"/>
                <a:alpha val="54000"/>
              </a:schemeClr>
            </a:solidFill>
            <a:round/>
          </a:ln>
          <a:effectLst/>
        </c:spPr>
        <c:txPr>
          <a:bodyPr rot="-6000000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crossAx val="441834076"/>
        <c:crosses val="autoZero"/>
        <c:auto val="1"/>
        <c:lblAlgn val="ctr"/>
        <c:lblOffset val="100"/>
        <c:noMultiLvlLbl val="0"/>
      </c:catAx>
      <c:valAx>
        <c:axId val="44183407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crossAx val="603120936"/>
        <c:crosses val="autoZero"/>
        <c:crossBetween val="between"/>
      </c:valAx>
      <c:spPr>
        <a:noFill/>
        <a:ln>
          <a:noFill/>
        </a:ln>
        <a:effectLst/>
      </c:spPr>
    </c:plotArea>
    <c:plotVisOnly val="1"/>
    <c:dispBlanksAs val="gap"/>
    <c:showDLblsOverMax val="0"/>
    <c:extLst>
      <c:ext uri="{0b15fc19-7d7d-44ad-8c2d-2c3a37ce22c3}">
        <chartProps xmlns="https://web.wps.cn/et/2018/main" chartId="{77a5e042-3e16-43e7-b3a1-90257dcdb86c}"/>
      </c:ext>
    </c:extLst>
  </c:chart>
  <c:spPr>
    <a:solidFill>
      <a:schemeClr val="accent4">
        <a:lumMod val="75000"/>
      </a:schemeClr>
    </a:solidFill>
    <a:ln>
      <a:noFill/>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t>2022年本年收入合计结构图</a:t>
            </a:r>
          </a:p>
        </c:rich>
      </c:tx>
      <c:layout>
        <c:manualLayout>
          <c:xMode val="edge"/>
          <c:yMode val="edge"/>
          <c:x val="0.189490445859873"/>
          <c:y val="0.0224083769633508"/>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0.00%</c:formatCode>
                <c:ptCount val="2"/>
                <c:pt idx="0">
                  <c:v>0.912</c:v>
                </c:pt>
                <c:pt idx="1">
                  <c:v>0.088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legend>
    <c:plotVisOnly val="1"/>
    <c:dispBlanksAs val="gap"/>
    <c:showDLblsOverMax val="0"/>
    <c:extLst>
      <c:ext uri="{0b15fc19-7d7d-44ad-8c2d-2c3a37ce22c3}">
        <chartProps xmlns="https://web.wps.cn/et/2018/main" chartId="{439c85bb-9d8a-475d-ae92-a2435495450f}"/>
      </c:ext>
    </c:extLst>
  </c:chart>
  <c:spPr>
    <a:solidFill>
      <a:schemeClr val="accent4">
        <a:lumMod val="75000"/>
      </a:schemeClr>
    </a:solidFill>
    <a:ln>
      <a:noFill/>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t>2022年本年支出结构图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0.783</c:v>
                </c:pt>
                <c:pt idx="1">
                  <c:v>0.217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legend>
    <c:plotVisOnly val="1"/>
    <c:dispBlanksAs val="gap"/>
    <c:showDLblsOverMax val="0"/>
    <c:extLst>
      <c:ext uri="{0b15fc19-7d7d-44ad-8c2d-2c3a37ce22c3}">
        <chartProps xmlns="https://web.wps.cn/et/2018/main" chartId="{0f8d532f-622a-41fa-a641-6a2c2de6f55f}"/>
      </c:ext>
    </c:extLst>
  </c:chart>
  <c:spPr>
    <a:solidFill>
      <a:schemeClr val="accent4">
        <a:lumMod val="75000"/>
      </a:schemeClr>
    </a:solidFill>
    <a:ln>
      <a:noFill/>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t>2022年财政拨款收、支决算总计变动</a:t>
            </a:r>
            <a:r>
              <a:rPr lang="en-US" altLang="zh-CN"/>
              <a:t>            </a:t>
            </a:r>
            <a:r>
              <a:t>情况图</a:t>
            </a:r>
            <a:r>
              <a:rPr lang="en-US" altLang="zh-CN"/>
              <a:t>      </a:t>
            </a:r>
            <a:r>
              <a:t>         （单位：万元）</a:t>
            </a:r>
          </a:p>
        </c:rich>
      </c:tx>
      <c:layout>
        <c:manualLayout>
          <c:xMode val="edge"/>
          <c:yMode val="edge"/>
          <c:x val="0.100318081722535"/>
          <c:y val="0.0126002290950745"/>
        </c:manualLayout>
      </c:layout>
      <c:overlay val="0"/>
      <c:spPr>
        <a:noFill/>
        <a:ln>
          <a:noFill/>
        </a:ln>
        <a:effectLst/>
      </c:spPr>
    </c:title>
    <c:autoTitleDeleted val="0"/>
    <c:plotArea>
      <c:layout>
        <c:manualLayout>
          <c:layoutTarget val="inner"/>
          <c:xMode val="edge"/>
          <c:yMode val="edge"/>
          <c:x val="0.0689154086126743"/>
          <c:y val="0.129666666666667"/>
          <c:w val="0.905175"/>
          <c:h val="0.716066666666667"/>
        </c:manualLayout>
      </c:layout>
      <c:barChart>
        <c:barDir val="col"/>
        <c:grouping val="clustered"/>
        <c:varyColors val="0"/>
        <c:ser>
          <c:idx val="0"/>
          <c:order val="0"/>
          <c:tx>
            <c:strRef>
              <c:f>Sheet1!$B$1</c:f>
              <c:strCache>
                <c:ptCount val="1"/>
                <c:pt idx="0">
                  <c:v>系列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Sheet1!$A$2:$A$5</c:f>
              <c:strCache>
                <c:ptCount val="4"/>
                <c:pt idx="0">
                  <c:v>2021年</c:v>
                </c:pt>
                <c:pt idx="1">
                  <c:v>2022年</c:v>
                </c:pt>
                <c:pt idx="2">
                  <c:v>下降额度（下降13.1%）</c:v>
                </c:pt>
              </c:strCache>
            </c:strRef>
          </c:cat>
          <c:val>
            <c:numRef>
              <c:f>Sheet1!$B$2:$B$5</c:f>
              <c:numCache>
                <c:formatCode>General</c:formatCode>
                <c:ptCount val="4"/>
                <c:pt idx="0">
                  <c:v>355.96</c:v>
                </c:pt>
              </c:numCache>
            </c:numRef>
          </c:val>
        </c:ser>
        <c:ser>
          <c:idx val="1"/>
          <c:order val="1"/>
          <c:tx>
            <c:strRef>
              <c:f>Sheet1!$C$1</c:f>
              <c:strCache>
                <c:ptCount val="1"/>
                <c:pt idx="0">
                  <c:v>系列 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Sheet1!$A$2:$A$5</c:f>
              <c:strCache>
                <c:ptCount val="4"/>
                <c:pt idx="0">
                  <c:v>2021年</c:v>
                </c:pt>
                <c:pt idx="1">
                  <c:v>2022年</c:v>
                </c:pt>
                <c:pt idx="2">
                  <c:v>下降额度（下降13.1%）</c:v>
                </c:pt>
              </c:strCache>
            </c:strRef>
          </c:cat>
          <c:val>
            <c:numRef>
              <c:f>Sheet1!$C$2:$C$5</c:f>
              <c:numCache>
                <c:formatCode>General</c:formatCode>
                <c:ptCount val="4"/>
                <c:pt idx="1">
                  <c:v>309.33</c:v>
                </c:pt>
              </c:numCache>
            </c:numRef>
          </c:val>
        </c:ser>
        <c:ser>
          <c:idx val="2"/>
          <c:order val="2"/>
          <c:tx>
            <c:strRef>
              <c:f>Sheet1!$D$1</c:f>
              <c:strCache>
                <c:ptCount val="1"/>
                <c:pt idx="0">
                  <c:v>系列 3</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Sheet1!$A$2:$A$5</c:f>
              <c:strCache>
                <c:ptCount val="4"/>
                <c:pt idx="0">
                  <c:v>2021年</c:v>
                </c:pt>
                <c:pt idx="1">
                  <c:v>2022年</c:v>
                </c:pt>
                <c:pt idx="2">
                  <c:v>下降额度（下降13.1%）</c:v>
                </c:pt>
              </c:strCache>
            </c:strRef>
          </c:cat>
          <c:val>
            <c:numRef>
              <c:f>Sheet1!$D$2:$D$5</c:f>
              <c:numCache>
                <c:formatCode>General</c:formatCode>
                <c:ptCount val="4"/>
                <c:pt idx="2">
                  <c:v>46.63</c:v>
                </c:pt>
              </c:numCache>
            </c:numRef>
          </c:val>
        </c:ser>
        <c:dLbls>
          <c:showLegendKey val="0"/>
          <c:showVal val="1"/>
          <c:showCatName val="0"/>
          <c:showSerName val="0"/>
          <c:showPercent val="0"/>
          <c:showBubbleSize val="0"/>
        </c:dLbls>
        <c:gapWidth val="100"/>
        <c:overlap val="-24"/>
        <c:axId val="902240820"/>
        <c:axId val="228842415"/>
      </c:barChart>
      <c:catAx>
        <c:axId val="902240820"/>
        <c:scaling>
          <c:orientation val="minMax"/>
        </c:scaling>
        <c:delete val="0"/>
        <c:axPos val="b"/>
        <c:majorTickMark val="none"/>
        <c:minorTickMark val="none"/>
        <c:tickLblPos val="nextTo"/>
        <c:spPr>
          <a:noFill/>
          <a:ln w="12700" cap="flat" cmpd="sng" algn="ctr">
            <a:solidFill>
              <a:schemeClr val="lt1">
                <a:lumMod val="95000"/>
                <a:alpha val="54000"/>
              </a:schemeClr>
            </a:solidFill>
            <a:round/>
          </a:ln>
          <a:effectLst/>
        </c:spPr>
        <c:txPr>
          <a:bodyPr rot="-6000000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crossAx val="228842415"/>
        <c:crosses val="autoZero"/>
        <c:auto val="1"/>
        <c:lblAlgn val="ctr"/>
        <c:lblOffset val="100"/>
        <c:noMultiLvlLbl val="0"/>
      </c:catAx>
      <c:valAx>
        <c:axId val="228842415"/>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crossAx val="902240820"/>
        <c:crosses val="autoZero"/>
        <c:crossBetween val="between"/>
      </c:valAx>
      <c:spPr>
        <a:noFill/>
        <a:ln>
          <a:noFill/>
        </a:ln>
        <a:effectLst/>
      </c:spPr>
    </c:plotArea>
    <c:plotVisOnly val="1"/>
    <c:dispBlanksAs val="gap"/>
    <c:showDLblsOverMax val="0"/>
    <c:extLst>
      <c:ext uri="{0b15fc19-7d7d-44ad-8c2d-2c3a37ce22c3}">
        <chartProps xmlns="https://web.wps.cn/et/2018/main" chartId="{593f44c7-bad4-41b1-bf83-533ac395c761}"/>
      </c:ext>
    </c:extLst>
  </c:chart>
  <c:spPr>
    <a:solidFill>
      <a:schemeClr val="accent4">
        <a:lumMod val="75000"/>
      </a:schemeClr>
    </a:solidFill>
    <a:ln>
      <a:noFill/>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t>2022年一般公共预算财政拨款支出决算变动情况图（单位：万元）</a:t>
            </a:r>
          </a:p>
        </c:rich>
      </c:tx>
      <c:layout/>
      <c:overlay val="0"/>
      <c:spPr>
        <a:noFill/>
        <a:ln>
          <a:noFill/>
        </a:ln>
        <a:effectLst/>
      </c:spPr>
    </c:title>
    <c:autoTitleDeleted val="0"/>
    <c:plotArea>
      <c:layout>
        <c:manualLayout>
          <c:layoutTarget val="inner"/>
          <c:xMode val="edge"/>
          <c:yMode val="edge"/>
          <c:x val="0.0617989417989418"/>
          <c:y val="0.259321323837453"/>
          <c:w val="0.910805408583186"/>
          <c:h val="0.647758692919983"/>
        </c:manualLayout>
      </c:layout>
      <c:barChart>
        <c:barDir val="col"/>
        <c:grouping val="clustered"/>
        <c:varyColors val="0"/>
        <c:ser>
          <c:idx val="0"/>
          <c:order val="0"/>
          <c:tx>
            <c:strRef>
              <c:f>Sheet1!$B$1</c:f>
              <c:strCache>
                <c:ptCount val="1"/>
                <c:pt idx="0">
                  <c:v>系列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Sheet1!$A$2:$A$5</c:f>
              <c:strCache>
                <c:ptCount val="4"/>
                <c:pt idx="0">
                  <c:v>2021年</c:v>
                </c:pt>
                <c:pt idx="1">
                  <c:v>2022年</c:v>
                </c:pt>
                <c:pt idx="2">
                  <c:v>下降额度（下降20.8%)</c:v>
                </c:pt>
              </c:strCache>
            </c:strRef>
          </c:cat>
          <c:val>
            <c:numRef>
              <c:f>Sheet1!$B$2:$B$5</c:f>
              <c:numCache>
                <c:formatCode>General</c:formatCode>
                <c:ptCount val="4"/>
                <c:pt idx="0">
                  <c:v>355.96</c:v>
                </c:pt>
              </c:numCache>
            </c:numRef>
          </c:val>
        </c:ser>
        <c:ser>
          <c:idx val="1"/>
          <c:order val="1"/>
          <c:tx>
            <c:strRef>
              <c:f>Sheet1!$C$1</c:f>
              <c:strCache>
                <c:ptCount val="1"/>
                <c:pt idx="0">
                  <c:v>系列 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Sheet1!$A$2:$A$5</c:f>
              <c:strCache>
                <c:ptCount val="4"/>
                <c:pt idx="0">
                  <c:v>2021年</c:v>
                </c:pt>
                <c:pt idx="1">
                  <c:v>2022年</c:v>
                </c:pt>
                <c:pt idx="2">
                  <c:v>下降额度（下降20.8%)</c:v>
                </c:pt>
              </c:strCache>
            </c:strRef>
          </c:cat>
          <c:val>
            <c:numRef>
              <c:f>Sheet1!$C$2:$C$5</c:f>
              <c:numCache>
                <c:formatCode>General</c:formatCode>
                <c:ptCount val="4"/>
                <c:pt idx="1">
                  <c:v>281.96</c:v>
                </c:pt>
              </c:numCache>
            </c:numRef>
          </c:val>
        </c:ser>
        <c:ser>
          <c:idx val="2"/>
          <c:order val="2"/>
          <c:tx>
            <c:strRef>
              <c:f>Sheet1!$D$1</c:f>
              <c:strCache>
                <c:ptCount val="1"/>
                <c:pt idx="0">
                  <c:v>系列 3</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Sheet1!$A$2:$A$5</c:f>
              <c:strCache>
                <c:ptCount val="4"/>
                <c:pt idx="0">
                  <c:v>2021年</c:v>
                </c:pt>
                <c:pt idx="1">
                  <c:v>2022年</c:v>
                </c:pt>
                <c:pt idx="2">
                  <c:v>下降额度（下降20.8%)</c:v>
                </c:pt>
              </c:strCache>
            </c:strRef>
          </c:cat>
          <c:val>
            <c:numRef>
              <c:f>Sheet1!$D$2:$D$5</c:f>
              <c:numCache>
                <c:formatCode>General</c:formatCode>
                <c:ptCount val="4"/>
                <c:pt idx="2">
                  <c:v>74</c:v>
                </c:pt>
              </c:numCache>
            </c:numRef>
          </c:val>
        </c:ser>
        <c:dLbls>
          <c:showLegendKey val="0"/>
          <c:showVal val="1"/>
          <c:showCatName val="0"/>
          <c:showSerName val="0"/>
          <c:showPercent val="0"/>
          <c:showBubbleSize val="0"/>
        </c:dLbls>
        <c:gapWidth val="100"/>
        <c:overlap val="-24"/>
        <c:axId val="964343376"/>
        <c:axId val="557900151"/>
      </c:barChart>
      <c:catAx>
        <c:axId val="964343376"/>
        <c:scaling>
          <c:orientation val="minMax"/>
        </c:scaling>
        <c:delete val="0"/>
        <c:axPos val="b"/>
        <c:majorTickMark val="none"/>
        <c:minorTickMark val="none"/>
        <c:tickLblPos val="nextTo"/>
        <c:spPr>
          <a:noFill/>
          <a:ln w="12700" cap="flat" cmpd="sng" algn="ctr">
            <a:solidFill>
              <a:schemeClr val="lt1">
                <a:lumMod val="95000"/>
                <a:alpha val="54000"/>
              </a:schemeClr>
            </a:solidFill>
            <a:round/>
          </a:ln>
          <a:effectLst/>
        </c:spPr>
        <c:txPr>
          <a:bodyPr rot="-6000000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crossAx val="557900151"/>
        <c:crosses val="autoZero"/>
        <c:auto val="1"/>
        <c:lblAlgn val="ctr"/>
        <c:lblOffset val="100"/>
        <c:noMultiLvlLbl val="0"/>
      </c:catAx>
      <c:valAx>
        <c:axId val="557900151"/>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crossAx val="964343376"/>
        <c:crosses val="autoZero"/>
        <c:crossBetween val="between"/>
      </c:valAx>
      <c:spPr>
        <a:noFill/>
        <a:ln>
          <a:noFill/>
        </a:ln>
        <a:effectLst/>
      </c:spPr>
    </c:plotArea>
    <c:plotVisOnly val="1"/>
    <c:dispBlanksAs val="gap"/>
    <c:showDLblsOverMax val="0"/>
    <c:extLst>
      <c:ext uri="{0b15fc19-7d7d-44ad-8c2d-2c3a37ce22c3}">
        <chartProps xmlns="https://web.wps.cn/et/2018/main" chartId="{3b2ded14-285b-455b-9145-c65cc1f30b91}"/>
      </c:ext>
    </c:extLst>
  </c:chart>
  <c:spPr>
    <a:solidFill>
      <a:schemeClr val="accent4">
        <a:lumMod val="75000"/>
      </a:schemeClr>
    </a:solidFill>
    <a:ln>
      <a:noFill/>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t>2022年一般公共预算财政拨款支出结构图</a:t>
            </a:r>
          </a:p>
        </c:rich>
      </c:tx>
      <c:layout>
        <c:manualLayout>
          <c:xMode val="edge"/>
          <c:yMode val="edge"/>
          <c:x val="0.203875"/>
          <c:y val="0.0556666666666667"/>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0.00%</c:formatCode>
                <c:ptCount val="4"/>
                <c:pt idx="0">
                  <c:v>0.824</c:v>
                </c:pt>
                <c:pt idx="1">
                  <c:v>0.062</c:v>
                </c:pt>
                <c:pt idx="2">
                  <c:v>0.046</c:v>
                </c:pt>
                <c:pt idx="3">
                  <c:v>0.068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legend>
    <c:plotVisOnly val="1"/>
    <c:dispBlanksAs val="gap"/>
    <c:showDLblsOverMax val="0"/>
    <c:extLst>
      <c:ext uri="{0b15fc19-7d7d-44ad-8c2d-2c3a37ce22c3}">
        <chartProps xmlns="https://web.wps.cn/et/2018/main" chartId="{eb4ae203-e98a-4c78-92c5-1d02cb0cd136}"/>
      </c:ext>
    </c:extLst>
  </c:chart>
  <c:spPr>
    <a:solidFill>
      <a:schemeClr val="bg1">
        <a:lumMod val="50000"/>
      </a:schemeClr>
    </a:solidFill>
    <a:ln>
      <a:noFill/>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zh-CN"/>
              <a:t>年</a:t>
            </a:r>
            <a:r>
              <a:rPr lang="en-US" altLang="zh-CN"/>
              <a:t>“</a:t>
            </a:r>
            <a:r>
              <a:rPr altLang="en-US"/>
              <a:t>三公</a:t>
            </a:r>
            <a:r>
              <a:rPr lang="en-US" altLang="zh-CN"/>
              <a:t>”</a:t>
            </a:r>
            <a:r>
              <a:rPr altLang="en-US"/>
              <a:t>经费财政拨款支出决算结构图</a:t>
            </a:r>
            <a:endParaRPr altLang="en-US"/>
          </a:p>
        </c:rich>
      </c:tx>
      <c:layout>
        <c:manualLayout>
          <c:xMode val="edge"/>
          <c:yMode val="edge"/>
          <c:x val="0.16375"/>
          <c:y val="0.0533333333333333"/>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公务接待费支出</c:v>
                </c:pt>
              </c:strCache>
            </c:strRef>
          </c:cat>
          <c:val>
            <c:numRef>
              <c:f>Sheet1!$B$2</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3481913-1470-4965-afcd-c55a00fd00c1}"/>
      </c:ext>
    </c:extLst>
  </c:chart>
  <c:spPr>
    <a:solidFill>
      <a:schemeClr val="bg1">
        <a:lumMod val="65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65</Pages>
  <Words>11174</Words>
  <Characters>13542</Characters>
  <Lines>61</Lines>
  <Paragraphs>17</Paragraphs>
  <TotalTime>6</TotalTime>
  <ScaleCrop>false</ScaleCrop>
  <LinksUpToDate>false</LinksUpToDate>
  <CharactersWithSpaces>13581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刘娟</cp:lastModifiedBy>
  <cp:lastPrinted>2023-09-22T02:38:00Z</cp:lastPrinted>
  <dcterms:modified xsi:type="dcterms:W3CDTF">2024-12-24T10:15:51Z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1DFC6195DB96441B97E2DD2DE421A8FE</vt:lpwstr>
  </property>
</Properties>
</file>