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8F2BA1">
      <w:pPr>
        <w:tabs>
          <w:tab w:val="left" w:pos="1440"/>
        </w:tabs>
        <w:spacing w:line="560" w:lineRule="exact"/>
        <w:rPr>
          <w:rFonts w:ascii="宋体" w:hAnsi="宋体" w:eastAsia="宋体"/>
          <w:sz w:val="30"/>
          <w:szCs w:val="30"/>
        </w:rPr>
      </w:pPr>
    </w:p>
    <w:p w14:paraId="2102CACE">
      <w:pPr>
        <w:pStyle w:val="4"/>
        <w:spacing w:line="560" w:lineRule="exact"/>
        <w:rPr>
          <w:rFonts w:ascii="方正小标宋简体" w:hAnsi="宋体" w:eastAsia="方正小标宋简体"/>
          <w:sz w:val="44"/>
          <w:szCs w:val="44"/>
        </w:rPr>
      </w:pPr>
      <w:r>
        <w:rPr>
          <w:rFonts w:hint="eastAsia" w:ascii="方正小标宋简体" w:hAnsi="宋体" w:eastAsia="方正小标宋简体"/>
          <w:sz w:val="44"/>
          <w:szCs w:val="44"/>
          <w:lang w:val="en-US"/>
        </w:rPr>
        <w:t>2022年</w:t>
      </w:r>
      <w:r>
        <w:rPr>
          <w:rFonts w:hint="eastAsia" w:ascii="方正小标宋简体" w:hAnsi="宋体" w:eastAsia="方正小标宋简体"/>
          <w:sz w:val="44"/>
          <w:szCs w:val="44"/>
        </w:rPr>
        <w:t>专项预算项目支出绩效自评报告</w:t>
      </w:r>
    </w:p>
    <w:p w14:paraId="7887CB53">
      <w:pPr>
        <w:pStyle w:val="4"/>
        <w:spacing w:line="560" w:lineRule="exact"/>
        <w:jc w:val="center"/>
        <w:rPr>
          <w:rFonts w:ascii="仿宋_GB2312" w:hAnsi="宋体" w:eastAsia="仿宋_GB2312"/>
          <w:color w:val="auto"/>
          <w:kern w:val="2"/>
          <w:sz w:val="32"/>
          <w:szCs w:val="32"/>
        </w:rPr>
      </w:pPr>
      <w:r>
        <w:rPr>
          <w:rFonts w:hint="eastAsia" w:ascii="仿宋_GB2312" w:hAnsi="宋体" w:eastAsia="仿宋_GB2312"/>
          <w:color w:val="auto"/>
          <w:kern w:val="2"/>
          <w:sz w:val="32"/>
          <w:szCs w:val="32"/>
        </w:rPr>
        <w:t>（项目单位自评）</w:t>
      </w:r>
    </w:p>
    <w:p w14:paraId="57BAE8CA">
      <w:pPr>
        <w:pStyle w:val="4"/>
        <w:spacing w:line="560" w:lineRule="exact"/>
        <w:ind w:firstLine="640"/>
        <w:jc w:val="center"/>
        <w:rPr>
          <w:rFonts w:ascii="宋体" w:hAnsi="宋体"/>
          <w:color w:val="auto"/>
          <w:kern w:val="2"/>
          <w:sz w:val="32"/>
          <w:szCs w:val="32"/>
        </w:rPr>
      </w:pPr>
    </w:p>
    <w:p w14:paraId="1D853390">
      <w:pPr>
        <w:adjustRightInd w:val="0"/>
        <w:snapToGrid w:val="0"/>
        <w:spacing w:line="560" w:lineRule="exact"/>
        <w:ind w:firstLine="720"/>
        <w:rPr>
          <w:rFonts w:ascii="黑体" w:hAnsi="宋体" w:eastAsia="黑体"/>
          <w:lang w:val="zh-CN"/>
        </w:rPr>
      </w:pPr>
      <w:r>
        <w:rPr>
          <w:rFonts w:hint="eastAsia" w:ascii="黑体" w:hAnsi="宋体" w:eastAsia="黑体"/>
        </w:rPr>
        <w:t>一、</w:t>
      </w:r>
      <w:r>
        <w:rPr>
          <w:rFonts w:hint="eastAsia" w:ascii="黑体" w:hAnsi="宋体" w:eastAsia="黑体"/>
          <w:lang w:val="zh-CN"/>
        </w:rPr>
        <w:t>项目概况</w:t>
      </w:r>
    </w:p>
    <w:p w14:paraId="58ACB3A6">
      <w:pPr>
        <w:adjustRightInd w:val="0"/>
        <w:snapToGrid w:val="0"/>
        <w:spacing w:line="560" w:lineRule="exact"/>
        <w:ind w:firstLine="720"/>
        <w:rPr>
          <w:rFonts w:ascii="仿宋_GB2312" w:hAnsi="宋体"/>
          <w:lang w:val="zh-CN"/>
        </w:rPr>
      </w:pPr>
      <w:r>
        <w:rPr>
          <w:rFonts w:hint="eastAsia" w:ascii="仿宋_GB2312" w:hAnsi="宋体"/>
          <w:lang w:val="zh-CN"/>
        </w:rPr>
        <w:t>介绍项目基本情况，重点说明以下内容：</w:t>
      </w:r>
    </w:p>
    <w:p w14:paraId="5A183FEC">
      <w:pPr>
        <w:numPr>
          <w:ilvl w:val="0"/>
          <w:numId w:val="1"/>
        </w:numPr>
        <w:adjustRightInd w:val="0"/>
        <w:snapToGrid w:val="0"/>
        <w:spacing w:line="560" w:lineRule="exact"/>
        <w:ind w:firstLine="720"/>
        <w:rPr>
          <w:rFonts w:ascii="仿宋_GB2312" w:hAnsi="宋体"/>
          <w:lang w:val="zh-CN"/>
        </w:rPr>
      </w:pPr>
      <w:r>
        <w:rPr>
          <w:rFonts w:hint="eastAsia" w:ascii="楷体_GB2312" w:hAnsi="宋体" w:eastAsia="楷体_GB2312"/>
          <w:b/>
          <w:lang w:val="zh-CN"/>
        </w:rPr>
        <w:t>项目资金申报及批复情况。</w:t>
      </w:r>
      <w:r>
        <w:rPr>
          <w:rFonts w:hint="eastAsia" w:ascii="仿宋_GB2312" w:hAnsi="宋体"/>
          <w:lang w:val="zh-CN"/>
        </w:rPr>
        <w:t>“工业副产石膏综合利用转化新型墙体建材的开发与产业化”项目符合资金管理办法相关规定，项目预算总投资2200万元，四川省经济和信息化厅批复项目专项资金190万元，其余2010万元为自筹资金。</w:t>
      </w:r>
      <w:r>
        <w:rPr>
          <w:rFonts w:hint="eastAsia" w:ascii="仿宋_GB2312" w:hAnsi="宋体"/>
        </w:rPr>
        <w:t>该</w:t>
      </w:r>
      <w:r>
        <w:rPr>
          <w:rFonts w:hint="eastAsia" w:ascii="仿宋_GB2312" w:hAnsi="宋体"/>
          <w:lang w:val="zh-CN"/>
        </w:rPr>
        <w:t>项目在半干法脱硫灰制备内墙腻子粉的方法等技术基础上结合二步法工艺以脱硫石膏为原料生产脱硫石膏粉、腻子。建设年产10万吨/年的石膏粉、石膏腻子生产线各一套。</w:t>
      </w:r>
    </w:p>
    <w:p w14:paraId="1DEA44AD">
      <w:pPr>
        <w:adjustRightInd w:val="0"/>
        <w:snapToGrid w:val="0"/>
        <w:spacing w:line="560" w:lineRule="exact"/>
        <w:rPr>
          <w:rFonts w:ascii="仿宋_GB2312" w:hAnsi="宋体"/>
          <w:lang w:val="zh-CN"/>
        </w:rPr>
      </w:pPr>
      <w:r>
        <w:rPr>
          <w:rFonts w:hint="eastAsia" w:ascii="楷体_GB2312" w:hAnsi="宋体" w:eastAsia="楷体_GB2312"/>
          <w:b/>
          <w:lang w:val="zh-CN"/>
        </w:rPr>
        <w:t>（二）项目绩效目标。</w:t>
      </w:r>
    </w:p>
    <w:p w14:paraId="0B0E8860">
      <w:pPr>
        <w:adjustRightInd w:val="0"/>
        <w:snapToGrid w:val="0"/>
        <w:spacing w:line="600" w:lineRule="exact"/>
        <w:ind w:firstLine="720"/>
        <w:rPr>
          <w:rFonts w:ascii="Calibri" w:hAnsi="Calibri" w:eastAsia="楷体_GB2312"/>
        </w:rPr>
      </w:pPr>
      <w:r>
        <w:rPr>
          <w:rFonts w:hint="eastAsia" w:ascii="Calibri" w:hAnsi="Calibri" w:eastAsia="楷体_GB2312"/>
        </w:rPr>
        <w:t>1、项目实施进度</w:t>
      </w:r>
    </w:p>
    <w:p w14:paraId="1105F0EC">
      <w:pPr>
        <w:adjustRightInd w:val="0"/>
        <w:snapToGrid w:val="0"/>
        <w:spacing w:line="600" w:lineRule="exact"/>
        <w:ind w:firstLine="720"/>
        <w:rPr>
          <w:rFonts w:ascii="Calibri" w:hAnsi="Calibri"/>
        </w:rPr>
      </w:pPr>
      <w:r>
        <w:rPr>
          <w:rFonts w:hint="eastAsia" w:ascii="Calibri" w:hAnsi="Calibri"/>
        </w:rPr>
        <w:t>本项目计划周期为2016年7月-2019年6月，项目建设安排如下：</w:t>
      </w:r>
    </w:p>
    <w:tbl>
      <w:tblPr>
        <w:tblStyle w:val="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2509"/>
        <w:gridCol w:w="4984"/>
      </w:tblGrid>
      <w:tr w14:paraId="3FBA7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exact"/>
        </w:trPr>
        <w:tc>
          <w:tcPr>
            <w:tcW w:w="604" w:type="pct"/>
            <w:vAlign w:val="center"/>
          </w:tcPr>
          <w:p w14:paraId="74DF4042">
            <w:pPr>
              <w:adjustRightInd w:val="0"/>
              <w:snapToGrid w:val="0"/>
              <w:spacing w:line="600" w:lineRule="exact"/>
              <w:jc w:val="center"/>
            </w:pPr>
            <w:r>
              <w:rPr>
                <w:rFonts w:hint="eastAsia"/>
              </w:rPr>
              <w:t>序号</w:t>
            </w:r>
          </w:p>
        </w:tc>
        <w:tc>
          <w:tcPr>
            <w:tcW w:w="1471" w:type="pct"/>
            <w:vAlign w:val="center"/>
          </w:tcPr>
          <w:p w14:paraId="7C9F7BE1">
            <w:pPr>
              <w:adjustRightInd w:val="0"/>
              <w:snapToGrid w:val="0"/>
              <w:spacing w:line="600" w:lineRule="exact"/>
              <w:ind w:firstLine="720"/>
            </w:pPr>
            <w:r>
              <w:rPr>
                <w:rFonts w:hint="eastAsia"/>
              </w:rPr>
              <w:t>实施进度</w:t>
            </w:r>
          </w:p>
        </w:tc>
        <w:tc>
          <w:tcPr>
            <w:tcW w:w="2923" w:type="pct"/>
            <w:vAlign w:val="center"/>
          </w:tcPr>
          <w:p w14:paraId="4D94F361">
            <w:pPr>
              <w:adjustRightInd w:val="0"/>
              <w:snapToGrid w:val="0"/>
              <w:spacing w:line="600" w:lineRule="exact"/>
              <w:ind w:firstLine="720"/>
            </w:pPr>
            <w:r>
              <w:rPr>
                <w:rFonts w:hint="eastAsia"/>
              </w:rPr>
              <w:t>进度安排和实施内容</w:t>
            </w:r>
          </w:p>
        </w:tc>
      </w:tr>
      <w:tr w14:paraId="6A465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trPr>
        <w:tc>
          <w:tcPr>
            <w:tcW w:w="604" w:type="pct"/>
            <w:vAlign w:val="center"/>
          </w:tcPr>
          <w:p w14:paraId="6634533C">
            <w:pPr>
              <w:adjustRightInd w:val="0"/>
              <w:snapToGrid w:val="0"/>
              <w:spacing w:line="600" w:lineRule="exact"/>
              <w:jc w:val="center"/>
            </w:pPr>
            <w:r>
              <w:rPr>
                <w:rFonts w:hint="eastAsia"/>
              </w:rPr>
              <w:t>1</w:t>
            </w:r>
          </w:p>
        </w:tc>
        <w:tc>
          <w:tcPr>
            <w:tcW w:w="1471" w:type="pct"/>
            <w:vMerge w:val="restart"/>
            <w:vAlign w:val="center"/>
          </w:tcPr>
          <w:p w14:paraId="2E37FE62">
            <w:pPr>
              <w:adjustRightInd w:val="0"/>
              <w:snapToGrid w:val="0"/>
              <w:spacing w:line="600" w:lineRule="exact"/>
            </w:pPr>
            <w:r>
              <w:rPr>
                <w:rFonts w:hint="eastAsia"/>
              </w:rPr>
              <w:t>2016.07-2016.12</w:t>
            </w:r>
          </w:p>
        </w:tc>
        <w:tc>
          <w:tcPr>
            <w:tcW w:w="2923" w:type="pct"/>
            <w:vAlign w:val="center"/>
          </w:tcPr>
          <w:p w14:paraId="361A50C2">
            <w:pPr>
              <w:adjustRightInd w:val="0"/>
              <w:snapToGrid w:val="0"/>
              <w:spacing w:line="600" w:lineRule="exact"/>
            </w:pPr>
            <w:r>
              <w:rPr>
                <w:rFonts w:hint="eastAsia"/>
              </w:rPr>
              <w:t>成立项目领导小组</w:t>
            </w:r>
          </w:p>
        </w:tc>
      </w:tr>
      <w:tr w14:paraId="2077B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exact"/>
        </w:trPr>
        <w:tc>
          <w:tcPr>
            <w:tcW w:w="604" w:type="pct"/>
            <w:vAlign w:val="center"/>
          </w:tcPr>
          <w:p w14:paraId="23EB6FD3">
            <w:pPr>
              <w:adjustRightInd w:val="0"/>
              <w:snapToGrid w:val="0"/>
              <w:spacing w:line="600" w:lineRule="exact"/>
              <w:jc w:val="center"/>
            </w:pPr>
            <w:r>
              <w:rPr>
                <w:rFonts w:hint="eastAsia"/>
              </w:rPr>
              <w:t>2</w:t>
            </w:r>
          </w:p>
        </w:tc>
        <w:tc>
          <w:tcPr>
            <w:tcW w:w="1471" w:type="pct"/>
            <w:vMerge w:val="continue"/>
            <w:vAlign w:val="center"/>
          </w:tcPr>
          <w:p w14:paraId="3F9E8CC5">
            <w:pPr>
              <w:adjustRightInd w:val="0"/>
              <w:snapToGrid w:val="0"/>
              <w:spacing w:line="600" w:lineRule="exact"/>
            </w:pPr>
          </w:p>
        </w:tc>
        <w:tc>
          <w:tcPr>
            <w:tcW w:w="2923" w:type="pct"/>
            <w:vAlign w:val="center"/>
          </w:tcPr>
          <w:p w14:paraId="1A49B5FC">
            <w:pPr>
              <w:adjustRightInd w:val="0"/>
              <w:snapToGrid w:val="0"/>
              <w:spacing w:line="600" w:lineRule="exact"/>
            </w:pPr>
            <w:r>
              <w:rPr>
                <w:rFonts w:hint="eastAsia"/>
              </w:rPr>
              <w:t>进行技术原理研究及工艺研究</w:t>
            </w:r>
          </w:p>
        </w:tc>
      </w:tr>
      <w:tr w14:paraId="1E685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exact"/>
        </w:trPr>
        <w:tc>
          <w:tcPr>
            <w:tcW w:w="604" w:type="pct"/>
            <w:vAlign w:val="center"/>
          </w:tcPr>
          <w:p w14:paraId="1C2D7E9B">
            <w:pPr>
              <w:adjustRightInd w:val="0"/>
              <w:snapToGrid w:val="0"/>
              <w:spacing w:line="600" w:lineRule="exact"/>
              <w:jc w:val="center"/>
            </w:pPr>
            <w:r>
              <w:rPr>
                <w:rFonts w:hint="eastAsia"/>
              </w:rPr>
              <w:t>3</w:t>
            </w:r>
          </w:p>
        </w:tc>
        <w:tc>
          <w:tcPr>
            <w:tcW w:w="1471" w:type="pct"/>
            <w:vMerge w:val="continue"/>
            <w:vAlign w:val="center"/>
          </w:tcPr>
          <w:p w14:paraId="1B927385">
            <w:pPr>
              <w:adjustRightInd w:val="0"/>
              <w:snapToGrid w:val="0"/>
              <w:spacing w:line="600" w:lineRule="exact"/>
            </w:pPr>
          </w:p>
        </w:tc>
        <w:tc>
          <w:tcPr>
            <w:tcW w:w="2923" w:type="pct"/>
            <w:vAlign w:val="center"/>
          </w:tcPr>
          <w:p w14:paraId="353AFAAE">
            <w:pPr>
              <w:adjustRightInd w:val="0"/>
              <w:snapToGrid w:val="0"/>
              <w:spacing w:line="600" w:lineRule="exact"/>
            </w:pPr>
            <w:r>
              <w:rPr>
                <w:rFonts w:hint="eastAsia"/>
              </w:rPr>
              <w:t>样品试验验证及试验数据分析</w:t>
            </w:r>
          </w:p>
        </w:tc>
      </w:tr>
      <w:tr w14:paraId="1F531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trPr>
        <w:tc>
          <w:tcPr>
            <w:tcW w:w="604" w:type="pct"/>
            <w:vAlign w:val="center"/>
          </w:tcPr>
          <w:p w14:paraId="0F6EDFC8">
            <w:pPr>
              <w:adjustRightInd w:val="0"/>
              <w:snapToGrid w:val="0"/>
              <w:spacing w:line="600" w:lineRule="exact"/>
              <w:jc w:val="center"/>
            </w:pPr>
            <w:r>
              <w:rPr>
                <w:rFonts w:hint="eastAsia"/>
              </w:rPr>
              <w:t>4</w:t>
            </w:r>
          </w:p>
        </w:tc>
        <w:tc>
          <w:tcPr>
            <w:tcW w:w="1471" w:type="pct"/>
            <w:vMerge w:val="restart"/>
            <w:vAlign w:val="center"/>
          </w:tcPr>
          <w:p w14:paraId="34B43182">
            <w:pPr>
              <w:adjustRightInd w:val="0"/>
              <w:snapToGrid w:val="0"/>
              <w:spacing w:line="600" w:lineRule="exact"/>
            </w:pPr>
            <w:r>
              <w:rPr>
                <w:rFonts w:hint="eastAsia"/>
              </w:rPr>
              <w:t>2017.01-2017.09</w:t>
            </w:r>
          </w:p>
        </w:tc>
        <w:tc>
          <w:tcPr>
            <w:tcW w:w="2923" w:type="pct"/>
            <w:vAlign w:val="center"/>
          </w:tcPr>
          <w:p w14:paraId="75098B17">
            <w:pPr>
              <w:adjustRightInd w:val="0"/>
              <w:snapToGrid w:val="0"/>
              <w:spacing w:line="600" w:lineRule="exact"/>
            </w:pPr>
            <w:r>
              <w:rPr>
                <w:rFonts w:hint="eastAsia"/>
              </w:rPr>
              <w:t>样品改进及验证</w:t>
            </w:r>
          </w:p>
        </w:tc>
      </w:tr>
      <w:tr w14:paraId="4E4E9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exact"/>
        </w:trPr>
        <w:tc>
          <w:tcPr>
            <w:tcW w:w="604" w:type="pct"/>
            <w:vAlign w:val="center"/>
          </w:tcPr>
          <w:p w14:paraId="720778B9">
            <w:pPr>
              <w:adjustRightInd w:val="0"/>
              <w:snapToGrid w:val="0"/>
              <w:spacing w:line="600" w:lineRule="exact"/>
              <w:jc w:val="center"/>
            </w:pPr>
            <w:r>
              <w:rPr>
                <w:rFonts w:hint="eastAsia"/>
              </w:rPr>
              <w:t>5</w:t>
            </w:r>
          </w:p>
        </w:tc>
        <w:tc>
          <w:tcPr>
            <w:tcW w:w="1471" w:type="pct"/>
            <w:vMerge w:val="continue"/>
            <w:vAlign w:val="center"/>
          </w:tcPr>
          <w:p w14:paraId="5DCB9703">
            <w:pPr>
              <w:adjustRightInd w:val="0"/>
              <w:snapToGrid w:val="0"/>
              <w:spacing w:line="600" w:lineRule="exact"/>
            </w:pPr>
          </w:p>
        </w:tc>
        <w:tc>
          <w:tcPr>
            <w:tcW w:w="2923" w:type="pct"/>
            <w:vAlign w:val="center"/>
          </w:tcPr>
          <w:p w14:paraId="7438FC32">
            <w:pPr>
              <w:adjustRightInd w:val="0"/>
              <w:snapToGrid w:val="0"/>
              <w:spacing w:line="600" w:lineRule="exact"/>
            </w:pPr>
            <w:r>
              <w:rPr>
                <w:rFonts w:hint="eastAsia"/>
              </w:rPr>
              <w:t>中试生产研究</w:t>
            </w:r>
          </w:p>
        </w:tc>
      </w:tr>
      <w:tr w14:paraId="1B4E3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exact"/>
        </w:trPr>
        <w:tc>
          <w:tcPr>
            <w:tcW w:w="604" w:type="pct"/>
            <w:vAlign w:val="center"/>
          </w:tcPr>
          <w:p w14:paraId="72C06813">
            <w:pPr>
              <w:adjustRightInd w:val="0"/>
              <w:snapToGrid w:val="0"/>
              <w:spacing w:line="600" w:lineRule="exact"/>
              <w:jc w:val="center"/>
            </w:pPr>
            <w:r>
              <w:rPr>
                <w:rFonts w:hint="eastAsia"/>
              </w:rPr>
              <w:t>6</w:t>
            </w:r>
          </w:p>
        </w:tc>
        <w:tc>
          <w:tcPr>
            <w:tcW w:w="1471" w:type="pct"/>
            <w:vMerge w:val="continue"/>
            <w:vAlign w:val="center"/>
          </w:tcPr>
          <w:p w14:paraId="6DAA146B">
            <w:pPr>
              <w:adjustRightInd w:val="0"/>
              <w:snapToGrid w:val="0"/>
              <w:spacing w:line="600" w:lineRule="exact"/>
            </w:pPr>
          </w:p>
        </w:tc>
        <w:tc>
          <w:tcPr>
            <w:tcW w:w="2923" w:type="pct"/>
            <w:vAlign w:val="center"/>
          </w:tcPr>
          <w:p w14:paraId="59B43191">
            <w:pPr>
              <w:adjustRightInd w:val="0"/>
              <w:snapToGrid w:val="0"/>
              <w:spacing w:line="600" w:lineRule="exact"/>
            </w:pPr>
            <w:r>
              <w:rPr>
                <w:rFonts w:hint="eastAsia"/>
              </w:rPr>
              <w:t>确定技术状态、批产工艺总结</w:t>
            </w:r>
          </w:p>
        </w:tc>
      </w:tr>
      <w:tr w14:paraId="2AF90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exact"/>
        </w:trPr>
        <w:tc>
          <w:tcPr>
            <w:tcW w:w="604" w:type="pct"/>
            <w:vAlign w:val="center"/>
          </w:tcPr>
          <w:p w14:paraId="388BDC92">
            <w:pPr>
              <w:adjustRightInd w:val="0"/>
              <w:snapToGrid w:val="0"/>
              <w:spacing w:line="600" w:lineRule="exact"/>
              <w:jc w:val="center"/>
            </w:pPr>
            <w:r>
              <w:rPr>
                <w:rFonts w:hint="eastAsia"/>
              </w:rPr>
              <w:t>7</w:t>
            </w:r>
          </w:p>
        </w:tc>
        <w:tc>
          <w:tcPr>
            <w:tcW w:w="1471" w:type="pct"/>
            <w:vMerge w:val="continue"/>
            <w:vAlign w:val="center"/>
          </w:tcPr>
          <w:p w14:paraId="79F71E49">
            <w:pPr>
              <w:adjustRightInd w:val="0"/>
              <w:snapToGrid w:val="0"/>
              <w:spacing w:line="600" w:lineRule="exact"/>
            </w:pPr>
          </w:p>
        </w:tc>
        <w:tc>
          <w:tcPr>
            <w:tcW w:w="2923" w:type="pct"/>
            <w:vAlign w:val="center"/>
          </w:tcPr>
          <w:p w14:paraId="2F190F54">
            <w:pPr>
              <w:adjustRightInd w:val="0"/>
              <w:snapToGrid w:val="0"/>
              <w:spacing w:line="600" w:lineRule="exact"/>
            </w:pPr>
            <w:r>
              <w:rPr>
                <w:rFonts w:hint="eastAsia"/>
              </w:rPr>
              <w:t>生产线的安装建设</w:t>
            </w:r>
          </w:p>
        </w:tc>
      </w:tr>
      <w:tr w14:paraId="16FCF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exact"/>
        </w:trPr>
        <w:tc>
          <w:tcPr>
            <w:tcW w:w="604" w:type="pct"/>
            <w:vAlign w:val="center"/>
          </w:tcPr>
          <w:p w14:paraId="738FFEA4">
            <w:pPr>
              <w:adjustRightInd w:val="0"/>
              <w:snapToGrid w:val="0"/>
              <w:spacing w:line="600" w:lineRule="exact"/>
              <w:jc w:val="center"/>
            </w:pPr>
            <w:r>
              <w:rPr>
                <w:rFonts w:hint="eastAsia"/>
              </w:rPr>
              <w:t>8</w:t>
            </w:r>
          </w:p>
        </w:tc>
        <w:tc>
          <w:tcPr>
            <w:tcW w:w="1471" w:type="pct"/>
            <w:vMerge w:val="restart"/>
            <w:vAlign w:val="center"/>
          </w:tcPr>
          <w:p w14:paraId="0CA59AB4">
            <w:pPr>
              <w:adjustRightInd w:val="0"/>
              <w:snapToGrid w:val="0"/>
              <w:spacing w:line="600" w:lineRule="exact"/>
            </w:pPr>
            <w:r>
              <w:rPr>
                <w:rFonts w:hint="eastAsia"/>
              </w:rPr>
              <w:t>2017.10-2018.12</w:t>
            </w:r>
          </w:p>
        </w:tc>
        <w:tc>
          <w:tcPr>
            <w:tcW w:w="2923" w:type="pct"/>
            <w:vAlign w:val="center"/>
          </w:tcPr>
          <w:p w14:paraId="7E6326C3">
            <w:pPr>
              <w:adjustRightInd w:val="0"/>
              <w:snapToGrid w:val="0"/>
              <w:spacing w:line="600" w:lineRule="exact"/>
            </w:pPr>
            <w:r>
              <w:rPr>
                <w:rFonts w:hint="eastAsia"/>
              </w:rPr>
              <w:t>设备调研、采购</w:t>
            </w:r>
          </w:p>
        </w:tc>
      </w:tr>
      <w:tr w14:paraId="2B719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exact"/>
        </w:trPr>
        <w:tc>
          <w:tcPr>
            <w:tcW w:w="604" w:type="pct"/>
            <w:vAlign w:val="center"/>
          </w:tcPr>
          <w:p w14:paraId="1338D4DB">
            <w:pPr>
              <w:adjustRightInd w:val="0"/>
              <w:snapToGrid w:val="0"/>
              <w:spacing w:line="600" w:lineRule="exact"/>
              <w:jc w:val="center"/>
            </w:pPr>
            <w:r>
              <w:rPr>
                <w:rFonts w:hint="eastAsia"/>
              </w:rPr>
              <w:t>9</w:t>
            </w:r>
          </w:p>
        </w:tc>
        <w:tc>
          <w:tcPr>
            <w:tcW w:w="1471" w:type="pct"/>
            <w:vMerge w:val="continue"/>
            <w:vAlign w:val="center"/>
          </w:tcPr>
          <w:p w14:paraId="14B69342">
            <w:pPr>
              <w:adjustRightInd w:val="0"/>
              <w:snapToGrid w:val="0"/>
              <w:spacing w:line="600" w:lineRule="exact"/>
            </w:pPr>
          </w:p>
        </w:tc>
        <w:tc>
          <w:tcPr>
            <w:tcW w:w="2923" w:type="pct"/>
            <w:vAlign w:val="center"/>
          </w:tcPr>
          <w:p w14:paraId="1BC13E95">
            <w:pPr>
              <w:adjustRightInd w:val="0"/>
              <w:snapToGrid w:val="0"/>
              <w:spacing w:line="600" w:lineRule="exact"/>
            </w:pPr>
            <w:r>
              <w:rPr>
                <w:rFonts w:hint="eastAsia"/>
              </w:rPr>
              <w:t>生产线安装、调试</w:t>
            </w:r>
          </w:p>
        </w:tc>
      </w:tr>
      <w:tr w14:paraId="763C0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exact"/>
        </w:trPr>
        <w:tc>
          <w:tcPr>
            <w:tcW w:w="604" w:type="pct"/>
            <w:vAlign w:val="center"/>
          </w:tcPr>
          <w:p w14:paraId="1923F313">
            <w:pPr>
              <w:adjustRightInd w:val="0"/>
              <w:snapToGrid w:val="0"/>
              <w:spacing w:line="600" w:lineRule="exact"/>
              <w:jc w:val="center"/>
            </w:pPr>
            <w:r>
              <w:rPr>
                <w:rFonts w:hint="eastAsia"/>
              </w:rPr>
              <w:t>10</w:t>
            </w:r>
          </w:p>
        </w:tc>
        <w:tc>
          <w:tcPr>
            <w:tcW w:w="1471" w:type="pct"/>
            <w:vMerge w:val="continue"/>
            <w:vAlign w:val="center"/>
          </w:tcPr>
          <w:p w14:paraId="0645E174">
            <w:pPr>
              <w:adjustRightInd w:val="0"/>
              <w:snapToGrid w:val="0"/>
              <w:spacing w:line="600" w:lineRule="exact"/>
            </w:pPr>
          </w:p>
        </w:tc>
        <w:tc>
          <w:tcPr>
            <w:tcW w:w="2923" w:type="pct"/>
            <w:vAlign w:val="center"/>
          </w:tcPr>
          <w:p w14:paraId="4B42E0C2">
            <w:pPr>
              <w:adjustRightInd w:val="0"/>
              <w:snapToGrid w:val="0"/>
              <w:spacing w:line="600" w:lineRule="exact"/>
            </w:pPr>
            <w:r>
              <w:rPr>
                <w:rFonts w:hint="eastAsia"/>
              </w:rPr>
              <w:t>小批量生产、推广使用</w:t>
            </w:r>
          </w:p>
        </w:tc>
      </w:tr>
      <w:tr w14:paraId="573AC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exact"/>
        </w:trPr>
        <w:tc>
          <w:tcPr>
            <w:tcW w:w="604" w:type="pct"/>
            <w:vAlign w:val="center"/>
          </w:tcPr>
          <w:p w14:paraId="4ED34B65">
            <w:pPr>
              <w:adjustRightInd w:val="0"/>
              <w:snapToGrid w:val="0"/>
              <w:spacing w:line="600" w:lineRule="exact"/>
              <w:jc w:val="center"/>
            </w:pPr>
            <w:r>
              <w:rPr>
                <w:rFonts w:hint="eastAsia"/>
              </w:rPr>
              <w:t>11</w:t>
            </w:r>
          </w:p>
          <w:p w14:paraId="5E45A062">
            <w:pPr>
              <w:adjustRightInd w:val="0"/>
              <w:snapToGrid w:val="0"/>
              <w:spacing w:line="600" w:lineRule="exact"/>
              <w:jc w:val="center"/>
            </w:pPr>
            <w:r>
              <w:rPr>
                <w:rFonts w:hint="eastAsia"/>
              </w:rPr>
              <w:t>12</w:t>
            </w:r>
          </w:p>
        </w:tc>
        <w:tc>
          <w:tcPr>
            <w:tcW w:w="1471" w:type="pct"/>
            <w:vMerge w:val="restart"/>
            <w:vAlign w:val="center"/>
          </w:tcPr>
          <w:p w14:paraId="21FC3EDF">
            <w:pPr>
              <w:adjustRightInd w:val="0"/>
              <w:snapToGrid w:val="0"/>
              <w:spacing w:line="600" w:lineRule="exact"/>
            </w:pPr>
            <w:r>
              <w:rPr>
                <w:rFonts w:hint="eastAsia"/>
              </w:rPr>
              <w:t>2019.01-2019.06</w:t>
            </w:r>
          </w:p>
        </w:tc>
        <w:tc>
          <w:tcPr>
            <w:tcW w:w="2923" w:type="pct"/>
            <w:vAlign w:val="center"/>
          </w:tcPr>
          <w:p w14:paraId="2ED45517">
            <w:pPr>
              <w:adjustRightInd w:val="0"/>
              <w:snapToGrid w:val="0"/>
              <w:spacing w:line="600" w:lineRule="exact"/>
            </w:pPr>
            <w:r>
              <w:rPr>
                <w:rFonts w:hint="eastAsia"/>
              </w:rPr>
              <w:t>根据市场反馈信息进行优化</w:t>
            </w:r>
          </w:p>
        </w:tc>
      </w:tr>
      <w:tr w14:paraId="1F57F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exact"/>
        </w:trPr>
        <w:tc>
          <w:tcPr>
            <w:tcW w:w="604" w:type="pct"/>
            <w:vAlign w:val="center"/>
          </w:tcPr>
          <w:p w14:paraId="3DAE4CEB">
            <w:pPr>
              <w:adjustRightInd w:val="0"/>
              <w:snapToGrid w:val="0"/>
              <w:spacing w:line="600" w:lineRule="exact"/>
              <w:jc w:val="center"/>
            </w:pPr>
            <w:r>
              <w:rPr>
                <w:rFonts w:hint="eastAsia"/>
              </w:rPr>
              <w:t>12</w:t>
            </w:r>
          </w:p>
        </w:tc>
        <w:tc>
          <w:tcPr>
            <w:tcW w:w="1471" w:type="pct"/>
            <w:vMerge w:val="continue"/>
            <w:vAlign w:val="center"/>
          </w:tcPr>
          <w:p w14:paraId="4B6C0449">
            <w:pPr>
              <w:adjustRightInd w:val="0"/>
              <w:snapToGrid w:val="0"/>
              <w:spacing w:line="600" w:lineRule="exact"/>
            </w:pPr>
          </w:p>
        </w:tc>
        <w:tc>
          <w:tcPr>
            <w:tcW w:w="2923" w:type="pct"/>
            <w:vAlign w:val="center"/>
          </w:tcPr>
          <w:p w14:paraId="77A14F22">
            <w:pPr>
              <w:adjustRightInd w:val="0"/>
              <w:snapToGrid w:val="0"/>
              <w:spacing w:line="600" w:lineRule="exact"/>
            </w:pPr>
            <w:r>
              <w:rPr>
                <w:rFonts w:hint="eastAsia"/>
              </w:rPr>
              <w:t>产品大规模产业化生产</w:t>
            </w:r>
          </w:p>
        </w:tc>
      </w:tr>
      <w:tr w14:paraId="4A69B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exact"/>
        </w:trPr>
        <w:tc>
          <w:tcPr>
            <w:tcW w:w="604" w:type="pct"/>
            <w:vAlign w:val="center"/>
          </w:tcPr>
          <w:p w14:paraId="090C058C">
            <w:pPr>
              <w:adjustRightInd w:val="0"/>
              <w:snapToGrid w:val="0"/>
              <w:spacing w:line="600" w:lineRule="exact"/>
              <w:jc w:val="center"/>
            </w:pPr>
            <w:r>
              <w:rPr>
                <w:rFonts w:hint="eastAsia"/>
              </w:rPr>
              <w:t>13</w:t>
            </w:r>
          </w:p>
        </w:tc>
        <w:tc>
          <w:tcPr>
            <w:tcW w:w="1471" w:type="pct"/>
            <w:vMerge w:val="continue"/>
            <w:vAlign w:val="center"/>
          </w:tcPr>
          <w:p w14:paraId="2F24CF21">
            <w:pPr>
              <w:adjustRightInd w:val="0"/>
              <w:snapToGrid w:val="0"/>
              <w:spacing w:line="600" w:lineRule="exact"/>
            </w:pPr>
          </w:p>
        </w:tc>
        <w:tc>
          <w:tcPr>
            <w:tcW w:w="2923" w:type="pct"/>
            <w:vAlign w:val="center"/>
          </w:tcPr>
          <w:p w14:paraId="75DD7EDD">
            <w:pPr>
              <w:adjustRightInd w:val="0"/>
              <w:snapToGrid w:val="0"/>
              <w:spacing w:line="600" w:lineRule="exact"/>
            </w:pPr>
            <w:r>
              <w:rPr>
                <w:rFonts w:hint="eastAsia"/>
              </w:rPr>
              <w:t>工艺技术总结、数据整理</w:t>
            </w:r>
          </w:p>
        </w:tc>
      </w:tr>
    </w:tbl>
    <w:p w14:paraId="79A04017">
      <w:pPr>
        <w:adjustRightInd w:val="0"/>
        <w:snapToGrid w:val="0"/>
        <w:spacing w:line="600" w:lineRule="exact"/>
        <w:ind w:firstLine="720"/>
        <w:rPr>
          <w:rFonts w:ascii="Calibri" w:hAnsi="Calibri" w:eastAsia="楷体_GB2312"/>
        </w:rPr>
      </w:pPr>
      <w:r>
        <w:rPr>
          <w:rFonts w:hint="eastAsia" w:ascii="Calibri" w:hAnsi="Calibri" w:eastAsia="楷体_GB2312"/>
        </w:rPr>
        <w:t>2、项目经济、技术指标</w:t>
      </w:r>
    </w:p>
    <w:p w14:paraId="2F625CF5">
      <w:pPr>
        <w:spacing w:line="360" w:lineRule="auto"/>
        <w:ind w:firstLine="800" w:firstLineChars="250"/>
        <w:rPr>
          <w:rFonts w:ascii="仿宋_GB2312" w:hAnsi="宋体" w:cs="仿宋_GB2312"/>
        </w:rPr>
      </w:pPr>
      <w:r>
        <w:rPr>
          <w:rFonts w:hint="eastAsia" w:ascii="Arial Unicode MS" w:hAnsi="Arial Unicode MS" w:eastAsia="Arial Unicode MS" w:cs="Arial Unicode MS"/>
          <w:lang w:bidi="ar"/>
        </w:rPr>
        <w:t>①</w:t>
      </w:r>
      <w:r>
        <w:rPr>
          <w:rFonts w:hint="eastAsia" w:ascii="仿宋_GB2312" w:hAnsi="宋体" w:cs="仿宋_GB2312"/>
          <w:lang w:bidi="ar"/>
        </w:rPr>
        <w:t>、项目主要技术指标</w:t>
      </w:r>
    </w:p>
    <w:p w14:paraId="3B024384">
      <w:pPr>
        <w:adjustRightInd w:val="0"/>
        <w:snapToGrid w:val="0"/>
        <w:spacing w:line="600" w:lineRule="exact"/>
        <w:ind w:firstLine="720"/>
        <w:rPr>
          <w:rFonts w:ascii="Calibri" w:hAnsi="Calibri"/>
        </w:rPr>
      </w:pPr>
      <w:r>
        <w:rPr>
          <w:rFonts w:hint="eastAsia" w:ascii="Calibri" w:hAnsi="Calibri"/>
        </w:rPr>
        <w:t>石膏粉：β半水硫酸钙含量≥60%；细度（0.0mm方孔筛筛余）≤10%；凝结时间：初凝≥3min、终凝≤30min；强度：2h抗折强度：≥3.0MPa、2h抗压强度≥6.0MPa；放射性核素限量：IRa≤1.0、Iγ≤1.0石膏砌块：IRa≤1.0、Iγ≤1.0</w:t>
      </w:r>
    </w:p>
    <w:p w14:paraId="11D5A454">
      <w:pPr>
        <w:spacing w:line="360" w:lineRule="auto"/>
        <w:ind w:firstLine="640" w:firstLineChars="200"/>
        <w:rPr>
          <w:rFonts w:ascii="仿宋_GB2312" w:hAnsi="宋体" w:cs="仿宋_GB2312"/>
        </w:rPr>
      </w:pPr>
      <w:r>
        <w:rPr>
          <w:rFonts w:hint="eastAsia" w:ascii="Arial Unicode MS" w:hAnsi="Arial Unicode MS" w:eastAsia="Arial Unicode MS" w:cs="Arial Unicode MS"/>
          <w:lang w:bidi="ar"/>
        </w:rPr>
        <w:t>②</w:t>
      </w:r>
      <w:r>
        <w:rPr>
          <w:rFonts w:hint="eastAsia" w:ascii="仿宋_GB2312" w:hAnsi="宋体" w:cs="仿宋_GB2312"/>
          <w:lang w:bidi="ar"/>
        </w:rPr>
        <w:t>、项目主要经济指标</w:t>
      </w:r>
    </w:p>
    <w:p w14:paraId="5F820B22">
      <w:pPr>
        <w:adjustRightInd w:val="0"/>
        <w:snapToGrid w:val="0"/>
        <w:spacing w:line="600" w:lineRule="exact"/>
        <w:ind w:firstLine="720"/>
        <w:rPr>
          <w:rFonts w:ascii="仿宋_GB2312" w:hAnsi="宋体"/>
          <w:lang w:val="zh-CN"/>
        </w:rPr>
      </w:pPr>
      <w:r>
        <w:rPr>
          <w:rFonts w:hint="eastAsia" w:ascii="Calibri" w:hAnsi="Calibri"/>
        </w:rPr>
        <w:t>项目投入金额为2200万元，其中固定资产投资1713万元；</w:t>
      </w:r>
      <w:bookmarkStart w:id="0" w:name="jjzb_2025"/>
      <w:r>
        <w:rPr>
          <w:rFonts w:hint="eastAsia" w:ascii="Calibri" w:hAnsi="Calibri"/>
        </w:rPr>
        <w:t>项目完工后预计年销售收入</w:t>
      </w:r>
      <w:r>
        <w:rPr>
          <w:rFonts w:ascii="Calibri" w:hAnsi="Calibri"/>
        </w:rPr>
        <w:t>5400</w:t>
      </w:r>
      <w:r>
        <w:rPr>
          <w:rFonts w:hint="eastAsia" w:ascii="Calibri" w:hAnsi="Calibri"/>
        </w:rPr>
        <w:t>万元，利润</w:t>
      </w:r>
      <w:r>
        <w:rPr>
          <w:rFonts w:ascii="Calibri" w:hAnsi="Calibri"/>
        </w:rPr>
        <w:t>878</w:t>
      </w:r>
      <w:r>
        <w:rPr>
          <w:rFonts w:hint="eastAsia" w:ascii="Calibri" w:hAnsi="Calibri"/>
        </w:rPr>
        <w:t>元，税金</w:t>
      </w:r>
      <w:r>
        <w:rPr>
          <w:rFonts w:ascii="Calibri" w:hAnsi="Calibri"/>
        </w:rPr>
        <w:t>347</w:t>
      </w:r>
      <w:r>
        <w:rPr>
          <w:rFonts w:hint="eastAsia" w:ascii="Calibri" w:hAnsi="Calibri"/>
        </w:rPr>
        <w:t>万元。</w:t>
      </w:r>
      <w:bookmarkEnd w:id="0"/>
    </w:p>
    <w:p w14:paraId="7A3CA698">
      <w:pPr>
        <w:adjustRightInd w:val="0"/>
        <w:snapToGrid w:val="0"/>
        <w:spacing w:line="560" w:lineRule="exact"/>
        <w:ind w:firstLine="720"/>
        <w:rPr>
          <w:rFonts w:ascii="仿宋_GB2312" w:hAnsi="宋体"/>
          <w:lang w:val="zh-CN"/>
        </w:rPr>
      </w:pPr>
      <w:r>
        <w:rPr>
          <w:rFonts w:hint="eastAsia" w:ascii="楷体_GB2312" w:hAnsi="宋体" w:eastAsia="楷体_GB2312"/>
          <w:b/>
          <w:lang w:val="zh-CN"/>
        </w:rPr>
        <w:t>（三）项目资金申报相符性。</w:t>
      </w:r>
      <w:r>
        <w:rPr>
          <w:rFonts w:hint="eastAsia" w:ascii="仿宋_GB2312" w:hAnsi="宋体"/>
          <w:lang w:val="zh-CN"/>
        </w:rPr>
        <w:t>项目申报内容与具体实施内容相符、申报目标合理可行。</w:t>
      </w:r>
    </w:p>
    <w:p w14:paraId="2F176388">
      <w:pPr>
        <w:adjustRightInd w:val="0"/>
        <w:snapToGrid w:val="0"/>
        <w:spacing w:line="560" w:lineRule="exact"/>
        <w:ind w:firstLine="720"/>
        <w:rPr>
          <w:rFonts w:ascii="黑体" w:hAnsi="宋体" w:eastAsia="黑体"/>
        </w:rPr>
      </w:pPr>
      <w:r>
        <w:rPr>
          <w:rFonts w:hint="eastAsia" w:ascii="黑体" w:hAnsi="宋体" w:eastAsia="黑体"/>
        </w:rPr>
        <w:t>二、项目实施及管理情况</w:t>
      </w:r>
    </w:p>
    <w:p w14:paraId="0BAD881B">
      <w:pPr>
        <w:adjustRightInd w:val="0"/>
        <w:snapToGrid w:val="0"/>
        <w:spacing w:line="560" w:lineRule="exact"/>
        <w:ind w:firstLine="720"/>
        <w:rPr>
          <w:rFonts w:ascii="楷体_GB2312" w:hAnsi="宋体" w:eastAsia="楷体_GB2312"/>
          <w:b/>
          <w:lang w:val="zh-CN"/>
        </w:rPr>
      </w:pPr>
      <w:r>
        <w:rPr>
          <w:rFonts w:hint="eastAsia" w:ascii="仿宋_GB2312" w:hAnsi="宋体"/>
          <w:lang w:val="zh-CN"/>
        </w:rPr>
        <w:tab/>
      </w:r>
      <w:r>
        <w:rPr>
          <w:rFonts w:hint="eastAsia" w:ascii="楷体_GB2312" w:hAnsi="宋体" w:eastAsia="楷体_GB2312"/>
          <w:b/>
          <w:lang w:val="zh-CN"/>
        </w:rPr>
        <w:t>（一）资金计划、到位及使用情况。</w:t>
      </w:r>
    </w:p>
    <w:p w14:paraId="507D37E5">
      <w:pPr>
        <w:adjustRightInd w:val="0"/>
        <w:snapToGrid w:val="0"/>
        <w:spacing w:line="560" w:lineRule="exact"/>
        <w:ind w:firstLine="720"/>
        <w:rPr>
          <w:rFonts w:ascii="仿宋_GB2312" w:hAnsi="宋体"/>
          <w:lang w:val="zh-CN"/>
        </w:rPr>
      </w:pPr>
      <w:r>
        <w:rPr>
          <w:rFonts w:hint="eastAsia" w:ascii="楷体_GB2312" w:hAnsi="宋体" w:eastAsia="楷体_GB2312"/>
          <w:lang w:val="zh-CN"/>
        </w:rPr>
        <w:t>1．资金计划及到位。</w:t>
      </w:r>
      <w:r>
        <w:rPr>
          <w:rFonts w:hint="eastAsia" w:ascii="仿宋_GB2312" w:hAnsi="宋体"/>
        </w:rPr>
        <w:t>项目已拨付资金190万元，2021拨付资金60万元，资金到位率100%。</w:t>
      </w:r>
      <w:r>
        <w:rPr>
          <w:rFonts w:hint="eastAsia" w:ascii="仿宋_GB2312" w:hAnsi="宋体"/>
          <w:lang w:val="zh-CN"/>
        </w:rPr>
        <w:t>符合资金管理办法等相关规定。</w:t>
      </w:r>
    </w:p>
    <w:p w14:paraId="63E60220">
      <w:pPr>
        <w:spacing w:line="600" w:lineRule="exact"/>
        <w:ind w:firstLine="560"/>
        <w:rPr>
          <w:rFonts w:ascii="仿宋" w:hAnsi="仿宋" w:eastAsia="仿宋"/>
        </w:rPr>
      </w:pPr>
      <w:r>
        <w:rPr>
          <w:rFonts w:hint="eastAsia" w:ascii="楷体_GB2312" w:hAnsi="宋体" w:eastAsia="楷体_GB2312"/>
          <w:lang w:val="zh-CN"/>
        </w:rPr>
        <w:t>2．资金使用。</w:t>
      </w:r>
      <w:r>
        <w:rPr>
          <w:rFonts w:hint="eastAsia" w:ascii="仿宋" w:hAnsi="仿宋" w:eastAsia="仿宋"/>
        </w:rPr>
        <w:t>根据《工业发展资金管理暂行办法》（川财建〔</w:t>
      </w:r>
      <w:r>
        <w:rPr>
          <w:rFonts w:ascii="仿宋" w:hAnsi="仿宋" w:eastAsia="仿宋"/>
        </w:rPr>
        <w:t>2018</w:t>
      </w:r>
      <w:r>
        <w:rPr>
          <w:rFonts w:hint="eastAsia" w:ascii="仿宋" w:hAnsi="仿宋" w:eastAsia="仿宋"/>
        </w:rPr>
        <w:t>〕</w:t>
      </w:r>
      <w:r>
        <w:rPr>
          <w:rFonts w:ascii="仿宋" w:hAnsi="仿宋" w:eastAsia="仿宋"/>
        </w:rPr>
        <w:t>4</w:t>
      </w:r>
      <w:r>
        <w:rPr>
          <w:rFonts w:hint="eastAsia" w:ascii="仿宋" w:hAnsi="仿宋" w:eastAsia="仿宋"/>
        </w:rPr>
        <w:t>号）、《中国制造</w:t>
      </w:r>
      <w:r>
        <w:rPr>
          <w:rFonts w:ascii="仿宋" w:hAnsi="仿宋" w:eastAsia="仿宋"/>
        </w:rPr>
        <w:t>2025</w:t>
      </w:r>
      <w:r>
        <w:rPr>
          <w:rFonts w:hint="eastAsia" w:ascii="仿宋" w:hAnsi="仿宋" w:eastAsia="仿宋"/>
        </w:rPr>
        <w:t>四川行动资金项目验收细则》（川经信办〔</w:t>
      </w:r>
      <w:r>
        <w:rPr>
          <w:rFonts w:ascii="仿宋" w:hAnsi="仿宋" w:eastAsia="仿宋"/>
        </w:rPr>
        <w:t>2018</w:t>
      </w:r>
      <w:r>
        <w:rPr>
          <w:rFonts w:hint="eastAsia" w:ascii="仿宋" w:hAnsi="仿宋" w:eastAsia="仿宋"/>
        </w:rPr>
        <w:t>〕</w:t>
      </w:r>
      <w:r>
        <w:rPr>
          <w:rFonts w:ascii="仿宋" w:hAnsi="仿宋" w:eastAsia="仿宋"/>
        </w:rPr>
        <w:t>35</w:t>
      </w:r>
      <w:r>
        <w:rPr>
          <w:rFonts w:hint="eastAsia" w:ascii="仿宋" w:hAnsi="仿宋" w:eastAsia="仿宋"/>
        </w:rPr>
        <w:t>号）对项目管理的要求，依据国家法律、法规的有关规定，公司对专项资金单独建帐管理，专款专用，现就2018年项目的实施及管理，做如下汇报。</w:t>
      </w:r>
    </w:p>
    <w:p w14:paraId="151F3432">
      <w:pPr>
        <w:ind w:firstLine="560"/>
        <w:rPr>
          <w:rFonts w:ascii="仿宋" w:hAnsi="仿宋" w:eastAsia="仿宋"/>
        </w:rPr>
      </w:pPr>
      <w:r>
        <w:rPr>
          <w:rFonts w:hint="eastAsia" w:ascii="仿宋" w:hAnsi="仿宋" w:eastAsia="仿宋"/>
        </w:rPr>
        <w:t>专项资金190.00万元全部由项目承担单位四川蓝鼎新材料有限公司用于生产线设备购置，专款专用，无挪用、挤占现象，使用合理。</w:t>
      </w:r>
    </w:p>
    <w:p w14:paraId="4B75B1CD">
      <w:pPr>
        <w:ind w:firstLine="560"/>
        <w:rPr>
          <w:rFonts w:ascii="仿宋" w:hAnsi="仿宋" w:eastAsia="仿宋"/>
        </w:rPr>
      </w:pPr>
      <w:r>
        <w:rPr>
          <w:rFonts w:hint="eastAsia" w:ascii="仿宋" w:hAnsi="仿宋" w:eastAsia="仿宋"/>
        </w:rPr>
        <w:t>专项资金使用明细表（单位万元）：</w:t>
      </w:r>
    </w:p>
    <w:tbl>
      <w:tblPr>
        <w:tblStyle w:val="2"/>
        <w:tblW w:w="0" w:type="auto"/>
        <w:tblInd w:w="0" w:type="dxa"/>
        <w:tblLayout w:type="autofit"/>
        <w:tblCellMar>
          <w:top w:w="0" w:type="dxa"/>
          <w:left w:w="0" w:type="dxa"/>
          <w:bottom w:w="0" w:type="dxa"/>
          <w:right w:w="0" w:type="dxa"/>
        </w:tblCellMar>
      </w:tblPr>
      <w:tblGrid>
        <w:gridCol w:w="631"/>
        <w:gridCol w:w="1351"/>
        <w:gridCol w:w="1342"/>
        <w:gridCol w:w="2504"/>
        <w:gridCol w:w="1308"/>
        <w:gridCol w:w="1200"/>
      </w:tblGrid>
      <w:tr w14:paraId="12DB5040">
        <w:tblPrEx>
          <w:tblCellMar>
            <w:top w:w="0" w:type="dxa"/>
            <w:left w:w="0" w:type="dxa"/>
            <w:bottom w:w="0" w:type="dxa"/>
            <w:right w:w="0" w:type="dxa"/>
          </w:tblCellMar>
        </w:tblPrEx>
        <w:trPr>
          <w:trHeight w:val="555" w:hRule="atLeast"/>
        </w:trPr>
        <w:tc>
          <w:tcPr>
            <w:tcW w:w="6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04CAE93C">
            <w:pPr>
              <w:widowControl/>
              <w:ind w:firstLine="9" w:firstLineChars="4"/>
              <w:jc w:val="center"/>
              <w:textAlignment w:val="center"/>
              <w:rPr>
                <w:rFonts w:ascii="仿宋" w:hAnsi="仿宋" w:eastAsia="仿宋"/>
                <w:sz w:val="24"/>
                <w:szCs w:val="28"/>
              </w:rPr>
            </w:pPr>
            <w:r>
              <w:rPr>
                <w:rFonts w:hint="eastAsia" w:ascii="仿宋" w:hAnsi="仿宋" w:eastAsia="仿宋"/>
                <w:sz w:val="24"/>
                <w:szCs w:val="28"/>
              </w:rPr>
              <w:t>序号</w:t>
            </w:r>
          </w:p>
        </w:tc>
        <w:tc>
          <w:tcPr>
            <w:tcW w:w="1361"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14:paraId="3097A803">
            <w:pPr>
              <w:widowControl/>
              <w:ind w:firstLine="9" w:firstLineChars="4"/>
              <w:jc w:val="center"/>
              <w:textAlignment w:val="center"/>
              <w:rPr>
                <w:rFonts w:ascii="仿宋" w:hAnsi="仿宋" w:eastAsia="仿宋"/>
                <w:sz w:val="24"/>
                <w:szCs w:val="28"/>
              </w:rPr>
            </w:pPr>
            <w:r>
              <w:rPr>
                <w:rFonts w:hint="eastAsia" w:ascii="仿宋" w:hAnsi="仿宋" w:eastAsia="仿宋"/>
                <w:sz w:val="24"/>
                <w:szCs w:val="28"/>
              </w:rPr>
              <w:t>日期</w:t>
            </w:r>
          </w:p>
        </w:tc>
        <w:tc>
          <w:tcPr>
            <w:tcW w:w="1433"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14:paraId="33745F1B">
            <w:pPr>
              <w:widowControl/>
              <w:ind w:firstLine="9" w:firstLineChars="4"/>
              <w:jc w:val="center"/>
              <w:textAlignment w:val="center"/>
              <w:rPr>
                <w:rFonts w:ascii="仿宋" w:hAnsi="仿宋" w:eastAsia="仿宋"/>
                <w:sz w:val="24"/>
                <w:szCs w:val="28"/>
              </w:rPr>
            </w:pPr>
            <w:r>
              <w:rPr>
                <w:rFonts w:hint="eastAsia" w:ascii="仿宋" w:hAnsi="仿宋" w:eastAsia="仿宋"/>
                <w:sz w:val="24"/>
                <w:szCs w:val="28"/>
              </w:rPr>
              <w:t>凭证号</w:t>
            </w:r>
          </w:p>
        </w:tc>
        <w:tc>
          <w:tcPr>
            <w:tcW w:w="2717"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14:paraId="36DC05B6">
            <w:pPr>
              <w:widowControl/>
              <w:ind w:firstLine="9" w:firstLineChars="4"/>
              <w:jc w:val="center"/>
              <w:textAlignment w:val="center"/>
              <w:rPr>
                <w:rFonts w:ascii="仿宋" w:hAnsi="仿宋" w:eastAsia="仿宋"/>
                <w:sz w:val="24"/>
                <w:szCs w:val="28"/>
              </w:rPr>
            </w:pPr>
            <w:r>
              <w:rPr>
                <w:rFonts w:hint="eastAsia" w:ascii="仿宋" w:hAnsi="仿宋" w:eastAsia="仿宋"/>
                <w:sz w:val="24"/>
                <w:szCs w:val="28"/>
              </w:rPr>
              <w:t>设备名称</w:t>
            </w:r>
          </w:p>
        </w:tc>
        <w:tc>
          <w:tcPr>
            <w:tcW w:w="1383"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14:paraId="669A2244">
            <w:pPr>
              <w:widowControl/>
              <w:ind w:firstLine="9" w:firstLineChars="4"/>
              <w:jc w:val="center"/>
              <w:textAlignment w:val="center"/>
              <w:rPr>
                <w:rFonts w:ascii="仿宋" w:hAnsi="仿宋" w:eastAsia="仿宋"/>
                <w:sz w:val="24"/>
                <w:szCs w:val="28"/>
              </w:rPr>
            </w:pPr>
            <w:r>
              <w:rPr>
                <w:rFonts w:hint="eastAsia" w:ascii="仿宋" w:hAnsi="仿宋" w:eastAsia="仿宋"/>
                <w:sz w:val="24"/>
                <w:szCs w:val="28"/>
              </w:rPr>
              <w:t>数量</w:t>
            </w:r>
          </w:p>
          <w:p w14:paraId="52C6A511">
            <w:pPr>
              <w:widowControl/>
              <w:ind w:firstLine="9" w:firstLineChars="4"/>
              <w:jc w:val="center"/>
              <w:textAlignment w:val="center"/>
              <w:rPr>
                <w:rFonts w:ascii="仿宋" w:hAnsi="仿宋" w:eastAsia="仿宋"/>
                <w:sz w:val="24"/>
                <w:szCs w:val="28"/>
              </w:rPr>
            </w:pPr>
            <w:r>
              <w:rPr>
                <w:rFonts w:hint="eastAsia" w:ascii="仿宋" w:hAnsi="仿宋" w:eastAsia="仿宋"/>
                <w:sz w:val="24"/>
                <w:szCs w:val="28"/>
              </w:rPr>
              <w:t>（台/套）</w:t>
            </w:r>
          </w:p>
        </w:tc>
        <w:tc>
          <w:tcPr>
            <w:tcW w:w="1250"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14:paraId="3F13285D">
            <w:pPr>
              <w:widowControl/>
              <w:ind w:firstLine="8" w:firstLineChars="4"/>
              <w:jc w:val="center"/>
              <w:textAlignment w:val="center"/>
              <w:rPr>
                <w:rFonts w:ascii="仿宋" w:hAnsi="仿宋" w:eastAsia="仿宋" w:cs="宋体"/>
                <w:color w:val="000000"/>
                <w:sz w:val="21"/>
                <w:szCs w:val="21"/>
              </w:rPr>
            </w:pPr>
            <w:r>
              <w:rPr>
                <w:rFonts w:hint="eastAsia" w:ascii="仿宋" w:hAnsi="仿宋" w:eastAsia="仿宋" w:cs="宋体"/>
                <w:color w:val="000000"/>
                <w:sz w:val="21"/>
                <w:szCs w:val="21"/>
                <w:lang w:bidi="ar"/>
              </w:rPr>
              <w:t>金额</w:t>
            </w:r>
          </w:p>
        </w:tc>
      </w:tr>
      <w:tr w14:paraId="3DB9E57F">
        <w:tblPrEx>
          <w:tblCellMar>
            <w:top w:w="0" w:type="dxa"/>
            <w:left w:w="0" w:type="dxa"/>
            <w:bottom w:w="0" w:type="dxa"/>
            <w:right w:w="0" w:type="dxa"/>
          </w:tblCellMar>
        </w:tblPrEx>
        <w:trPr>
          <w:trHeight w:val="540" w:hRule="atLeast"/>
        </w:trPr>
        <w:tc>
          <w:tcPr>
            <w:tcW w:w="665"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31FE1D11">
            <w:pPr>
              <w:widowControl/>
              <w:ind w:firstLine="9" w:firstLineChars="4"/>
              <w:jc w:val="center"/>
              <w:textAlignment w:val="center"/>
              <w:rPr>
                <w:rFonts w:ascii="仿宋" w:hAnsi="仿宋" w:eastAsia="仿宋"/>
                <w:sz w:val="24"/>
                <w:szCs w:val="28"/>
              </w:rPr>
            </w:pPr>
            <w:r>
              <w:rPr>
                <w:rFonts w:hint="eastAsia" w:ascii="仿宋" w:hAnsi="仿宋" w:eastAsia="仿宋"/>
                <w:sz w:val="24"/>
                <w:szCs w:val="28"/>
              </w:rPr>
              <w:t>1</w:t>
            </w:r>
          </w:p>
        </w:tc>
        <w:tc>
          <w:tcPr>
            <w:tcW w:w="1361" w:type="dxa"/>
            <w:tcBorders>
              <w:top w:val="nil"/>
              <w:left w:val="nil"/>
              <w:bottom w:val="single" w:color="000000" w:sz="8" w:space="0"/>
              <w:right w:val="single" w:color="000000" w:sz="8" w:space="0"/>
            </w:tcBorders>
            <w:tcMar>
              <w:top w:w="15" w:type="dxa"/>
              <w:left w:w="15" w:type="dxa"/>
              <w:right w:w="15" w:type="dxa"/>
            </w:tcMar>
            <w:vAlign w:val="center"/>
          </w:tcPr>
          <w:p w14:paraId="1C14DDD8">
            <w:pPr>
              <w:widowControl/>
              <w:ind w:firstLine="9" w:firstLineChars="4"/>
              <w:jc w:val="center"/>
              <w:textAlignment w:val="center"/>
              <w:rPr>
                <w:rFonts w:ascii="仿宋" w:hAnsi="仿宋" w:eastAsia="仿宋"/>
                <w:sz w:val="24"/>
                <w:szCs w:val="28"/>
              </w:rPr>
            </w:pPr>
            <w:r>
              <w:rPr>
                <w:rFonts w:hint="eastAsia" w:ascii="仿宋" w:hAnsi="仿宋" w:eastAsia="仿宋"/>
                <w:sz w:val="24"/>
                <w:szCs w:val="28"/>
              </w:rPr>
              <w:t>2016-11-28</w:t>
            </w:r>
          </w:p>
        </w:tc>
        <w:tc>
          <w:tcPr>
            <w:tcW w:w="1433" w:type="dxa"/>
            <w:tcBorders>
              <w:top w:val="nil"/>
              <w:left w:val="nil"/>
              <w:bottom w:val="single" w:color="000000" w:sz="8" w:space="0"/>
              <w:right w:val="single" w:color="000000" w:sz="8" w:space="0"/>
            </w:tcBorders>
            <w:tcMar>
              <w:top w:w="15" w:type="dxa"/>
              <w:left w:w="15" w:type="dxa"/>
              <w:right w:w="15" w:type="dxa"/>
            </w:tcMar>
            <w:vAlign w:val="center"/>
          </w:tcPr>
          <w:p w14:paraId="79AF3906">
            <w:pPr>
              <w:widowControl/>
              <w:ind w:firstLine="9" w:firstLineChars="4"/>
              <w:jc w:val="center"/>
              <w:textAlignment w:val="center"/>
              <w:rPr>
                <w:rFonts w:ascii="仿宋" w:hAnsi="仿宋" w:eastAsia="仿宋"/>
                <w:sz w:val="24"/>
                <w:szCs w:val="28"/>
              </w:rPr>
            </w:pPr>
            <w:r>
              <w:rPr>
                <w:rFonts w:hint="eastAsia" w:ascii="仿宋" w:hAnsi="仿宋" w:eastAsia="仿宋"/>
                <w:sz w:val="24"/>
                <w:szCs w:val="28"/>
              </w:rPr>
              <w:t>记-07</w:t>
            </w:r>
          </w:p>
        </w:tc>
        <w:tc>
          <w:tcPr>
            <w:tcW w:w="2717" w:type="dxa"/>
            <w:tcBorders>
              <w:top w:val="nil"/>
              <w:left w:val="nil"/>
              <w:bottom w:val="single" w:color="000000" w:sz="8" w:space="0"/>
              <w:right w:val="single" w:color="000000" w:sz="8" w:space="0"/>
            </w:tcBorders>
            <w:tcMar>
              <w:top w:w="15" w:type="dxa"/>
              <w:left w:w="15" w:type="dxa"/>
              <w:right w:w="15" w:type="dxa"/>
            </w:tcMar>
            <w:vAlign w:val="center"/>
          </w:tcPr>
          <w:p w14:paraId="2D808A2C">
            <w:pPr>
              <w:widowControl/>
              <w:ind w:firstLine="9" w:firstLineChars="4"/>
              <w:jc w:val="center"/>
              <w:textAlignment w:val="center"/>
              <w:rPr>
                <w:rFonts w:ascii="仿宋" w:hAnsi="仿宋" w:eastAsia="仿宋"/>
                <w:sz w:val="24"/>
                <w:szCs w:val="28"/>
              </w:rPr>
            </w:pPr>
            <w:r>
              <w:rPr>
                <w:rFonts w:hint="eastAsia" w:ascii="仿宋" w:hAnsi="仿宋" w:eastAsia="仿宋"/>
                <w:sz w:val="24"/>
                <w:szCs w:val="28"/>
              </w:rPr>
              <w:t>专项资金购入石膏粉生产线设备导热油锅炉</w:t>
            </w:r>
          </w:p>
        </w:tc>
        <w:tc>
          <w:tcPr>
            <w:tcW w:w="1383" w:type="dxa"/>
            <w:tcBorders>
              <w:top w:val="nil"/>
              <w:left w:val="nil"/>
              <w:bottom w:val="single" w:color="000000" w:sz="8" w:space="0"/>
              <w:right w:val="single" w:color="000000" w:sz="8" w:space="0"/>
            </w:tcBorders>
            <w:tcMar>
              <w:top w:w="15" w:type="dxa"/>
              <w:left w:w="15" w:type="dxa"/>
              <w:right w:w="15" w:type="dxa"/>
            </w:tcMar>
            <w:vAlign w:val="center"/>
          </w:tcPr>
          <w:p w14:paraId="10C180BA">
            <w:pPr>
              <w:widowControl/>
              <w:ind w:firstLine="9" w:firstLineChars="4"/>
              <w:jc w:val="center"/>
              <w:textAlignment w:val="center"/>
              <w:rPr>
                <w:rFonts w:ascii="仿宋" w:hAnsi="仿宋" w:eastAsia="仿宋"/>
                <w:sz w:val="24"/>
                <w:szCs w:val="28"/>
              </w:rPr>
            </w:pPr>
            <w:r>
              <w:rPr>
                <w:rFonts w:hint="eastAsia" w:ascii="仿宋" w:hAnsi="仿宋" w:eastAsia="仿宋"/>
                <w:sz w:val="24"/>
                <w:szCs w:val="28"/>
              </w:rPr>
              <w:t>1</w:t>
            </w:r>
          </w:p>
        </w:tc>
        <w:tc>
          <w:tcPr>
            <w:tcW w:w="1250" w:type="dxa"/>
            <w:tcBorders>
              <w:top w:val="nil"/>
              <w:left w:val="nil"/>
              <w:bottom w:val="single" w:color="000000" w:sz="8" w:space="0"/>
              <w:right w:val="single" w:color="000000" w:sz="8" w:space="0"/>
            </w:tcBorders>
            <w:tcMar>
              <w:top w:w="15" w:type="dxa"/>
              <w:left w:w="15" w:type="dxa"/>
              <w:right w:w="15" w:type="dxa"/>
            </w:tcMar>
            <w:vAlign w:val="center"/>
          </w:tcPr>
          <w:p w14:paraId="630F9058">
            <w:pPr>
              <w:widowControl/>
              <w:ind w:firstLine="8" w:firstLineChars="4"/>
              <w:jc w:val="center"/>
              <w:textAlignment w:val="center"/>
              <w:rPr>
                <w:rFonts w:ascii="仿宋" w:hAnsi="仿宋" w:eastAsia="仿宋" w:cs="Arial"/>
                <w:color w:val="000000"/>
                <w:sz w:val="21"/>
                <w:szCs w:val="21"/>
                <w:lang w:bidi="ar"/>
              </w:rPr>
            </w:pPr>
            <w:r>
              <w:rPr>
                <w:rFonts w:hint="eastAsia" w:ascii="仿宋" w:hAnsi="仿宋" w:eastAsia="仿宋" w:cs="Arial"/>
                <w:color w:val="000000"/>
                <w:sz w:val="21"/>
                <w:szCs w:val="21"/>
                <w:lang w:bidi="ar"/>
              </w:rPr>
              <w:t>56.07</w:t>
            </w:r>
          </w:p>
        </w:tc>
      </w:tr>
      <w:tr w14:paraId="45C58F63">
        <w:tblPrEx>
          <w:tblCellMar>
            <w:top w:w="0" w:type="dxa"/>
            <w:left w:w="0" w:type="dxa"/>
            <w:bottom w:w="0" w:type="dxa"/>
            <w:right w:w="0" w:type="dxa"/>
          </w:tblCellMar>
        </w:tblPrEx>
        <w:trPr>
          <w:trHeight w:val="540" w:hRule="atLeast"/>
        </w:trPr>
        <w:tc>
          <w:tcPr>
            <w:tcW w:w="665"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5A826979">
            <w:pPr>
              <w:widowControl/>
              <w:ind w:firstLine="9" w:firstLineChars="4"/>
              <w:jc w:val="center"/>
              <w:textAlignment w:val="center"/>
              <w:rPr>
                <w:rFonts w:ascii="仿宋" w:hAnsi="仿宋" w:eastAsia="仿宋"/>
                <w:sz w:val="24"/>
                <w:szCs w:val="28"/>
              </w:rPr>
            </w:pPr>
            <w:r>
              <w:rPr>
                <w:rFonts w:hint="eastAsia" w:ascii="仿宋" w:hAnsi="仿宋" w:eastAsia="仿宋"/>
                <w:sz w:val="24"/>
                <w:szCs w:val="28"/>
              </w:rPr>
              <w:t>2</w:t>
            </w:r>
          </w:p>
        </w:tc>
        <w:tc>
          <w:tcPr>
            <w:tcW w:w="1361" w:type="dxa"/>
            <w:tcBorders>
              <w:top w:val="nil"/>
              <w:left w:val="nil"/>
              <w:bottom w:val="single" w:color="000000" w:sz="8" w:space="0"/>
              <w:right w:val="single" w:color="000000" w:sz="8" w:space="0"/>
            </w:tcBorders>
            <w:tcMar>
              <w:top w:w="15" w:type="dxa"/>
              <w:left w:w="15" w:type="dxa"/>
              <w:right w:w="15" w:type="dxa"/>
            </w:tcMar>
            <w:vAlign w:val="center"/>
          </w:tcPr>
          <w:p w14:paraId="0EEEF4A8">
            <w:pPr>
              <w:widowControl/>
              <w:ind w:firstLine="9" w:firstLineChars="4"/>
              <w:jc w:val="center"/>
              <w:textAlignment w:val="center"/>
              <w:rPr>
                <w:rFonts w:ascii="仿宋" w:hAnsi="仿宋" w:eastAsia="仿宋"/>
                <w:sz w:val="24"/>
                <w:szCs w:val="28"/>
              </w:rPr>
            </w:pPr>
            <w:r>
              <w:rPr>
                <w:rFonts w:ascii="仿宋" w:hAnsi="仿宋" w:eastAsia="仿宋"/>
                <w:sz w:val="24"/>
                <w:szCs w:val="28"/>
              </w:rPr>
              <w:t>2016-12-13</w:t>
            </w:r>
          </w:p>
        </w:tc>
        <w:tc>
          <w:tcPr>
            <w:tcW w:w="1433" w:type="dxa"/>
            <w:tcBorders>
              <w:top w:val="nil"/>
              <w:left w:val="nil"/>
              <w:bottom w:val="single" w:color="000000" w:sz="8" w:space="0"/>
              <w:right w:val="single" w:color="000000" w:sz="8" w:space="0"/>
            </w:tcBorders>
            <w:tcMar>
              <w:top w:w="15" w:type="dxa"/>
              <w:left w:w="15" w:type="dxa"/>
              <w:right w:w="15" w:type="dxa"/>
            </w:tcMar>
            <w:vAlign w:val="center"/>
          </w:tcPr>
          <w:p w14:paraId="5C9342D5">
            <w:pPr>
              <w:widowControl/>
              <w:ind w:firstLine="9" w:firstLineChars="4"/>
              <w:jc w:val="center"/>
              <w:textAlignment w:val="center"/>
              <w:rPr>
                <w:rFonts w:ascii="仿宋" w:hAnsi="仿宋" w:eastAsia="仿宋"/>
                <w:sz w:val="24"/>
                <w:szCs w:val="28"/>
              </w:rPr>
            </w:pPr>
            <w:r>
              <w:rPr>
                <w:rFonts w:hint="eastAsia" w:ascii="仿宋" w:hAnsi="仿宋" w:eastAsia="仿宋"/>
                <w:sz w:val="24"/>
                <w:szCs w:val="28"/>
              </w:rPr>
              <w:t>记-03</w:t>
            </w:r>
          </w:p>
        </w:tc>
        <w:tc>
          <w:tcPr>
            <w:tcW w:w="2717" w:type="dxa"/>
            <w:tcBorders>
              <w:top w:val="nil"/>
              <w:left w:val="nil"/>
              <w:bottom w:val="single" w:color="000000" w:sz="8" w:space="0"/>
              <w:right w:val="single" w:color="000000" w:sz="8" w:space="0"/>
            </w:tcBorders>
            <w:tcMar>
              <w:top w:w="15" w:type="dxa"/>
              <w:left w:w="15" w:type="dxa"/>
              <w:right w:w="15" w:type="dxa"/>
            </w:tcMar>
            <w:vAlign w:val="center"/>
          </w:tcPr>
          <w:p w14:paraId="01A55BD2">
            <w:pPr>
              <w:widowControl/>
              <w:ind w:firstLine="9" w:firstLineChars="4"/>
              <w:jc w:val="center"/>
              <w:textAlignment w:val="center"/>
              <w:rPr>
                <w:rFonts w:ascii="仿宋" w:hAnsi="仿宋" w:eastAsia="仿宋"/>
                <w:sz w:val="24"/>
                <w:szCs w:val="28"/>
              </w:rPr>
            </w:pPr>
            <w:r>
              <w:rPr>
                <w:rFonts w:hint="eastAsia" w:ascii="仿宋" w:hAnsi="仿宋" w:eastAsia="仿宋"/>
                <w:sz w:val="24"/>
                <w:szCs w:val="28"/>
              </w:rPr>
              <w:t>专项资金购入石膏粉生产线石膏流化设备系统</w:t>
            </w:r>
          </w:p>
        </w:tc>
        <w:tc>
          <w:tcPr>
            <w:tcW w:w="1383" w:type="dxa"/>
            <w:tcBorders>
              <w:top w:val="nil"/>
              <w:left w:val="nil"/>
              <w:bottom w:val="single" w:color="000000" w:sz="8" w:space="0"/>
              <w:right w:val="single" w:color="000000" w:sz="8" w:space="0"/>
            </w:tcBorders>
            <w:tcMar>
              <w:top w:w="15" w:type="dxa"/>
              <w:left w:w="15" w:type="dxa"/>
              <w:right w:w="15" w:type="dxa"/>
            </w:tcMar>
            <w:vAlign w:val="center"/>
          </w:tcPr>
          <w:p w14:paraId="4DEB804E">
            <w:pPr>
              <w:widowControl/>
              <w:ind w:firstLine="9" w:firstLineChars="4"/>
              <w:jc w:val="center"/>
              <w:textAlignment w:val="center"/>
              <w:rPr>
                <w:rFonts w:ascii="仿宋" w:hAnsi="仿宋" w:eastAsia="仿宋"/>
                <w:sz w:val="24"/>
                <w:szCs w:val="28"/>
              </w:rPr>
            </w:pPr>
            <w:r>
              <w:rPr>
                <w:rFonts w:hint="eastAsia" w:ascii="仿宋" w:hAnsi="仿宋" w:eastAsia="仿宋"/>
                <w:sz w:val="24"/>
                <w:szCs w:val="28"/>
              </w:rPr>
              <w:t>1</w:t>
            </w:r>
          </w:p>
        </w:tc>
        <w:tc>
          <w:tcPr>
            <w:tcW w:w="1250" w:type="dxa"/>
            <w:tcBorders>
              <w:top w:val="nil"/>
              <w:left w:val="nil"/>
              <w:bottom w:val="single" w:color="000000" w:sz="8" w:space="0"/>
              <w:right w:val="single" w:color="000000" w:sz="8" w:space="0"/>
            </w:tcBorders>
            <w:tcMar>
              <w:top w:w="15" w:type="dxa"/>
              <w:left w:w="15" w:type="dxa"/>
              <w:right w:w="15" w:type="dxa"/>
            </w:tcMar>
            <w:vAlign w:val="center"/>
          </w:tcPr>
          <w:p w14:paraId="4C3EA920">
            <w:pPr>
              <w:widowControl/>
              <w:ind w:firstLine="8" w:firstLineChars="4"/>
              <w:jc w:val="center"/>
              <w:textAlignment w:val="center"/>
              <w:rPr>
                <w:rFonts w:ascii="仿宋" w:hAnsi="仿宋" w:eastAsia="仿宋" w:cs="Arial"/>
                <w:color w:val="000000"/>
                <w:sz w:val="21"/>
                <w:szCs w:val="21"/>
                <w:lang w:bidi="ar"/>
              </w:rPr>
            </w:pPr>
            <w:r>
              <w:rPr>
                <w:rFonts w:hint="eastAsia" w:ascii="仿宋" w:hAnsi="仿宋" w:eastAsia="仿宋" w:cs="Arial"/>
                <w:color w:val="000000"/>
                <w:sz w:val="21"/>
                <w:szCs w:val="21"/>
                <w:lang w:bidi="ar"/>
              </w:rPr>
              <w:t>121.54</w:t>
            </w:r>
          </w:p>
        </w:tc>
      </w:tr>
      <w:tr w14:paraId="149D4040">
        <w:tblPrEx>
          <w:tblCellMar>
            <w:top w:w="0" w:type="dxa"/>
            <w:left w:w="0" w:type="dxa"/>
            <w:bottom w:w="0" w:type="dxa"/>
            <w:right w:w="0" w:type="dxa"/>
          </w:tblCellMar>
        </w:tblPrEx>
        <w:trPr>
          <w:trHeight w:val="540" w:hRule="atLeast"/>
        </w:trPr>
        <w:tc>
          <w:tcPr>
            <w:tcW w:w="665"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4C9ABE3D">
            <w:pPr>
              <w:widowControl/>
              <w:ind w:firstLine="9" w:firstLineChars="4"/>
              <w:jc w:val="center"/>
              <w:textAlignment w:val="center"/>
              <w:rPr>
                <w:rFonts w:ascii="仿宋" w:hAnsi="仿宋" w:eastAsia="仿宋"/>
                <w:sz w:val="24"/>
                <w:szCs w:val="28"/>
              </w:rPr>
            </w:pPr>
            <w:r>
              <w:rPr>
                <w:rFonts w:hint="eastAsia" w:ascii="仿宋" w:hAnsi="仿宋" w:eastAsia="仿宋"/>
                <w:sz w:val="24"/>
                <w:szCs w:val="28"/>
              </w:rPr>
              <w:t>3</w:t>
            </w:r>
          </w:p>
        </w:tc>
        <w:tc>
          <w:tcPr>
            <w:tcW w:w="1361" w:type="dxa"/>
            <w:tcBorders>
              <w:top w:val="nil"/>
              <w:left w:val="nil"/>
              <w:bottom w:val="single" w:color="000000" w:sz="8" w:space="0"/>
              <w:right w:val="single" w:color="000000" w:sz="8" w:space="0"/>
            </w:tcBorders>
            <w:tcMar>
              <w:top w:w="15" w:type="dxa"/>
              <w:left w:w="15" w:type="dxa"/>
              <w:right w:w="15" w:type="dxa"/>
            </w:tcMar>
            <w:vAlign w:val="center"/>
          </w:tcPr>
          <w:p w14:paraId="687CDF6F">
            <w:pPr>
              <w:widowControl/>
              <w:ind w:firstLine="9" w:firstLineChars="4"/>
              <w:jc w:val="center"/>
              <w:textAlignment w:val="center"/>
              <w:rPr>
                <w:rFonts w:ascii="仿宋" w:hAnsi="仿宋" w:eastAsia="仿宋"/>
                <w:sz w:val="24"/>
                <w:szCs w:val="28"/>
              </w:rPr>
            </w:pPr>
            <w:r>
              <w:rPr>
                <w:rFonts w:ascii="仿宋" w:hAnsi="仿宋" w:eastAsia="仿宋"/>
                <w:sz w:val="24"/>
                <w:szCs w:val="28"/>
              </w:rPr>
              <w:t>2019-</w:t>
            </w:r>
            <w:r>
              <w:rPr>
                <w:rFonts w:hint="eastAsia" w:ascii="仿宋" w:hAnsi="仿宋" w:eastAsia="仿宋"/>
                <w:sz w:val="24"/>
                <w:szCs w:val="28"/>
              </w:rPr>
              <w:t>10</w:t>
            </w:r>
            <w:r>
              <w:rPr>
                <w:rFonts w:ascii="仿宋" w:hAnsi="仿宋" w:eastAsia="仿宋"/>
                <w:sz w:val="24"/>
                <w:szCs w:val="28"/>
              </w:rPr>
              <w:t>-</w:t>
            </w:r>
            <w:r>
              <w:rPr>
                <w:rFonts w:hint="eastAsia" w:ascii="仿宋" w:hAnsi="仿宋" w:eastAsia="仿宋"/>
                <w:sz w:val="24"/>
                <w:szCs w:val="28"/>
              </w:rPr>
              <w:t>7</w:t>
            </w:r>
          </w:p>
        </w:tc>
        <w:tc>
          <w:tcPr>
            <w:tcW w:w="1433" w:type="dxa"/>
            <w:tcBorders>
              <w:top w:val="nil"/>
              <w:left w:val="nil"/>
              <w:bottom w:val="single" w:color="000000" w:sz="8" w:space="0"/>
              <w:right w:val="single" w:color="000000" w:sz="8" w:space="0"/>
            </w:tcBorders>
            <w:tcMar>
              <w:top w:w="15" w:type="dxa"/>
              <w:left w:w="15" w:type="dxa"/>
              <w:right w:w="15" w:type="dxa"/>
            </w:tcMar>
            <w:vAlign w:val="center"/>
          </w:tcPr>
          <w:p w14:paraId="3A7E0C01">
            <w:pPr>
              <w:widowControl/>
              <w:ind w:firstLine="9" w:firstLineChars="4"/>
              <w:jc w:val="center"/>
              <w:textAlignment w:val="center"/>
              <w:rPr>
                <w:rFonts w:ascii="仿宋" w:hAnsi="仿宋" w:eastAsia="仿宋"/>
                <w:sz w:val="24"/>
                <w:szCs w:val="28"/>
              </w:rPr>
            </w:pPr>
            <w:r>
              <w:rPr>
                <w:rFonts w:hint="eastAsia" w:ascii="仿宋" w:hAnsi="仿宋" w:eastAsia="仿宋"/>
                <w:sz w:val="24"/>
                <w:szCs w:val="28"/>
              </w:rPr>
              <w:t>记-01</w:t>
            </w:r>
          </w:p>
        </w:tc>
        <w:tc>
          <w:tcPr>
            <w:tcW w:w="2717" w:type="dxa"/>
            <w:tcBorders>
              <w:top w:val="nil"/>
              <w:left w:val="nil"/>
              <w:bottom w:val="single" w:color="000000" w:sz="8" w:space="0"/>
              <w:right w:val="single" w:color="000000" w:sz="8" w:space="0"/>
            </w:tcBorders>
            <w:tcMar>
              <w:top w:w="15" w:type="dxa"/>
              <w:left w:w="15" w:type="dxa"/>
              <w:right w:w="15" w:type="dxa"/>
            </w:tcMar>
            <w:vAlign w:val="center"/>
          </w:tcPr>
          <w:p w14:paraId="5CCD7BBE">
            <w:pPr>
              <w:widowControl/>
              <w:ind w:firstLine="9" w:firstLineChars="4"/>
              <w:jc w:val="center"/>
              <w:textAlignment w:val="center"/>
              <w:rPr>
                <w:rFonts w:ascii="仿宋" w:hAnsi="仿宋" w:eastAsia="仿宋"/>
                <w:sz w:val="24"/>
                <w:szCs w:val="28"/>
              </w:rPr>
            </w:pPr>
            <w:r>
              <w:rPr>
                <w:rFonts w:hint="eastAsia" w:ascii="仿宋" w:hAnsi="仿宋" w:eastAsia="仿宋"/>
                <w:sz w:val="24"/>
                <w:szCs w:val="28"/>
              </w:rPr>
              <w:t>专项资金购入砂浆生产线全自动码垛机</w:t>
            </w:r>
          </w:p>
        </w:tc>
        <w:tc>
          <w:tcPr>
            <w:tcW w:w="1383" w:type="dxa"/>
            <w:tcBorders>
              <w:top w:val="nil"/>
              <w:left w:val="nil"/>
              <w:bottom w:val="single" w:color="000000" w:sz="8" w:space="0"/>
              <w:right w:val="single" w:color="000000" w:sz="8" w:space="0"/>
            </w:tcBorders>
            <w:tcMar>
              <w:top w:w="15" w:type="dxa"/>
              <w:left w:w="15" w:type="dxa"/>
              <w:right w:w="15" w:type="dxa"/>
            </w:tcMar>
            <w:vAlign w:val="center"/>
          </w:tcPr>
          <w:p w14:paraId="3D59B786">
            <w:pPr>
              <w:widowControl/>
              <w:ind w:firstLine="9" w:firstLineChars="4"/>
              <w:jc w:val="center"/>
              <w:textAlignment w:val="center"/>
              <w:rPr>
                <w:rFonts w:ascii="仿宋" w:hAnsi="仿宋" w:eastAsia="仿宋"/>
                <w:sz w:val="24"/>
                <w:szCs w:val="28"/>
              </w:rPr>
            </w:pPr>
            <w:r>
              <w:rPr>
                <w:rFonts w:hint="eastAsia" w:ascii="仿宋" w:hAnsi="仿宋" w:eastAsia="仿宋"/>
                <w:sz w:val="24"/>
                <w:szCs w:val="28"/>
              </w:rPr>
              <w:t>1</w:t>
            </w:r>
          </w:p>
        </w:tc>
        <w:tc>
          <w:tcPr>
            <w:tcW w:w="1250" w:type="dxa"/>
            <w:tcBorders>
              <w:top w:val="nil"/>
              <w:left w:val="nil"/>
              <w:bottom w:val="single" w:color="000000" w:sz="8" w:space="0"/>
              <w:right w:val="single" w:color="000000" w:sz="8" w:space="0"/>
            </w:tcBorders>
            <w:tcMar>
              <w:top w:w="15" w:type="dxa"/>
              <w:left w:w="15" w:type="dxa"/>
              <w:right w:w="15" w:type="dxa"/>
            </w:tcMar>
            <w:vAlign w:val="center"/>
          </w:tcPr>
          <w:p w14:paraId="3F06738A">
            <w:pPr>
              <w:widowControl/>
              <w:ind w:firstLine="8" w:firstLineChars="4"/>
              <w:jc w:val="center"/>
              <w:textAlignment w:val="center"/>
              <w:rPr>
                <w:rFonts w:ascii="仿宋" w:hAnsi="仿宋" w:eastAsia="仿宋" w:cs="Arial"/>
                <w:color w:val="000000"/>
                <w:sz w:val="21"/>
                <w:szCs w:val="21"/>
                <w:lang w:bidi="ar"/>
              </w:rPr>
            </w:pPr>
            <w:r>
              <w:rPr>
                <w:rFonts w:hint="eastAsia" w:ascii="仿宋" w:hAnsi="仿宋" w:eastAsia="仿宋" w:cs="Arial"/>
                <w:color w:val="000000"/>
                <w:sz w:val="21"/>
                <w:szCs w:val="21"/>
                <w:lang w:bidi="ar"/>
              </w:rPr>
              <w:t>12.39</w:t>
            </w:r>
          </w:p>
        </w:tc>
      </w:tr>
      <w:tr w14:paraId="74FE38F8">
        <w:tblPrEx>
          <w:tblCellMar>
            <w:top w:w="0" w:type="dxa"/>
            <w:left w:w="0" w:type="dxa"/>
            <w:bottom w:w="0" w:type="dxa"/>
            <w:right w:w="0" w:type="dxa"/>
          </w:tblCellMar>
        </w:tblPrEx>
        <w:trPr>
          <w:trHeight w:val="464" w:hRule="atLeast"/>
        </w:trPr>
        <w:tc>
          <w:tcPr>
            <w:tcW w:w="6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B5BBA22">
            <w:pPr>
              <w:widowControl/>
              <w:ind w:firstLine="9" w:firstLineChars="4"/>
              <w:jc w:val="center"/>
              <w:textAlignment w:val="center"/>
              <w:rPr>
                <w:rFonts w:ascii="仿宋" w:hAnsi="仿宋" w:eastAsia="仿宋"/>
                <w:sz w:val="24"/>
                <w:szCs w:val="28"/>
              </w:rPr>
            </w:pPr>
            <w:r>
              <w:rPr>
                <w:rFonts w:hint="eastAsia" w:ascii="仿宋" w:hAnsi="仿宋" w:eastAsia="仿宋"/>
                <w:sz w:val="24"/>
                <w:szCs w:val="28"/>
              </w:rPr>
              <w:t>4</w:t>
            </w:r>
          </w:p>
        </w:tc>
        <w:tc>
          <w:tcPr>
            <w:tcW w:w="5511"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7573041">
            <w:pPr>
              <w:widowControl/>
              <w:ind w:firstLine="9" w:firstLineChars="4"/>
              <w:jc w:val="center"/>
              <w:textAlignment w:val="center"/>
              <w:rPr>
                <w:rFonts w:ascii="仿宋" w:hAnsi="仿宋" w:eastAsia="仿宋"/>
                <w:sz w:val="24"/>
                <w:szCs w:val="28"/>
              </w:rPr>
            </w:pPr>
            <w:r>
              <w:rPr>
                <w:rFonts w:hint="eastAsia" w:ascii="仿宋" w:hAnsi="仿宋" w:eastAsia="仿宋"/>
                <w:sz w:val="24"/>
                <w:szCs w:val="28"/>
              </w:rPr>
              <w:t>合 计</w:t>
            </w:r>
          </w:p>
        </w:tc>
        <w:tc>
          <w:tcPr>
            <w:tcW w:w="138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48F4104">
            <w:pPr>
              <w:widowControl/>
              <w:ind w:firstLine="9" w:firstLineChars="4"/>
              <w:jc w:val="center"/>
              <w:textAlignment w:val="center"/>
              <w:rPr>
                <w:rFonts w:ascii="仿宋" w:hAnsi="仿宋" w:eastAsia="仿宋"/>
                <w:sz w:val="24"/>
                <w:szCs w:val="28"/>
              </w:rPr>
            </w:pPr>
            <w:r>
              <w:rPr>
                <w:rFonts w:hint="eastAsia" w:ascii="仿宋" w:hAnsi="仿宋" w:eastAsia="仿宋"/>
                <w:sz w:val="24"/>
                <w:szCs w:val="28"/>
              </w:rPr>
              <w:t>3</w:t>
            </w:r>
          </w:p>
        </w:tc>
        <w:tc>
          <w:tcPr>
            <w:tcW w:w="12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E09E3FB">
            <w:pPr>
              <w:widowControl/>
              <w:ind w:firstLine="8" w:firstLineChars="4"/>
              <w:jc w:val="center"/>
              <w:textAlignment w:val="center"/>
              <w:rPr>
                <w:rFonts w:ascii="仿宋" w:hAnsi="仿宋" w:eastAsia="仿宋" w:cs="Arial"/>
                <w:b/>
                <w:bCs/>
                <w:sz w:val="21"/>
                <w:szCs w:val="21"/>
                <w:lang w:bidi="ar"/>
              </w:rPr>
            </w:pPr>
            <w:r>
              <w:rPr>
                <w:rFonts w:hint="eastAsia" w:ascii="仿宋" w:hAnsi="仿宋" w:eastAsia="仿宋" w:cs="Arial"/>
                <w:b/>
                <w:bCs/>
                <w:sz w:val="21"/>
                <w:szCs w:val="21"/>
                <w:lang w:bidi="ar"/>
              </w:rPr>
              <w:t>190.00</w:t>
            </w:r>
          </w:p>
        </w:tc>
      </w:tr>
    </w:tbl>
    <w:p w14:paraId="7567D648">
      <w:pPr>
        <w:adjustRightInd w:val="0"/>
        <w:snapToGrid w:val="0"/>
        <w:spacing w:line="560" w:lineRule="exact"/>
        <w:ind w:firstLine="720"/>
        <w:rPr>
          <w:rFonts w:ascii="仿宋_GB2312" w:hAnsi="宋体"/>
          <w:lang w:val="zh-CN"/>
        </w:rPr>
      </w:pPr>
      <w:r>
        <w:rPr>
          <w:rFonts w:hint="eastAsia" w:ascii="Calibri" w:hAnsi="Calibri"/>
        </w:rPr>
        <w:t>获得项目资金190万元全部由于项目建设。</w:t>
      </w:r>
      <w:r>
        <w:rPr>
          <w:rFonts w:hint="eastAsia" w:ascii="仿宋_GB2312" w:hAnsi="宋体"/>
          <w:lang w:val="zh-CN"/>
        </w:rPr>
        <w:t>支付依据合规合法，资金支付与预算相符。</w:t>
      </w:r>
    </w:p>
    <w:p w14:paraId="1103E1DE">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（二）项目财务管理情况。</w:t>
      </w:r>
    </w:p>
    <w:p w14:paraId="1004EFCF">
      <w:pPr>
        <w:adjustRightInd w:val="0"/>
        <w:snapToGrid w:val="0"/>
        <w:spacing w:line="600" w:lineRule="exact"/>
        <w:ind w:firstLine="720"/>
        <w:rPr>
          <w:rFonts w:ascii="Calibri" w:hAnsi="Calibri"/>
        </w:rPr>
      </w:pPr>
      <w:r>
        <w:rPr>
          <w:rFonts w:hint="eastAsia" w:ascii="Calibri" w:hAnsi="Calibri"/>
          <w:lang w:val="zh-CN"/>
        </w:rPr>
        <w:t>为加强对财务工作的管理与监督，保证资产安全，充分发挥财务的预测、控制作用；规范项目财务管理，严格财务审批程序，规范项目投融资行为，提高资金运作效率，减少投资风险，保证资金运营的安全性与收益性；加强会计档案和发票、收据的管理，提高财务保密意识。根据《会计法》等有关国家财经法律、法规和公司章程、合同，结合“工业副产石膏综合利用转化新型墙体建材的开发与产业化”的具体情况，制定以下制度。本制度经总经理审批后生效。项目必须严格按照本财务制度执行。</w:t>
      </w:r>
    </w:p>
    <w:p w14:paraId="7EA2FF0A">
      <w:pPr>
        <w:numPr>
          <w:ilvl w:val="0"/>
          <w:numId w:val="2"/>
        </w:numPr>
        <w:adjustRightInd w:val="0"/>
        <w:snapToGrid w:val="0"/>
        <w:spacing w:line="600" w:lineRule="exact"/>
        <w:ind w:firstLine="720"/>
        <w:rPr>
          <w:rFonts w:ascii="Calibri" w:hAnsi="Calibri"/>
        </w:rPr>
      </w:pPr>
      <w:r>
        <w:rPr>
          <w:rFonts w:hint="eastAsia" w:ascii="Calibri" w:hAnsi="Calibri" w:eastAsia="楷体_GB2312"/>
        </w:rPr>
        <w:t>现金的管理</w:t>
      </w:r>
    </w:p>
    <w:p w14:paraId="1130F9FA">
      <w:pPr>
        <w:adjustRightInd w:val="0"/>
        <w:snapToGrid w:val="0"/>
        <w:spacing w:line="600" w:lineRule="exact"/>
        <w:ind w:firstLine="720"/>
        <w:rPr>
          <w:rFonts w:ascii="Calibri" w:hAnsi="Calibri"/>
          <w:lang w:val="zh-CN"/>
        </w:rPr>
      </w:pPr>
      <w:r>
        <w:rPr>
          <w:rFonts w:hint="eastAsia" w:ascii="Calibri" w:hAnsi="Calibri"/>
          <w:lang w:val="zh-CN"/>
        </w:rPr>
        <w:t>现金库存不得超过公司核定的库存，限额为人民币伍仟元，现金的开支范围为</w:t>
      </w:r>
      <w:r>
        <w:rPr>
          <w:rFonts w:hint="eastAsia" w:ascii="Calibri" w:hAnsi="Calibri"/>
        </w:rPr>
        <w:t>;</w:t>
      </w:r>
      <w:r>
        <w:rPr>
          <w:rFonts w:hint="eastAsia" w:ascii="Calibri" w:hAnsi="Calibri"/>
          <w:lang w:val="zh-CN"/>
        </w:rPr>
        <w:t>职工的工资、津贴、劳保费、福利费、奖金等及国家规定对个人的等星支出</w:t>
      </w:r>
      <w:r>
        <w:rPr>
          <w:rFonts w:hint="eastAsia" w:ascii="Calibri" w:hAnsi="Calibri"/>
        </w:rPr>
        <w:t>:</w:t>
      </w:r>
      <w:r>
        <w:rPr>
          <w:rFonts w:hint="eastAsia" w:ascii="Calibri" w:hAnsi="Calibri"/>
          <w:lang w:val="zh-CN"/>
        </w:rPr>
        <w:t>出差人员必须随身携带的差旅费</w:t>
      </w:r>
      <w:r>
        <w:rPr>
          <w:rFonts w:hint="eastAsia" w:ascii="Calibri" w:hAnsi="Calibri"/>
        </w:rPr>
        <w:t>;</w:t>
      </w:r>
      <w:r>
        <w:rPr>
          <w:rFonts w:hint="eastAsia" w:ascii="Calibri" w:hAnsi="Calibri"/>
          <w:lang w:val="zh-CN"/>
        </w:rPr>
        <w:t>结算伍万元以下的零星支出等。</w:t>
      </w:r>
    </w:p>
    <w:p w14:paraId="0DC07928">
      <w:pPr>
        <w:adjustRightInd w:val="0"/>
        <w:snapToGrid w:val="0"/>
        <w:spacing w:line="600" w:lineRule="exact"/>
        <w:ind w:firstLine="720"/>
        <w:rPr>
          <w:rFonts w:ascii="Calibri" w:hAnsi="Calibri"/>
        </w:rPr>
      </w:pPr>
      <w:r>
        <w:rPr>
          <w:rFonts w:hint="eastAsia" w:ascii="Calibri" w:hAnsi="Calibri"/>
        </w:rPr>
        <w:t>出纳必须对现金做到日消月结，随时请点库存现金。财务部及有关人员必须定期或不定期对库存现金进行抽查，以保证帐实相符。</w:t>
      </w:r>
    </w:p>
    <w:p w14:paraId="0DA8782D">
      <w:pPr>
        <w:adjustRightInd w:val="0"/>
        <w:snapToGrid w:val="0"/>
        <w:spacing w:line="600" w:lineRule="exact"/>
        <w:ind w:firstLine="720"/>
        <w:rPr>
          <w:rFonts w:ascii="Calibri" w:hAnsi="Calibri"/>
          <w:lang w:val="zh-CN"/>
        </w:rPr>
      </w:pPr>
      <w:r>
        <w:rPr>
          <w:rFonts w:hint="eastAsia" w:ascii="Calibri" w:hAnsi="Calibri"/>
          <w:lang w:val="zh-CN"/>
        </w:rPr>
        <w:t>公司原则上不允许为员工垫付款项，如有特殊情况必须报总经理处批准。</w:t>
      </w:r>
    </w:p>
    <w:p w14:paraId="305AA7D2">
      <w:pPr>
        <w:adjustRightInd w:val="0"/>
        <w:snapToGrid w:val="0"/>
        <w:spacing w:line="600" w:lineRule="exact"/>
        <w:ind w:firstLine="720"/>
        <w:rPr>
          <w:rFonts w:ascii="Calibri" w:hAnsi="Calibri"/>
        </w:rPr>
      </w:pPr>
      <w:r>
        <w:rPr>
          <w:rFonts w:hint="eastAsia" w:ascii="Calibri" w:hAnsi="Calibri"/>
          <w:lang w:val="zh-CN"/>
        </w:rPr>
        <w:t>严格执行国务院关于现金管理暂行条例的规定，不准以收抵支，不准以白条抵库存现金。领取现金时，要持有符合公司资金支付审批程序的有效单据《如借款单或报销单等</w:t>
      </w:r>
      <w:r>
        <w:rPr>
          <w:rFonts w:hint="eastAsia" w:ascii="Calibri" w:hAnsi="Calibri"/>
        </w:rPr>
        <w:t>)</w:t>
      </w:r>
      <w:r>
        <w:rPr>
          <w:rFonts w:hint="eastAsia" w:ascii="Calibri" w:hAnsi="Calibri"/>
          <w:lang w:val="zh-CN"/>
        </w:rPr>
        <w:t>，财务方可支付现金。</w:t>
      </w:r>
    </w:p>
    <w:p w14:paraId="4FAD713F">
      <w:pPr>
        <w:adjustRightInd w:val="0"/>
        <w:snapToGrid w:val="0"/>
        <w:spacing w:line="600" w:lineRule="exact"/>
        <w:ind w:firstLine="720"/>
        <w:rPr>
          <w:rFonts w:ascii="Calibri" w:hAnsi="Calibri" w:eastAsia="楷体_GB2312"/>
        </w:rPr>
      </w:pPr>
      <w:r>
        <w:rPr>
          <w:rFonts w:hint="eastAsia" w:ascii="Calibri" w:hAnsi="Calibri" w:eastAsia="楷体_GB2312"/>
        </w:rPr>
        <w:t>2、</w:t>
      </w:r>
      <w:r>
        <w:rPr>
          <w:rFonts w:hint="eastAsia" w:ascii="Calibri" w:hAnsi="Calibri" w:eastAsia="楷体_GB2312"/>
          <w:lang w:val="zh-CN"/>
        </w:rPr>
        <w:t>银行存款的管理</w:t>
      </w:r>
    </w:p>
    <w:p w14:paraId="7A8949B5">
      <w:pPr>
        <w:adjustRightInd w:val="0"/>
        <w:snapToGrid w:val="0"/>
        <w:spacing w:line="600" w:lineRule="exact"/>
        <w:ind w:firstLine="720"/>
        <w:rPr>
          <w:rFonts w:ascii="Calibri" w:hAnsi="Calibri"/>
          <w:lang w:val="zh-CN"/>
        </w:rPr>
      </w:pPr>
      <w:r>
        <w:rPr>
          <w:rFonts w:hint="eastAsia" w:ascii="Calibri" w:hAnsi="Calibri"/>
          <w:lang w:val="zh-CN"/>
        </w:rPr>
        <w:t>出纳购买支票后，将其号码登记到支票领购簿。公司内部人员因借款领取支票时，要持有注明借款用途、金额和公司规定的审批人员的借款申请单，并登记支票领用薄，方可签发支票。借款要按批准的用途使用，不得揶做他用。超过用款限额，必须事先征得原批准人和财务部同意，否则出现银行空头而被罚款，由借款人负全部责任。支付支票时，需要登记付款对象，支票领受人需要在支票领购簿和支票头上签字。</w:t>
      </w:r>
    </w:p>
    <w:p w14:paraId="3937D3AF">
      <w:pPr>
        <w:adjustRightInd w:val="0"/>
        <w:snapToGrid w:val="0"/>
        <w:spacing w:line="600" w:lineRule="exact"/>
        <w:ind w:firstLine="720"/>
        <w:rPr>
          <w:rFonts w:ascii="Calibri" w:hAnsi="Calibri"/>
        </w:rPr>
      </w:pPr>
      <w:r>
        <w:rPr>
          <w:rFonts w:hint="eastAsia" w:ascii="Calibri" w:hAnsi="Calibri"/>
          <w:lang w:val="zh-CN"/>
        </w:rPr>
        <w:t>属于市内超过</w:t>
      </w:r>
      <w:r>
        <w:rPr>
          <w:rFonts w:hint="eastAsia" w:ascii="Calibri" w:hAnsi="Calibri"/>
        </w:rPr>
        <w:t>2000</w:t>
      </w:r>
      <w:r>
        <w:rPr>
          <w:rFonts w:hint="eastAsia" w:ascii="Calibri" w:hAnsi="Calibri"/>
          <w:lang w:val="zh-CN"/>
        </w:rPr>
        <w:t>元以上的支出，采用转账支票。不准开空头支票。</w:t>
      </w:r>
    </w:p>
    <w:p w14:paraId="519C6AEB">
      <w:pPr>
        <w:adjustRightInd w:val="0"/>
        <w:snapToGrid w:val="0"/>
        <w:spacing w:line="600" w:lineRule="exact"/>
        <w:ind w:firstLine="720"/>
        <w:rPr>
          <w:rFonts w:ascii="Calibri" w:hAnsi="Calibri"/>
          <w:lang w:val="zh-CN"/>
        </w:rPr>
      </w:pPr>
      <w:r>
        <w:rPr>
          <w:rFonts w:hint="eastAsia" w:ascii="Calibri" w:hAnsi="Calibri"/>
          <w:lang w:val="zh-CN"/>
        </w:rPr>
        <w:t>银行账户印鉴不准一人统一保管使用，印鉴保管人临时出差时由其委托他人代管。</w:t>
      </w:r>
    </w:p>
    <w:p w14:paraId="3A174210">
      <w:pPr>
        <w:adjustRightInd w:val="0"/>
        <w:snapToGrid w:val="0"/>
        <w:spacing w:line="600" w:lineRule="exact"/>
        <w:ind w:firstLine="720"/>
        <w:rPr>
          <w:rFonts w:ascii="Calibri" w:hAnsi="Calibri"/>
        </w:rPr>
      </w:pPr>
      <w:r>
        <w:rPr>
          <w:rFonts w:hint="eastAsia" w:ascii="Calibri" w:hAnsi="Calibri"/>
          <w:lang w:val="zh-CN"/>
        </w:rPr>
        <w:t>银行账户必须按国家规定开设和使用，银行账户只供本单位经营业务收支结算使用，严禁出借账户供外单位或个人使用，严禁为外单位或个人代收代支、转账套现。</w:t>
      </w:r>
    </w:p>
    <w:p w14:paraId="66C55D1D">
      <w:pPr>
        <w:adjustRightInd w:val="0"/>
        <w:snapToGrid w:val="0"/>
        <w:spacing w:line="600" w:lineRule="exact"/>
        <w:ind w:firstLine="720"/>
        <w:rPr>
          <w:rFonts w:ascii="Calibri" w:hAnsi="Calibri"/>
        </w:rPr>
      </w:pPr>
      <w:r>
        <w:rPr>
          <w:rFonts w:hint="eastAsia" w:ascii="Calibri" w:hAnsi="Calibri"/>
          <w:lang w:val="zh-CN"/>
        </w:rPr>
        <w:t>持支票人员，一旦发现丢失，应立刻通知财务部，马上到收款单位和银行挂失查找，查找无效，需到电视台或报社等部门声明作废。由此造成的损失由责任人承担。</w:t>
      </w:r>
    </w:p>
    <w:p w14:paraId="11791047">
      <w:pPr>
        <w:adjustRightInd w:val="0"/>
        <w:snapToGrid w:val="0"/>
        <w:spacing w:line="600" w:lineRule="exact"/>
        <w:ind w:firstLine="720"/>
        <w:rPr>
          <w:rFonts w:ascii="Calibri" w:hAnsi="Calibri" w:eastAsia="楷体_GB2312"/>
        </w:rPr>
      </w:pPr>
      <w:r>
        <w:rPr>
          <w:rFonts w:hint="eastAsia" w:ascii="Calibri" w:hAnsi="Calibri" w:eastAsia="楷体_GB2312"/>
        </w:rPr>
        <w:t>3、</w:t>
      </w:r>
      <w:r>
        <w:rPr>
          <w:rFonts w:hint="eastAsia" w:ascii="Calibri" w:hAnsi="Calibri" w:eastAsia="楷体_GB2312"/>
          <w:lang w:val="zh-CN"/>
        </w:rPr>
        <w:t>预算管理</w:t>
      </w:r>
    </w:p>
    <w:p w14:paraId="7F99BD0E">
      <w:pPr>
        <w:adjustRightInd w:val="0"/>
        <w:snapToGrid w:val="0"/>
        <w:spacing w:line="600" w:lineRule="exact"/>
        <w:ind w:firstLine="720"/>
        <w:rPr>
          <w:rFonts w:ascii="Calibri" w:hAnsi="Calibri"/>
        </w:rPr>
      </w:pPr>
      <w:r>
        <w:rPr>
          <w:rFonts w:hint="eastAsia" w:ascii="Calibri" w:hAnsi="Calibri"/>
        </w:rPr>
        <w:t>为保证预算目标的实现，应对预算的执行情况进行及时的反馈。主管会计每月月底编制预算执行表，比较实际与预算目标的差异，井作差异分析；并提交公司总办审核。</w:t>
      </w:r>
    </w:p>
    <w:p w14:paraId="74080D38">
      <w:pPr>
        <w:adjustRightInd w:val="0"/>
        <w:snapToGrid w:val="0"/>
        <w:spacing w:line="600" w:lineRule="exact"/>
        <w:ind w:firstLine="720"/>
        <w:rPr>
          <w:rFonts w:ascii="仿宋_GB2312" w:hAnsi="宋体"/>
          <w:lang w:val="zh-CN"/>
        </w:rPr>
      </w:pPr>
      <w:r>
        <w:rPr>
          <w:rFonts w:hint="eastAsia" w:ascii="Calibri" w:hAnsi="Calibri"/>
          <w:lang w:val="zh-CN"/>
        </w:rPr>
        <w:t>为加强资金控制，提高资金运用效率，有计划地安排投资活动，对资金收入支出实行预算管理。主管会计在每月月底将下月资金预算表报总部审批，方可执行。对于当月超出预算的支出需要提交预算外报销申请单，经总经理审批同意方可报销。主管会计应对提报预算的各项支出金额的合理性进行审核。严禁没有依据多报预算。</w:t>
      </w:r>
      <w:r>
        <w:rPr>
          <w:rFonts w:hint="eastAsia" w:ascii="仿宋_GB2312" w:hAnsi="宋体"/>
          <w:lang w:val="zh-CN"/>
        </w:rPr>
        <w:t>项目否严格执行财务管理制度、财务处理及时、会计核算规范。</w:t>
      </w:r>
    </w:p>
    <w:p w14:paraId="0B2FF2FA">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（三）项目组织实施情况。</w:t>
      </w:r>
    </w:p>
    <w:p w14:paraId="7A51C8C4">
      <w:pPr>
        <w:adjustRightInd w:val="0"/>
        <w:snapToGrid w:val="0"/>
        <w:spacing w:line="600" w:lineRule="exact"/>
        <w:ind w:firstLine="720"/>
      </w:pPr>
      <w:r>
        <w:rPr>
          <w:rFonts w:hint="eastAsia"/>
        </w:rPr>
        <w:t>为确保项目的实施，我公司组建了项目管理部门，负责项目的实施、</w:t>
      </w:r>
      <w:r>
        <w:rPr>
          <w:lang w:val="zh-CN"/>
        </w:rPr>
        <w:t>监管</w:t>
      </w:r>
      <w:r>
        <w:rPr>
          <w:rFonts w:hint="eastAsia"/>
        </w:rPr>
        <w:t>和执行。</w:t>
      </w:r>
    </w:p>
    <w:p w14:paraId="615D463C">
      <w:pPr>
        <w:adjustRightInd w:val="0"/>
        <w:snapToGrid w:val="0"/>
        <w:spacing w:line="600" w:lineRule="exact"/>
        <w:ind w:firstLine="720"/>
        <w:rPr>
          <w:rFonts w:ascii="Calibri" w:hAnsi="Calibri"/>
        </w:rPr>
      </w:pPr>
      <w:r>
        <w:rPr>
          <w:rFonts w:hint="eastAsia" w:ascii="Calibri" w:hAnsi="Calibri"/>
        </w:rPr>
        <w:t>（1）编写招标文件、制订具体评标方法或细则、成立评标委员会</w:t>
      </w:r>
    </w:p>
    <w:p w14:paraId="0CD0D1BD">
      <w:pPr>
        <w:adjustRightInd w:val="0"/>
        <w:snapToGrid w:val="0"/>
        <w:spacing w:line="600" w:lineRule="exact"/>
        <w:ind w:firstLine="720"/>
        <w:rPr>
          <w:rFonts w:ascii="Calibri" w:hAnsi="Calibri"/>
        </w:rPr>
      </w:pPr>
      <w:r>
        <w:rPr>
          <w:rFonts w:hint="eastAsia" w:ascii="Calibri" w:hAnsi="Calibri"/>
        </w:rPr>
        <w:t>（2）发布招标公告或招标邀请书，进行资格审查，发放或出售招标文件，组织投标人现场踏勘、答疑和标前会议</w:t>
      </w:r>
    </w:p>
    <w:p w14:paraId="5B40E5DE">
      <w:pPr>
        <w:adjustRightInd w:val="0"/>
        <w:snapToGrid w:val="0"/>
        <w:spacing w:line="600" w:lineRule="exact"/>
        <w:ind w:firstLine="720"/>
        <w:rPr>
          <w:rFonts w:ascii="Calibri" w:hAnsi="Calibri"/>
        </w:rPr>
      </w:pPr>
      <w:r>
        <w:rPr>
          <w:rFonts w:hint="eastAsia" w:ascii="Calibri" w:hAnsi="Calibri"/>
        </w:rPr>
        <w:t>（3）投标人缴纳投标保证金</w:t>
      </w:r>
    </w:p>
    <w:p w14:paraId="5DE6E756">
      <w:pPr>
        <w:adjustRightInd w:val="0"/>
        <w:snapToGrid w:val="0"/>
        <w:spacing w:line="600" w:lineRule="exact"/>
        <w:ind w:firstLine="720"/>
        <w:rPr>
          <w:rFonts w:ascii="Calibri" w:hAnsi="Calibri"/>
        </w:rPr>
      </w:pPr>
      <w:r>
        <w:rPr>
          <w:rFonts w:hint="eastAsia" w:ascii="Calibri" w:hAnsi="Calibri"/>
        </w:rPr>
        <w:t>（4）接受投标文件</w:t>
      </w:r>
    </w:p>
    <w:p w14:paraId="2828ABFA">
      <w:pPr>
        <w:adjustRightInd w:val="0"/>
        <w:snapToGrid w:val="0"/>
        <w:spacing w:line="600" w:lineRule="exact"/>
        <w:ind w:firstLine="720"/>
        <w:rPr>
          <w:rFonts w:ascii="Calibri" w:hAnsi="Calibri"/>
        </w:rPr>
      </w:pPr>
      <w:r>
        <w:rPr>
          <w:rFonts w:hint="eastAsia" w:ascii="Calibri" w:hAnsi="Calibri"/>
        </w:rPr>
        <w:t>（5）投标、开标、唱标</w:t>
      </w:r>
    </w:p>
    <w:p w14:paraId="14E69EBD">
      <w:pPr>
        <w:adjustRightInd w:val="0"/>
        <w:snapToGrid w:val="0"/>
        <w:spacing w:line="600" w:lineRule="exact"/>
        <w:ind w:firstLine="720"/>
        <w:rPr>
          <w:rFonts w:ascii="Calibri" w:hAnsi="Calibri"/>
        </w:rPr>
      </w:pPr>
      <w:r>
        <w:rPr>
          <w:rFonts w:hint="eastAsia" w:ascii="Calibri" w:hAnsi="Calibri"/>
        </w:rPr>
        <w:t>（6）评标会，评委会对投标文件进行评价审议，并推荐中标候选人，并确定中标人、发出《中标通知书》</w:t>
      </w:r>
    </w:p>
    <w:p w14:paraId="386C4271">
      <w:pPr>
        <w:adjustRightInd w:val="0"/>
        <w:snapToGrid w:val="0"/>
        <w:spacing w:line="600" w:lineRule="exact"/>
        <w:ind w:firstLine="720"/>
        <w:rPr>
          <w:rFonts w:ascii="Calibri" w:hAnsi="Calibri"/>
        </w:rPr>
      </w:pPr>
      <w:r>
        <w:rPr>
          <w:rFonts w:hint="eastAsia" w:ascii="Calibri" w:hAnsi="Calibri"/>
        </w:rPr>
        <w:t>（7）退还未中标人的投标保证金</w:t>
      </w:r>
    </w:p>
    <w:p w14:paraId="2E308AD8">
      <w:pPr>
        <w:adjustRightInd w:val="0"/>
        <w:snapToGrid w:val="0"/>
        <w:spacing w:line="560" w:lineRule="exact"/>
        <w:ind w:firstLine="720"/>
        <w:rPr>
          <w:rFonts w:ascii="仿宋_GB2312" w:hAnsi="宋体"/>
          <w:lang w:val="zh-CN"/>
        </w:rPr>
      </w:pPr>
      <w:r>
        <w:rPr>
          <w:rFonts w:hint="eastAsia" w:ascii="Calibri" w:hAnsi="Calibri"/>
        </w:rPr>
        <w:t>（8）签订协议。中标人按照《中标通知书》规定时间签订有关协议，并公布结果。</w:t>
      </w:r>
    </w:p>
    <w:p w14:paraId="3B7638D4">
      <w:pPr>
        <w:adjustRightInd w:val="0"/>
        <w:snapToGrid w:val="0"/>
        <w:spacing w:line="560" w:lineRule="exact"/>
        <w:ind w:firstLine="720"/>
        <w:rPr>
          <w:rFonts w:ascii="仿宋_GB2312" w:hAnsi="宋体"/>
          <w:lang w:val="zh-CN"/>
        </w:rPr>
      </w:pPr>
      <w:r>
        <w:rPr>
          <w:rFonts w:hint="eastAsia" w:ascii="黑体" w:hAnsi="宋体" w:eastAsia="黑体"/>
        </w:rPr>
        <w:t>三、项目绩效情况</w:t>
      </w:r>
      <w:r>
        <w:rPr>
          <w:rFonts w:hint="eastAsia" w:ascii="仿宋_GB2312" w:hAnsi="宋体"/>
          <w:lang w:val="zh-CN"/>
        </w:rPr>
        <w:tab/>
      </w:r>
    </w:p>
    <w:p w14:paraId="3618D00C">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（一）项目完成情况。</w:t>
      </w:r>
    </w:p>
    <w:p w14:paraId="086028A6">
      <w:pPr>
        <w:adjustRightInd w:val="0"/>
        <w:snapToGrid w:val="0"/>
        <w:spacing w:line="560" w:lineRule="exact"/>
        <w:ind w:firstLine="720"/>
        <w:rPr>
          <w:rFonts w:ascii="仿宋_GB2312" w:hAnsi="宋体"/>
          <w:lang w:val="zh-CN"/>
        </w:rPr>
      </w:pPr>
      <w:r>
        <w:rPr>
          <w:rFonts w:hint="eastAsia" w:ascii="仿宋_GB2312" w:hAnsi="宋体"/>
          <w:lang w:val="zh-CN"/>
        </w:rPr>
        <w:t>（一）目标任务量完成情况。</w:t>
      </w:r>
    </w:p>
    <w:p w14:paraId="4D36B490">
      <w:pPr>
        <w:adjustRightInd w:val="0"/>
        <w:snapToGrid w:val="0"/>
        <w:spacing w:line="560" w:lineRule="exact"/>
        <w:ind w:firstLine="720"/>
        <w:rPr>
          <w:rFonts w:ascii="仿宋_GB2312" w:hAnsi="宋体"/>
          <w:lang w:val="zh-CN"/>
        </w:rPr>
      </w:pPr>
      <w:r>
        <w:rPr>
          <w:rFonts w:hint="eastAsia" w:ascii="仿宋_GB2312" w:hAnsi="宋体"/>
          <w:lang w:val="zh-CN"/>
        </w:rPr>
        <w:t>1、项目计划情况：</w:t>
      </w:r>
    </w:p>
    <w:p w14:paraId="351FD1B2">
      <w:pPr>
        <w:adjustRightInd w:val="0"/>
        <w:snapToGrid w:val="0"/>
        <w:spacing w:line="560" w:lineRule="exact"/>
        <w:ind w:firstLine="720"/>
        <w:rPr>
          <w:rFonts w:ascii="仿宋_GB2312" w:hAnsi="宋体"/>
          <w:lang w:val="zh-CN"/>
        </w:rPr>
      </w:pPr>
      <w:r>
        <w:rPr>
          <w:rFonts w:hint="eastAsia" w:ascii="仿宋_GB2312" w:hAnsi="宋体"/>
          <w:lang w:val="zh-CN"/>
        </w:rPr>
        <w:t>在半干法脱硫灰制备内墙腻子粉的方法等技术基础上结合二步法工艺以脱硫石膏为原料生产脱硫石膏粉、腻子。建设年产10万吨/年的石膏粉、石膏腻子生产线各一套。</w:t>
      </w:r>
    </w:p>
    <w:p w14:paraId="62E29C76">
      <w:pPr>
        <w:adjustRightInd w:val="0"/>
        <w:snapToGrid w:val="0"/>
        <w:spacing w:line="560" w:lineRule="exact"/>
        <w:ind w:firstLine="720"/>
        <w:rPr>
          <w:rFonts w:ascii="仿宋_GB2312" w:hAnsi="宋体"/>
          <w:lang w:val="zh-CN"/>
        </w:rPr>
      </w:pPr>
      <w:r>
        <w:rPr>
          <w:rFonts w:hint="eastAsia" w:ascii="仿宋_GB2312" w:hAnsi="宋体"/>
          <w:lang w:val="zh-CN"/>
        </w:rPr>
        <w:t>2、项目实际完成情况：</w:t>
      </w:r>
    </w:p>
    <w:p w14:paraId="7B3449D7">
      <w:pPr>
        <w:adjustRightInd w:val="0"/>
        <w:snapToGrid w:val="0"/>
        <w:spacing w:line="560" w:lineRule="exact"/>
        <w:ind w:firstLine="720"/>
        <w:rPr>
          <w:rFonts w:ascii="仿宋_GB2312" w:hAnsi="宋体"/>
          <w:lang w:val="zh-CN"/>
        </w:rPr>
      </w:pPr>
      <w:r>
        <w:rPr>
          <w:rFonts w:hint="eastAsia" w:ascii="仿宋_GB2312" w:hAnsi="宋体"/>
          <w:lang w:val="zh-CN"/>
        </w:rPr>
        <w:t>在半干法脱硫灰制备内墙腻子粉的方法等技术基础上结合二步法工艺以脱硫石膏为原料生产脱硫石膏粉、腻子。 项目技术难点及解决路线：</w:t>
      </w:r>
    </w:p>
    <w:p w14:paraId="335E9036">
      <w:pPr>
        <w:adjustRightInd w:val="0"/>
        <w:snapToGrid w:val="0"/>
        <w:spacing w:line="560" w:lineRule="exact"/>
        <w:ind w:firstLine="720"/>
        <w:rPr>
          <w:rFonts w:ascii="仿宋_GB2312" w:hAnsi="宋体"/>
          <w:lang w:val="zh-CN"/>
        </w:rPr>
      </w:pPr>
      <w:r>
        <w:rPr>
          <w:rFonts w:hint="eastAsia" w:ascii="仿宋_GB2312" w:hAnsi="宋体"/>
          <w:lang w:val="zh-CN"/>
        </w:rPr>
        <w:t>1.1 脱硫石膏附着水的去除</w:t>
      </w:r>
    </w:p>
    <w:p w14:paraId="7368DB42">
      <w:pPr>
        <w:adjustRightInd w:val="0"/>
        <w:snapToGrid w:val="0"/>
        <w:spacing w:line="560" w:lineRule="exact"/>
        <w:ind w:firstLine="720"/>
        <w:rPr>
          <w:rFonts w:ascii="仿宋_GB2312" w:hAnsi="宋体"/>
          <w:lang w:val="zh-CN"/>
        </w:rPr>
      </w:pPr>
      <w:r>
        <w:rPr>
          <w:rFonts w:hint="eastAsia" w:ascii="仿宋_GB2312" w:hAnsi="宋体"/>
          <w:lang w:val="zh-CN"/>
        </w:rPr>
        <w:t>一步法工艺中产品附着水和结晶水在同一设备、同一温度同时去除，会产生附着水去除不彻底，影响最终产品质量现象。采用单独的烘干机，并配以适当的操作温度，可方便快速的去除附着水。</w:t>
      </w:r>
    </w:p>
    <w:p w14:paraId="03EB7968">
      <w:pPr>
        <w:adjustRightInd w:val="0"/>
        <w:snapToGrid w:val="0"/>
        <w:spacing w:line="560" w:lineRule="exact"/>
        <w:ind w:firstLine="720"/>
        <w:rPr>
          <w:rFonts w:ascii="仿宋_GB2312" w:hAnsi="宋体"/>
          <w:lang w:val="zh-CN"/>
        </w:rPr>
      </w:pPr>
      <w:r>
        <w:rPr>
          <w:rFonts w:hint="eastAsia" w:ascii="仿宋_GB2312" w:hAnsi="宋体"/>
          <w:lang w:val="zh-CN"/>
        </w:rPr>
        <w:t>1.2 脱硫石膏结晶水的去除</w:t>
      </w:r>
    </w:p>
    <w:p w14:paraId="36CBBDBD">
      <w:pPr>
        <w:adjustRightInd w:val="0"/>
        <w:snapToGrid w:val="0"/>
        <w:spacing w:line="560" w:lineRule="exact"/>
        <w:ind w:firstLine="720"/>
        <w:rPr>
          <w:rFonts w:ascii="仿宋_GB2312" w:hAnsi="宋体"/>
          <w:lang w:val="zh-CN"/>
        </w:rPr>
      </w:pPr>
      <w:r>
        <w:rPr>
          <w:rFonts w:hint="eastAsia" w:ascii="仿宋_GB2312" w:hAnsi="宋体"/>
          <w:lang w:val="zh-CN"/>
        </w:rPr>
        <w:t>一步法工艺中产品附着水和结晶水在同一设备、同一温度同时去除，最终产品水分受影响，产品三相组成差异大，质量不稳定。采用单独的煅烧机，并配以适当的操作温度，可方便快速的去除结晶水，并且进行连续化生产，更有助于稳定产品质量，提高产品性能。</w:t>
      </w:r>
    </w:p>
    <w:p w14:paraId="6D724F53">
      <w:pPr>
        <w:adjustRightInd w:val="0"/>
        <w:snapToGrid w:val="0"/>
        <w:spacing w:line="560" w:lineRule="exact"/>
        <w:ind w:firstLine="720"/>
        <w:rPr>
          <w:rFonts w:ascii="仿宋_GB2312" w:hAnsi="宋体"/>
          <w:lang w:val="zh-CN"/>
        </w:rPr>
      </w:pPr>
      <w:r>
        <w:rPr>
          <w:rFonts w:hint="eastAsia" w:ascii="仿宋_GB2312" w:hAnsi="宋体"/>
          <w:lang w:val="zh-CN"/>
        </w:rPr>
        <w:t>1.3 产品陈化及质量稳定</w:t>
      </w:r>
    </w:p>
    <w:p w14:paraId="7963010E">
      <w:pPr>
        <w:adjustRightInd w:val="0"/>
        <w:snapToGrid w:val="0"/>
        <w:spacing w:line="560" w:lineRule="exact"/>
        <w:ind w:firstLine="720"/>
        <w:rPr>
          <w:rFonts w:ascii="仿宋_GB2312" w:hAnsi="宋体"/>
          <w:lang w:val="zh-CN"/>
        </w:rPr>
      </w:pPr>
      <w:r>
        <w:rPr>
          <w:rFonts w:hint="eastAsia" w:ascii="仿宋_GB2312" w:hAnsi="宋体"/>
          <w:lang w:val="zh-CN"/>
        </w:rPr>
        <w:t>传统的石膏煅烧技术如立式炒锅、回转窑、一般沸腾炒炉等一步法工艺，石膏游离水和结晶水的脱除在同一步骤完成，产品含水量难以保证，陈化条件难以达成。脱硫石膏粉在生产过程中如果对生产细节把控不严容易造成产出的产品在后期使用时出现产品质量不稳定的问题，而对于脱硫石膏粉的生产过程中陈化和研磨配级是非常重要的，因此项目采用先陈化后研磨工艺，可最大限度保证产品质量的稳定。</w:t>
      </w:r>
    </w:p>
    <w:p w14:paraId="6FFB99B9">
      <w:pPr>
        <w:adjustRightInd w:val="0"/>
        <w:snapToGrid w:val="0"/>
        <w:spacing w:line="560" w:lineRule="exact"/>
        <w:ind w:firstLine="720"/>
        <w:rPr>
          <w:rFonts w:ascii="仿宋_GB2312" w:hAnsi="宋体"/>
          <w:lang w:val="zh-CN"/>
        </w:rPr>
      </w:pPr>
      <w:r>
        <w:rPr>
          <w:rFonts w:hint="eastAsia" w:ascii="仿宋_GB2312" w:hAnsi="宋体"/>
          <w:lang w:val="zh-CN"/>
        </w:rPr>
        <w:t>1.4 节能</w:t>
      </w:r>
    </w:p>
    <w:p w14:paraId="41E24657">
      <w:pPr>
        <w:adjustRightInd w:val="0"/>
        <w:snapToGrid w:val="0"/>
        <w:spacing w:line="560" w:lineRule="exact"/>
        <w:ind w:firstLine="720"/>
        <w:rPr>
          <w:rFonts w:ascii="仿宋_GB2312" w:hAnsi="宋体"/>
          <w:lang w:val="zh-CN"/>
        </w:rPr>
      </w:pPr>
      <w:r>
        <w:rPr>
          <w:rFonts w:hint="eastAsia" w:ascii="仿宋_GB2312" w:hAnsi="宋体"/>
          <w:lang w:val="zh-CN"/>
        </w:rPr>
        <w:t>导热油生物质锅炉设计中也采用了出口烟道气余热加热鼓风机进口空气工艺，大大降低了生物质燃料的消耗。石膏粉流化煅烧工艺专门设计了预热利用方案，预热源来自于主煅烧炉的尾气余热，系统排放尾烟温度小于90℃。因而热量利用率很高。项目总体生产耗能水平明显优于国内同类企业。</w:t>
      </w:r>
    </w:p>
    <w:p w14:paraId="38E85909">
      <w:pPr>
        <w:adjustRightInd w:val="0"/>
        <w:snapToGrid w:val="0"/>
        <w:spacing w:line="560" w:lineRule="exact"/>
        <w:ind w:firstLine="720"/>
        <w:rPr>
          <w:rFonts w:ascii="仿宋_GB2312" w:hAnsi="宋体"/>
          <w:lang w:val="zh-CN"/>
        </w:rPr>
      </w:pPr>
      <w:r>
        <w:rPr>
          <w:rFonts w:hint="eastAsia" w:ascii="仿宋_GB2312" w:hAnsi="宋体"/>
          <w:lang w:val="zh-CN"/>
        </w:rPr>
        <w:t>此外，项目采用导热油系统循环间接加热，全系统热利用率高，节能效果明显。</w:t>
      </w:r>
    </w:p>
    <w:p w14:paraId="7BD12CDB">
      <w:pPr>
        <w:numPr>
          <w:ilvl w:val="0"/>
          <w:numId w:val="1"/>
        </w:num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项目效益情况。</w:t>
      </w:r>
    </w:p>
    <w:p w14:paraId="462CDBD6">
      <w:pPr>
        <w:adjustRightInd w:val="0"/>
        <w:snapToGrid w:val="0"/>
        <w:spacing w:line="560" w:lineRule="exact"/>
        <w:ind w:left="720"/>
        <w:rPr>
          <w:rFonts w:ascii="仿宋_GB2312" w:hAnsi="宋体"/>
          <w:lang w:val="zh-CN"/>
        </w:rPr>
      </w:pPr>
      <w:r>
        <w:rPr>
          <w:rFonts w:hint="eastAsia" w:ascii="仿宋_GB2312" w:hAnsi="宋体"/>
          <w:lang w:val="zh-CN"/>
        </w:rPr>
        <w:t>1、项目实现的经济效益</w:t>
      </w:r>
    </w:p>
    <w:p w14:paraId="24754980">
      <w:pPr>
        <w:adjustRightInd w:val="0"/>
        <w:snapToGrid w:val="0"/>
        <w:spacing w:line="560" w:lineRule="exact"/>
        <w:ind w:firstLine="720"/>
        <w:rPr>
          <w:rFonts w:ascii="仿宋_GB2312" w:hAnsi="宋体"/>
          <w:lang w:val="zh-CN"/>
        </w:rPr>
      </w:pPr>
      <w:r>
        <w:rPr>
          <w:rFonts w:hint="eastAsia" w:ascii="仿宋_GB2312" w:hAnsi="宋体"/>
          <w:lang w:val="zh-CN"/>
        </w:rPr>
        <w:t>“工业副产石膏综合利用转化新型墙体建材的开发与产业化”项目预算总投资为2200.00万元，实际完成投资2408.77万元，完成预算总投资的109.49%。项目专项补助资金批复190.00万元，截至目前财政专项经费到位130.00万元，企业自有资金垫付60.00万元，实际支出190.00万元，结余0.00万元；企业实际自筹资金到位2,218.77万元，项目实际完成投资2218.77万元，结余0.00万元。本项目实施后，截至2020年12月，公司新增项目销售收入4,789.94万元，项目利润总额1,481.50万元，上缴税金265万元。</w:t>
      </w:r>
    </w:p>
    <w:p w14:paraId="1A39E0CA">
      <w:pPr>
        <w:adjustRightInd w:val="0"/>
        <w:snapToGrid w:val="0"/>
        <w:spacing w:line="560" w:lineRule="exact"/>
        <w:ind w:firstLine="720"/>
        <w:rPr>
          <w:rFonts w:ascii="仿宋_GB2312" w:hAnsi="宋体"/>
          <w:lang w:val="zh-CN"/>
        </w:rPr>
      </w:pPr>
      <w:r>
        <w:rPr>
          <w:rFonts w:hint="eastAsia" w:ascii="仿宋_GB2312" w:hAnsi="宋体"/>
          <w:lang w:val="zh-CN"/>
        </w:rPr>
        <w:t>2、项目实现的社会效益</w:t>
      </w:r>
    </w:p>
    <w:p w14:paraId="026F11C8">
      <w:pPr>
        <w:adjustRightInd w:val="0"/>
        <w:snapToGrid w:val="0"/>
        <w:spacing w:line="560" w:lineRule="exact"/>
        <w:ind w:firstLine="720"/>
        <w:rPr>
          <w:rFonts w:ascii="仿宋_GB2312" w:hAnsi="宋体"/>
          <w:lang w:val="zh-CN"/>
        </w:rPr>
      </w:pPr>
      <w:r>
        <w:rPr>
          <w:rFonts w:hint="eastAsia" w:ascii="仿宋_GB2312" w:hAnsi="宋体"/>
          <w:lang w:val="zh-CN"/>
        </w:rPr>
        <w:t>当前中国的烟气脱硫工艺主要采用石灰石—石膏湿法脱硫工艺，每年产生大量的脱硫石膏待处理。四川省有众多的火电厂和钢铁行业的烧结机、球团厂，其烟气脱硫产生的大量脱硫石膏一直作为水泥厂添加剂、或废弃物填埋。</w:t>
      </w:r>
    </w:p>
    <w:p w14:paraId="24EF6A75">
      <w:pPr>
        <w:adjustRightInd w:val="0"/>
        <w:snapToGrid w:val="0"/>
        <w:spacing w:line="560" w:lineRule="exact"/>
        <w:ind w:firstLine="720"/>
        <w:rPr>
          <w:rFonts w:ascii="楷体_GB2312" w:hAnsi="宋体" w:eastAsia="楷体_GB2312"/>
          <w:b/>
          <w:lang w:val="zh-CN"/>
        </w:rPr>
      </w:pPr>
      <w:r>
        <w:rPr>
          <w:rFonts w:hint="eastAsia" w:ascii="仿宋_GB2312" w:hAnsi="宋体"/>
          <w:lang w:val="zh-CN"/>
        </w:rPr>
        <w:t>项目投产后对国家推广工业副产石膏代替天然石膏进入石膏新材产品、推广石灰石-石膏脱硫工艺技术产生了有重要意义，可实现企业在烟气脱硫项目中脱硫石膏零排放，支撑了企业的可持续发展，并带动地方相关产业的发展，对</w:t>
      </w:r>
      <w:bookmarkStart w:id="1" w:name="_GoBack"/>
      <w:bookmarkEnd w:id="1"/>
      <w:r>
        <w:rPr>
          <w:rFonts w:hint="eastAsia" w:ascii="仿宋_GB2312" w:hAnsi="宋体"/>
          <w:lang w:val="zh-CN"/>
        </w:rPr>
        <w:t>地方经济的发展将起到一定的促进作用。另外项目新增就业20人，一定程度上缓解当地的就业压力。项目经济、社会、生态、可持续效益以及服务对象满意度等方面对项目效益进行全面分析评价。</w:t>
      </w:r>
    </w:p>
    <w:p w14:paraId="608727FA">
      <w:pPr>
        <w:adjustRightInd w:val="0"/>
        <w:snapToGrid w:val="0"/>
        <w:spacing w:line="560" w:lineRule="exact"/>
        <w:ind w:firstLine="720"/>
        <w:rPr>
          <w:rFonts w:ascii="黑体" w:hAnsi="宋体" w:eastAsia="黑体"/>
        </w:rPr>
      </w:pPr>
      <w:r>
        <w:rPr>
          <w:rFonts w:hint="eastAsia" w:ascii="黑体" w:hAnsi="宋体" w:eastAsia="黑体"/>
        </w:rPr>
        <w:t>四、问题及建议</w:t>
      </w:r>
    </w:p>
    <w:p w14:paraId="131392D5">
      <w:pPr>
        <w:adjustRightInd w:val="0"/>
        <w:snapToGrid w:val="0"/>
        <w:spacing w:line="600" w:lineRule="exact"/>
        <w:ind w:firstLine="643" w:firstLineChars="200"/>
        <w:rPr>
          <w:rFonts w:ascii="Calibri" w:hAnsi="Calibri"/>
        </w:rPr>
      </w:pPr>
      <w:r>
        <w:rPr>
          <w:rFonts w:hint="eastAsia" w:ascii="楷体_GB2312" w:hAnsi="宋体" w:eastAsia="楷体_GB2312"/>
          <w:b/>
          <w:lang w:val="zh-CN"/>
        </w:rPr>
        <w:t>（一）存在的问题。</w:t>
      </w:r>
      <w:r>
        <w:rPr>
          <w:rFonts w:hint="eastAsia"/>
        </w:rPr>
        <w:t>项目已经完工</w:t>
      </w:r>
      <w:r>
        <w:rPr>
          <w:rFonts w:hint="eastAsia" w:ascii="Calibri" w:hAnsi="Calibri"/>
        </w:rPr>
        <w:t>并验收，项目不存在问题，项目的执行情况符合《四川省省级财政专项资金使用和管理办法》和《四川省省级财政专项资金使用和管理办法实施细则》的有关规定，项目自筹资金2,218.77万元、财政专项资金190万元能够单独核算，无截留、挤占、挪用和违反规定转拨、转移的情况，项目实施过程中未出现问题。</w:t>
      </w:r>
    </w:p>
    <w:p w14:paraId="5211054C">
      <w:pPr>
        <w:adjustRightInd w:val="0"/>
        <w:snapToGrid w:val="0"/>
        <w:spacing w:line="560" w:lineRule="exact"/>
        <w:ind w:firstLine="720"/>
        <w:rPr>
          <w:rFonts w:ascii="楷体_GB2312" w:hAnsi="宋体" w:eastAsia="楷体_GB2312"/>
          <w:b/>
          <w:lang w:val="zh-CN"/>
        </w:rPr>
      </w:pPr>
    </w:p>
    <w:p w14:paraId="11CADC23">
      <w:pPr>
        <w:numPr>
          <w:ilvl w:val="0"/>
          <w:numId w:val="1"/>
        </w:numPr>
        <w:adjustRightInd w:val="0"/>
        <w:snapToGrid w:val="0"/>
        <w:spacing w:line="560" w:lineRule="exact"/>
        <w:ind w:firstLine="720"/>
        <w:rPr>
          <w:rFonts w:ascii="仿宋_GB2312" w:hAnsi="宋体" w:eastAsia="楷体_GB2312"/>
        </w:rPr>
      </w:pPr>
      <w:r>
        <w:rPr>
          <w:rFonts w:hint="eastAsia" w:ascii="楷体_GB2312" w:hAnsi="宋体" w:eastAsia="楷体_GB2312"/>
          <w:b/>
          <w:lang w:val="zh-CN"/>
        </w:rPr>
        <w:t>相关建议。</w:t>
      </w:r>
      <w:r>
        <w:rPr>
          <w:rFonts w:hint="eastAsia" w:ascii="仿宋_GB2312" w:hAnsi="宋体" w:eastAsia="楷体_GB2312"/>
        </w:rPr>
        <w:t>无。</w:t>
      </w:r>
    </w:p>
    <w:p w14:paraId="6948B99D">
      <w:pPr>
        <w:adjustRightInd w:val="0"/>
        <w:snapToGrid w:val="0"/>
        <w:spacing w:line="560" w:lineRule="exact"/>
        <w:ind w:left="720"/>
        <w:rPr>
          <w:rFonts w:ascii="仿宋_GB2312" w:hAnsi="宋体" w:eastAsia="楷体_GB2312"/>
        </w:rPr>
      </w:pPr>
      <w:r>
        <w:rPr>
          <w:rFonts w:hint="eastAsia" w:ascii="仿宋_GB2312" w:hAnsi="宋体" w:eastAsia="楷体_GB2312"/>
        </w:rPr>
        <w:t xml:space="preserve">   </w:t>
      </w:r>
    </w:p>
    <w:p w14:paraId="6700116D">
      <w:pPr>
        <w:adjustRightInd w:val="0"/>
        <w:snapToGrid w:val="0"/>
        <w:spacing w:line="560" w:lineRule="exact"/>
        <w:ind w:left="720"/>
        <w:rPr>
          <w:rFonts w:ascii="仿宋_GB2312" w:hAnsi="宋体" w:eastAsia="楷体_GB2312"/>
        </w:rPr>
      </w:pPr>
    </w:p>
    <w:p w14:paraId="28C6ED88">
      <w:pPr>
        <w:adjustRightInd w:val="0"/>
        <w:snapToGrid w:val="0"/>
        <w:spacing w:line="560" w:lineRule="exact"/>
        <w:ind w:left="720"/>
        <w:rPr>
          <w:rFonts w:ascii="仿宋_GB2312" w:hAnsi="宋体" w:eastAsia="楷体_GB2312"/>
        </w:rPr>
      </w:pPr>
    </w:p>
    <w:p w14:paraId="3628EBD4">
      <w:pPr>
        <w:adjustRightInd w:val="0"/>
        <w:snapToGrid w:val="0"/>
        <w:spacing w:line="560" w:lineRule="exact"/>
        <w:ind w:left="720"/>
        <w:jc w:val="right"/>
        <w:rPr>
          <w:rFonts w:ascii="仿宋_GB2312" w:hAnsi="宋体" w:eastAsia="楷体_GB2312"/>
        </w:rPr>
      </w:pPr>
      <w:r>
        <w:rPr>
          <w:rFonts w:hint="eastAsia" w:ascii="仿宋_GB2312" w:hAnsi="宋体" w:eastAsia="楷体_GB2312"/>
        </w:rPr>
        <w:t>2023年5月10日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F818CD"/>
    <w:multiLevelType w:val="singleLevel"/>
    <w:tmpl w:val="ACF818CD"/>
    <w:lvl w:ilvl="0" w:tentative="0">
      <w:start w:val="1"/>
      <w:numFmt w:val="chineseCounting"/>
      <w:suff w:val="nothing"/>
      <w:lvlText w:val="（%1）"/>
      <w:lvlJc w:val="left"/>
      <w:rPr>
        <w:rFonts w:hint="eastAsia"/>
      </w:rPr>
    </w:lvl>
  </w:abstractNum>
  <w:abstractNum w:abstractNumId="1">
    <w:nsid w:val="325D5202"/>
    <w:multiLevelType w:val="singleLevel"/>
    <w:tmpl w:val="325D5202"/>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mMDJiMjc0NTlhNzQ4YThlMmQ3NGRhNGY3NmM1NDcifQ=="/>
  </w:docVars>
  <w:rsids>
    <w:rsidRoot w:val="291C455A"/>
    <w:rsid w:val="001F752F"/>
    <w:rsid w:val="003414A3"/>
    <w:rsid w:val="00515A0C"/>
    <w:rsid w:val="00733213"/>
    <w:rsid w:val="00866E99"/>
    <w:rsid w:val="0EDB478C"/>
    <w:rsid w:val="125401FC"/>
    <w:rsid w:val="1978413F"/>
    <w:rsid w:val="1BC34AF5"/>
    <w:rsid w:val="291C455A"/>
    <w:rsid w:val="2A9047FF"/>
    <w:rsid w:val="36926D0C"/>
    <w:rsid w:val="4DAF2BCF"/>
    <w:rsid w:val="4DDB6F66"/>
    <w:rsid w:val="5A34540C"/>
    <w:rsid w:val="6F3100B2"/>
    <w:rsid w:val="792F2AEE"/>
    <w:rsid w:val="7AB03FD0"/>
    <w:rsid w:val="BFFE83F2"/>
    <w:rsid w:val="D7FDD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四号正文"/>
    <w:basedOn w:val="1"/>
    <w:qFormat/>
    <w:uiPriority w:val="0"/>
    <w:pPr>
      <w:spacing w:line="360" w:lineRule="auto"/>
    </w:pPr>
    <w:rPr>
      <w:rFonts w:ascii="??" w:hAnsi="??" w:eastAsia="宋体"/>
      <w:color w:val="000000"/>
      <w:kern w:val="0"/>
      <w:sz w:val="28"/>
      <w:szCs w:val="21"/>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10</Pages>
  <Words>3911</Words>
  <Characters>4227</Characters>
  <Lines>31</Lines>
  <Paragraphs>8</Paragraphs>
  <TotalTime>32</TotalTime>
  <ScaleCrop>false</ScaleCrop>
  <LinksUpToDate>false</LinksUpToDate>
  <CharactersWithSpaces>4238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2020-07-01T00:19:00Z</dcterms:created>
  <dc:creator>Administrator</dc:creator>
  <cp:lastModifiedBy>niuchaoqiong</cp:lastModifiedBy>
  <dcterms:modified xsi:type="dcterms:W3CDTF">2024-12-24T08:58:14Z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8BE6D75608C24147B5994EEA0F334112_13</vt:lpwstr>
  </property>
</Properties>
</file>