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5000EA3">
      <w:pPr>
        <w:spacing w:line="600" w:lineRule="exact"/>
        <w:jc w:val="center"/>
        <w:outlineLvl w:val="0"/>
        <w:rPr>
          <w:rFonts w:ascii="方正小标宋简体" w:hAnsi="宋体" w:eastAsia="方正小标宋简体"/>
          <w:color w:val="000000"/>
          <w:sz w:val="72"/>
          <w:szCs w:val="72"/>
        </w:rPr>
      </w:pPr>
      <w:bookmarkStart w:id="0" w:name="_Toc15306267"/>
    </w:p>
    <w:p w14:paraId="1232B39C">
      <w:pPr>
        <w:spacing w:line="600" w:lineRule="exact"/>
        <w:jc w:val="center"/>
        <w:outlineLvl w:val="0"/>
        <w:rPr>
          <w:rFonts w:ascii="方正小标宋简体" w:hAnsi="宋体" w:eastAsia="方正小标宋简体"/>
          <w:color w:val="000000"/>
          <w:sz w:val="72"/>
          <w:szCs w:val="72"/>
        </w:rPr>
      </w:pPr>
    </w:p>
    <w:p w14:paraId="31075A55">
      <w:pPr>
        <w:spacing w:line="600" w:lineRule="exact"/>
        <w:jc w:val="center"/>
        <w:outlineLvl w:val="0"/>
        <w:rPr>
          <w:rFonts w:ascii="方正小标宋简体" w:hAnsi="宋体" w:eastAsia="方正小标宋简体"/>
          <w:color w:val="000000"/>
          <w:sz w:val="72"/>
          <w:szCs w:val="72"/>
        </w:rPr>
      </w:pPr>
    </w:p>
    <w:p w14:paraId="1AE6FB93">
      <w:pPr>
        <w:spacing w:line="600" w:lineRule="exact"/>
        <w:jc w:val="center"/>
        <w:outlineLvl w:val="0"/>
        <w:rPr>
          <w:rFonts w:ascii="方正小标宋简体" w:hAnsi="宋体" w:eastAsia="方正小标宋简体"/>
          <w:color w:val="000000"/>
          <w:sz w:val="72"/>
          <w:szCs w:val="72"/>
        </w:rPr>
      </w:pPr>
    </w:p>
    <w:p w14:paraId="38BEDCB5">
      <w:pPr>
        <w:adjustRightInd w:val="0"/>
        <w:snapToGrid w:val="0"/>
        <w:spacing w:line="360" w:lineRule="auto"/>
        <w:jc w:val="center"/>
        <w:outlineLvl w:val="0"/>
        <w:rPr>
          <w:rFonts w:ascii="方正小标宋简体" w:hAnsi="宋体" w:eastAsia="方正小标宋简体"/>
          <w:color w:val="000000"/>
          <w:sz w:val="72"/>
          <w:szCs w:val="72"/>
        </w:rPr>
      </w:pPr>
      <w:bookmarkStart w:id="1" w:name="_Toc15396597"/>
      <w:bookmarkStart w:id="2" w:name="_Toc15377193"/>
      <w:bookmarkStart w:id="3" w:name="_Toc15396475"/>
      <w:bookmarkStart w:id="4" w:name="_Toc15377425"/>
      <w:bookmarkStart w:id="5" w:name="_Toc15378441"/>
      <w:r>
        <w:rPr>
          <w:rFonts w:ascii="黑体" w:hAnsi="黑体" w:eastAsia="黑体"/>
          <w:color w:val="000000"/>
          <w:sz w:val="72"/>
          <w:szCs w:val="72"/>
        </w:rPr>
        <w:t>2018</w:t>
      </w:r>
      <w:r>
        <w:rPr>
          <w:rFonts w:hint="eastAsia" w:ascii="方正小标宋简体" w:hAnsi="宋体" w:eastAsia="方正小标宋简体"/>
          <w:color w:val="000000"/>
          <w:sz w:val="72"/>
          <w:szCs w:val="72"/>
        </w:rPr>
        <w:t>年度</w:t>
      </w:r>
      <w:bookmarkEnd w:id="1"/>
      <w:bookmarkEnd w:id="2"/>
      <w:bookmarkEnd w:id="3"/>
      <w:bookmarkEnd w:id="4"/>
      <w:bookmarkEnd w:id="5"/>
    </w:p>
    <w:p w14:paraId="71FD76DC">
      <w:pPr>
        <w:adjustRightInd w:val="0"/>
        <w:snapToGrid w:val="0"/>
        <w:spacing w:line="360" w:lineRule="auto"/>
        <w:jc w:val="center"/>
        <w:outlineLvl w:val="0"/>
        <w:rPr>
          <w:rFonts w:ascii="方正小标宋简体" w:hAnsi="宋体" w:eastAsia="方正小标宋简体"/>
          <w:color w:val="000000"/>
          <w:sz w:val="72"/>
          <w:szCs w:val="72"/>
        </w:rPr>
      </w:pPr>
      <w:bookmarkStart w:id="6" w:name="_Toc15377194"/>
      <w:bookmarkStart w:id="7" w:name="_Toc15396598"/>
      <w:bookmarkStart w:id="8" w:name="_Toc15396476"/>
      <w:bookmarkStart w:id="9" w:name="_Toc15378442"/>
      <w:bookmarkStart w:id="10" w:name="_Toc15377426"/>
      <w:r>
        <w:rPr>
          <w:rFonts w:hint="eastAsia" w:ascii="方正小标宋简体" w:hAnsi="宋体" w:eastAsia="方正小标宋简体"/>
          <w:color w:val="000000"/>
          <w:sz w:val="72"/>
          <w:szCs w:val="72"/>
        </w:rPr>
        <w:t>四川省</w:t>
      </w:r>
      <w:bookmarkEnd w:id="0"/>
      <w:bookmarkStart w:id="11" w:name="_Toc15306268"/>
      <w:r>
        <w:rPr>
          <w:rFonts w:hint="eastAsia" w:ascii="方正小标宋简体" w:hAnsi="宋体" w:eastAsia="方正小标宋简体"/>
          <w:color w:val="000000"/>
          <w:sz w:val="72"/>
          <w:szCs w:val="72"/>
        </w:rPr>
        <w:t>攀枝花市仁和区</w:t>
      </w:r>
    </w:p>
    <w:p w14:paraId="1464D61A">
      <w:pPr>
        <w:adjustRightInd w:val="0"/>
        <w:snapToGrid w:val="0"/>
        <w:spacing w:line="360" w:lineRule="auto"/>
        <w:jc w:val="center"/>
        <w:outlineLvl w:val="0"/>
        <w:rPr>
          <w:rFonts w:ascii="方正小标宋简体" w:hAnsi="宋体" w:eastAsia="方正小标宋简体"/>
          <w:color w:val="000000"/>
          <w:sz w:val="72"/>
          <w:szCs w:val="72"/>
        </w:rPr>
      </w:pPr>
      <w:r>
        <w:rPr>
          <w:rFonts w:hint="eastAsia" w:ascii="方正小标宋简体" w:hAnsi="宋体" w:eastAsia="方正小标宋简体"/>
          <w:color w:val="000000"/>
          <w:sz w:val="72"/>
          <w:szCs w:val="72"/>
        </w:rPr>
        <w:t>大龙潭乡中心学校      部门决算</w:t>
      </w:r>
      <w:bookmarkEnd w:id="6"/>
      <w:bookmarkEnd w:id="7"/>
      <w:bookmarkEnd w:id="8"/>
      <w:bookmarkEnd w:id="9"/>
      <w:bookmarkEnd w:id="10"/>
      <w:bookmarkEnd w:id="11"/>
    </w:p>
    <w:p w14:paraId="2B095225">
      <w:pPr>
        <w:widowControl/>
        <w:jc w:val="center"/>
        <w:rPr>
          <w:rFonts w:ascii="黑体" w:hAnsi="黑体" w:eastAsia="黑体"/>
          <w:color w:val="000000"/>
          <w:sz w:val="48"/>
          <w:szCs w:val="48"/>
        </w:rPr>
      </w:pPr>
      <w:r>
        <w:rPr>
          <w:rFonts w:ascii="方正小标宋简体" w:hAnsi="宋体" w:eastAsia="方正小标宋简体"/>
          <w:color w:val="000000"/>
          <w:sz w:val="36"/>
          <w:szCs w:val="36"/>
        </w:rPr>
        <w:br w:type="page"/>
      </w:r>
      <w:r>
        <w:rPr>
          <w:rFonts w:hint="eastAsia" w:ascii="黑体" w:hAnsi="黑体" w:eastAsia="黑体"/>
          <w:color w:val="000000"/>
          <w:sz w:val="48"/>
          <w:szCs w:val="48"/>
        </w:rPr>
        <w:t>目录</w:t>
      </w:r>
    </w:p>
    <w:p w14:paraId="2C5043EE">
      <w:pPr>
        <w:widowControl/>
        <w:jc w:val="center"/>
        <w:rPr>
          <w:rFonts w:ascii="黑体" w:hAnsi="黑体" w:eastAsia="黑体"/>
          <w:sz w:val="28"/>
          <w:szCs w:val="28"/>
        </w:rPr>
      </w:pPr>
      <w:bookmarkStart w:id="12" w:name="_Toc15377196"/>
      <w:bookmarkStart w:id="13" w:name="_Toc15396599"/>
      <w:r>
        <w:rPr>
          <w:rFonts w:ascii="黑体" w:hAnsi="黑体" w:eastAsia="黑体"/>
          <w:color w:val="000000"/>
          <w:sz w:val="48"/>
          <w:szCs w:val="48"/>
        </w:rPr>
        <w:fldChar w:fldCharType="begin"/>
      </w:r>
      <w:r>
        <w:rPr>
          <w:rFonts w:ascii="黑体" w:hAnsi="黑体" w:eastAsia="黑体"/>
          <w:color w:val="000000"/>
          <w:sz w:val="48"/>
          <w:szCs w:val="48"/>
        </w:rPr>
        <w:instrText xml:space="preserve"> TOC \o "1-2" \h \z \u </w:instrText>
      </w:r>
      <w:r>
        <w:rPr>
          <w:rFonts w:ascii="黑体" w:hAnsi="黑体" w:eastAsia="黑体"/>
          <w:color w:val="000000"/>
          <w:sz w:val="48"/>
          <w:szCs w:val="48"/>
        </w:rPr>
        <w:fldChar w:fldCharType="separate"/>
      </w:r>
    </w:p>
    <w:p w14:paraId="29F225FD"/>
    <w:p w14:paraId="72D1748D">
      <w:pPr>
        <w:pStyle w:val="10"/>
      </w:pPr>
      <w:r>
        <w:fldChar w:fldCharType="begin"/>
      </w:r>
      <w:r>
        <w:instrText xml:space="preserve"> HYPERLINK \l "_Toc15396599" </w:instrText>
      </w:r>
      <w:r>
        <w:fldChar w:fldCharType="separate"/>
      </w:r>
      <w:r>
        <w:rPr>
          <w:rStyle w:val="16"/>
          <w:rFonts w:hint="eastAsia"/>
        </w:rPr>
        <w:t>第一部分部门概况</w:t>
      </w:r>
      <w:r>
        <w:tab/>
      </w:r>
      <w:r>
        <w:t>4</w:t>
      </w:r>
      <w:r>
        <w:fldChar w:fldCharType="end"/>
      </w:r>
    </w:p>
    <w:p w14:paraId="7301E0AE">
      <w:pPr>
        <w:pStyle w:val="11"/>
        <w:rPr>
          <w:rFonts w:ascii="仿宋" w:hAnsi="仿宋" w:eastAsia="仿宋"/>
          <w:sz w:val="28"/>
          <w:szCs w:val="28"/>
        </w:rPr>
      </w:pPr>
      <w:r>
        <w:fldChar w:fldCharType="begin"/>
      </w:r>
      <w:r>
        <w:instrText xml:space="preserve"> HYPERLINK \l "_Toc15396600" </w:instrText>
      </w:r>
      <w:r>
        <w:fldChar w:fldCharType="separate"/>
      </w:r>
      <w:r>
        <w:rPr>
          <w:rStyle w:val="16"/>
          <w:rFonts w:hint="eastAsia" w:ascii="仿宋" w:hAnsi="仿宋" w:eastAsia="仿宋"/>
          <w:sz w:val="28"/>
          <w:szCs w:val="28"/>
        </w:rPr>
        <w:t>一、基本职能及主要工作</w:t>
      </w:r>
      <w:r>
        <w:rPr>
          <w:rFonts w:ascii="仿宋" w:hAnsi="仿宋" w:eastAsia="仿宋"/>
          <w:sz w:val="28"/>
          <w:szCs w:val="28"/>
        </w:rPr>
        <w:tab/>
      </w:r>
      <w:r>
        <w:rPr>
          <w:rFonts w:ascii="仿宋" w:hAnsi="仿宋" w:eastAsia="仿宋"/>
          <w:sz w:val="28"/>
          <w:szCs w:val="28"/>
        </w:rPr>
        <w:t>4</w:t>
      </w:r>
      <w:r>
        <w:rPr>
          <w:rFonts w:ascii="仿宋" w:hAnsi="仿宋" w:eastAsia="仿宋"/>
          <w:sz w:val="28"/>
          <w:szCs w:val="28"/>
        </w:rPr>
        <w:fldChar w:fldCharType="end"/>
      </w:r>
    </w:p>
    <w:p w14:paraId="682700D5">
      <w:pPr>
        <w:pStyle w:val="11"/>
        <w:rPr>
          <w:rFonts w:ascii="仿宋" w:hAnsi="仿宋" w:eastAsia="仿宋"/>
          <w:sz w:val="28"/>
          <w:szCs w:val="28"/>
        </w:rPr>
      </w:pPr>
      <w:r>
        <w:fldChar w:fldCharType="begin"/>
      </w:r>
      <w:r>
        <w:instrText xml:space="preserve"> HYPERLINK \l "_Toc15396601" </w:instrText>
      </w:r>
      <w:r>
        <w:fldChar w:fldCharType="separate"/>
      </w:r>
      <w:r>
        <w:rPr>
          <w:rStyle w:val="16"/>
          <w:rFonts w:hint="eastAsia" w:ascii="仿宋" w:hAnsi="仿宋" w:eastAsia="仿宋"/>
          <w:sz w:val="28"/>
          <w:szCs w:val="28"/>
        </w:rPr>
        <w:t>二、机构设置</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_Toc15396601 \h </w:instrText>
      </w:r>
      <w:r>
        <w:rPr>
          <w:rFonts w:ascii="仿宋" w:hAnsi="仿宋" w:eastAsia="仿宋"/>
          <w:sz w:val="28"/>
          <w:szCs w:val="28"/>
        </w:rPr>
        <w:fldChar w:fldCharType="separate"/>
      </w:r>
      <w:r>
        <w:rPr>
          <w:rFonts w:ascii="仿宋" w:hAnsi="仿宋" w:eastAsia="仿宋"/>
          <w:sz w:val="28"/>
          <w:szCs w:val="28"/>
        </w:rPr>
        <w:t>4</w:t>
      </w:r>
      <w:r>
        <w:rPr>
          <w:rFonts w:ascii="仿宋" w:hAnsi="仿宋" w:eastAsia="仿宋"/>
          <w:sz w:val="28"/>
          <w:szCs w:val="28"/>
        </w:rPr>
        <w:fldChar w:fldCharType="end"/>
      </w:r>
      <w:r>
        <w:rPr>
          <w:rFonts w:ascii="仿宋" w:hAnsi="仿宋" w:eastAsia="仿宋"/>
          <w:sz w:val="28"/>
          <w:szCs w:val="28"/>
        </w:rPr>
        <w:fldChar w:fldCharType="end"/>
      </w:r>
    </w:p>
    <w:p w14:paraId="189B5B91">
      <w:pPr>
        <w:pStyle w:val="10"/>
      </w:pPr>
      <w:r>
        <w:fldChar w:fldCharType="begin"/>
      </w:r>
      <w:r>
        <w:instrText xml:space="preserve"> HYPERLINK \l "_Toc15396602" </w:instrText>
      </w:r>
      <w:r>
        <w:fldChar w:fldCharType="separate"/>
      </w:r>
      <w:r>
        <w:rPr>
          <w:rStyle w:val="16"/>
          <w:rFonts w:hint="eastAsia"/>
        </w:rPr>
        <w:t>第二部分</w:t>
      </w:r>
      <w:r>
        <w:rPr>
          <w:rStyle w:val="16"/>
        </w:rPr>
        <w:t xml:space="preserve"> 2018</w:t>
      </w:r>
      <w:r>
        <w:rPr>
          <w:rStyle w:val="16"/>
          <w:rFonts w:hint="eastAsia"/>
        </w:rPr>
        <w:t>年度部门决算情况说明</w:t>
      </w:r>
      <w:r>
        <w:tab/>
      </w:r>
      <w:r>
        <w:rPr>
          <w:rFonts w:hint="eastAsia"/>
          <w:lang w:val="en-US" w:eastAsia="zh-CN"/>
        </w:rPr>
        <w:t>5</w:t>
      </w:r>
      <w:r>
        <w:fldChar w:fldCharType="end"/>
      </w:r>
    </w:p>
    <w:p w14:paraId="20D04B48">
      <w:pPr>
        <w:pStyle w:val="11"/>
        <w:rPr>
          <w:rFonts w:ascii="仿宋" w:hAnsi="仿宋" w:eastAsia="仿宋"/>
          <w:sz w:val="28"/>
          <w:szCs w:val="28"/>
        </w:rPr>
      </w:pPr>
      <w:r>
        <w:fldChar w:fldCharType="begin"/>
      </w:r>
      <w:r>
        <w:instrText xml:space="preserve"> HYPERLINK \l "_Toc15396603" </w:instrText>
      </w:r>
      <w:r>
        <w:fldChar w:fldCharType="separate"/>
      </w:r>
      <w:r>
        <w:rPr>
          <w:rStyle w:val="16"/>
          <w:rFonts w:hint="eastAsia" w:ascii="仿宋" w:hAnsi="仿宋" w:eastAsia="仿宋"/>
          <w:bCs/>
          <w:sz w:val="28"/>
          <w:szCs w:val="28"/>
        </w:rPr>
        <w:t>一、</w:t>
      </w:r>
      <w:r>
        <w:rPr>
          <w:rStyle w:val="16"/>
          <w:rFonts w:hint="eastAsia" w:ascii="仿宋" w:hAnsi="仿宋" w:eastAsia="仿宋"/>
          <w:sz w:val="28"/>
          <w:szCs w:val="28"/>
        </w:rPr>
        <w:t>收</w:t>
      </w:r>
      <w:r>
        <w:rPr>
          <w:rStyle w:val="16"/>
          <w:rFonts w:hint="eastAsia" w:ascii="仿宋" w:hAnsi="仿宋" w:eastAsia="仿宋"/>
          <w:bCs/>
          <w:sz w:val="28"/>
          <w:szCs w:val="28"/>
        </w:rPr>
        <w:t>入支出决算总体情况说明</w:t>
      </w:r>
      <w:r>
        <w:rPr>
          <w:rFonts w:ascii="仿宋" w:hAnsi="仿宋" w:eastAsia="仿宋"/>
          <w:sz w:val="28"/>
          <w:szCs w:val="28"/>
        </w:rPr>
        <w:tab/>
      </w:r>
      <w:r>
        <w:rPr>
          <w:rFonts w:hint="eastAsia" w:ascii="仿宋" w:hAnsi="仿宋" w:eastAsia="仿宋"/>
          <w:sz w:val="28"/>
          <w:szCs w:val="28"/>
          <w:lang w:val="en-US" w:eastAsia="zh-CN"/>
        </w:rPr>
        <w:t>5</w:t>
      </w:r>
      <w:r>
        <w:rPr>
          <w:rFonts w:ascii="仿宋" w:hAnsi="仿宋" w:eastAsia="仿宋"/>
          <w:sz w:val="28"/>
          <w:szCs w:val="28"/>
        </w:rPr>
        <w:fldChar w:fldCharType="end"/>
      </w:r>
    </w:p>
    <w:p w14:paraId="2C6D0603">
      <w:pPr>
        <w:pStyle w:val="11"/>
        <w:rPr>
          <w:rFonts w:ascii="仿宋" w:hAnsi="仿宋" w:eastAsia="仿宋"/>
          <w:sz w:val="28"/>
          <w:szCs w:val="28"/>
        </w:rPr>
      </w:pPr>
      <w:r>
        <w:fldChar w:fldCharType="begin"/>
      </w:r>
      <w:r>
        <w:instrText xml:space="preserve"> HYPERLINK \l "_Toc15396604" </w:instrText>
      </w:r>
      <w:r>
        <w:fldChar w:fldCharType="separate"/>
      </w:r>
      <w:r>
        <w:rPr>
          <w:rStyle w:val="16"/>
          <w:rFonts w:hint="eastAsia" w:ascii="仿宋" w:hAnsi="仿宋" w:eastAsia="仿宋"/>
          <w:bCs/>
          <w:sz w:val="28"/>
          <w:szCs w:val="28"/>
        </w:rPr>
        <w:t>二、</w:t>
      </w:r>
      <w:r>
        <w:rPr>
          <w:rStyle w:val="16"/>
          <w:rFonts w:hint="eastAsia" w:ascii="仿宋" w:hAnsi="仿宋" w:eastAsia="仿宋"/>
          <w:sz w:val="28"/>
          <w:szCs w:val="28"/>
        </w:rPr>
        <w:t>收</w:t>
      </w:r>
      <w:r>
        <w:rPr>
          <w:rStyle w:val="16"/>
          <w:rFonts w:hint="eastAsia" w:ascii="仿宋" w:hAnsi="仿宋" w:eastAsia="仿宋"/>
          <w:bCs/>
          <w:sz w:val="28"/>
          <w:szCs w:val="28"/>
        </w:rPr>
        <w:t>入决算情况说明</w:t>
      </w:r>
      <w:r>
        <w:rPr>
          <w:rFonts w:ascii="仿宋" w:hAnsi="仿宋" w:eastAsia="仿宋"/>
          <w:sz w:val="28"/>
          <w:szCs w:val="28"/>
        </w:rPr>
        <w:tab/>
      </w:r>
      <w:r>
        <w:rPr>
          <w:rFonts w:hint="eastAsia" w:ascii="仿宋" w:hAnsi="仿宋" w:eastAsia="仿宋"/>
          <w:sz w:val="28"/>
          <w:szCs w:val="28"/>
          <w:lang w:val="en-US" w:eastAsia="zh-CN"/>
        </w:rPr>
        <w:t>5</w:t>
      </w:r>
      <w:r>
        <w:rPr>
          <w:rFonts w:ascii="仿宋" w:hAnsi="仿宋" w:eastAsia="仿宋"/>
          <w:sz w:val="28"/>
          <w:szCs w:val="28"/>
        </w:rPr>
        <w:fldChar w:fldCharType="end"/>
      </w:r>
    </w:p>
    <w:p w14:paraId="7C9CDA11">
      <w:pPr>
        <w:pStyle w:val="11"/>
        <w:rPr>
          <w:rFonts w:ascii="仿宋" w:hAnsi="仿宋" w:eastAsia="仿宋"/>
          <w:sz w:val="28"/>
          <w:szCs w:val="28"/>
        </w:rPr>
      </w:pPr>
      <w:r>
        <w:fldChar w:fldCharType="begin"/>
      </w:r>
      <w:r>
        <w:instrText xml:space="preserve"> HYPERLINK \l "_Toc15396605" </w:instrText>
      </w:r>
      <w:r>
        <w:fldChar w:fldCharType="separate"/>
      </w:r>
      <w:r>
        <w:rPr>
          <w:rStyle w:val="16"/>
          <w:rFonts w:hint="eastAsia" w:ascii="仿宋" w:hAnsi="仿宋" w:eastAsia="仿宋"/>
          <w:bCs/>
          <w:sz w:val="28"/>
          <w:szCs w:val="28"/>
        </w:rPr>
        <w:t>三、</w:t>
      </w:r>
      <w:r>
        <w:rPr>
          <w:rStyle w:val="16"/>
          <w:rFonts w:hint="eastAsia" w:ascii="仿宋" w:hAnsi="仿宋" w:eastAsia="仿宋"/>
          <w:sz w:val="28"/>
          <w:szCs w:val="28"/>
        </w:rPr>
        <w:t>支</w:t>
      </w:r>
      <w:r>
        <w:rPr>
          <w:rStyle w:val="16"/>
          <w:rFonts w:hint="eastAsia" w:ascii="仿宋" w:hAnsi="仿宋" w:eastAsia="仿宋"/>
          <w:bCs/>
          <w:sz w:val="28"/>
          <w:szCs w:val="28"/>
        </w:rPr>
        <w:t>出决算情况说明</w:t>
      </w:r>
      <w:r>
        <w:rPr>
          <w:rFonts w:ascii="仿宋" w:hAnsi="仿宋" w:eastAsia="仿宋"/>
          <w:sz w:val="28"/>
          <w:szCs w:val="28"/>
        </w:rPr>
        <w:tab/>
      </w:r>
      <w:r>
        <w:rPr>
          <w:rFonts w:hint="eastAsia" w:ascii="仿宋" w:hAnsi="仿宋" w:eastAsia="仿宋"/>
          <w:sz w:val="28"/>
          <w:szCs w:val="28"/>
          <w:lang w:val="en-US" w:eastAsia="zh-CN"/>
        </w:rPr>
        <w:t>5</w:t>
      </w:r>
      <w:r>
        <w:rPr>
          <w:rFonts w:ascii="仿宋" w:hAnsi="仿宋" w:eastAsia="仿宋"/>
          <w:sz w:val="28"/>
          <w:szCs w:val="28"/>
        </w:rPr>
        <w:fldChar w:fldCharType="end"/>
      </w:r>
    </w:p>
    <w:p w14:paraId="61073168">
      <w:pPr>
        <w:pStyle w:val="11"/>
        <w:rPr>
          <w:rFonts w:ascii="仿宋" w:hAnsi="仿宋" w:eastAsia="仿宋"/>
          <w:sz w:val="28"/>
          <w:szCs w:val="28"/>
        </w:rPr>
      </w:pPr>
      <w:r>
        <w:fldChar w:fldCharType="begin"/>
      </w:r>
      <w:r>
        <w:instrText xml:space="preserve"> HYPERLINK \l "_Toc15396606" </w:instrText>
      </w:r>
      <w:r>
        <w:fldChar w:fldCharType="separate"/>
      </w:r>
      <w:r>
        <w:rPr>
          <w:rStyle w:val="16"/>
          <w:rFonts w:hint="eastAsia" w:ascii="仿宋" w:hAnsi="仿宋" w:eastAsia="仿宋"/>
          <w:sz w:val="28"/>
          <w:szCs w:val="28"/>
        </w:rPr>
        <w:t>四、财</w:t>
      </w:r>
      <w:r>
        <w:rPr>
          <w:rStyle w:val="16"/>
          <w:rFonts w:hint="eastAsia" w:ascii="仿宋" w:hAnsi="仿宋" w:eastAsia="仿宋"/>
          <w:bCs/>
          <w:sz w:val="28"/>
          <w:szCs w:val="28"/>
        </w:rPr>
        <w:t>政拨款收入支出决算总体情况说明</w:t>
      </w:r>
      <w:r>
        <w:rPr>
          <w:rFonts w:ascii="仿宋" w:hAnsi="仿宋" w:eastAsia="仿宋"/>
          <w:sz w:val="28"/>
          <w:szCs w:val="28"/>
        </w:rPr>
        <w:tab/>
      </w:r>
      <w:r>
        <w:rPr>
          <w:rFonts w:hint="eastAsia" w:ascii="仿宋" w:hAnsi="仿宋" w:eastAsia="仿宋"/>
          <w:sz w:val="28"/>
          <w:szCs w:val="28"/>
          <w:lang w:val="en-US" w:eastAsia="zh-CN"/>
        </w:rPr>
        <w:t>5</w:t>
      </w:r>
      <w:r>
        <w:rPr>
          <w:rFonts w:ascii="仿宋" w:hAnsi="仿宋" w:eastAsia="仿宋"/>
          <w:sz w:val="28"/>
          <w:szCs w:val="28"/>
        </w:rPr>
        <w:fldChar w:fldCharType="end"/>
      </w:r>
    </w:p>
    <w:p w14:paraId="0F77751F">
      <w:pPr>
        <w:pStyle w:val="11"/>
        <w:rPr>
          <w:rFonts w:ascii="仿宋" w:hAnsi="仿宋" w:eastAsia="仿宋"/>
          <w:sz w:val="28"/>
          <w:szCs w:val="28"/>
        </w:rPr>
      </w:pPr>
      <w:r>
        <w:fldChar w:fldCharType="begin"/>
      </w:r>
      <w:r>
        <w:instrText xml:space="preserve"> HYPERLINK \l "_Toc15396607" </w:instrText>
      </w:r>
      <w:r>
        <w:fldChar w:fldCharType="separate"/>
      </w:r>
      <w:r>
        <w:rPr>
          <w:rStyle w:val="16"/>
          <w:rFonts w:hint="eastAsia" w:ascii="仿宋" w:hAnsi="仿宋" w:eastAsia="仿宋"/>
          <w:sz w:val="28"/>
          <w:szCs w:val="28"/>
        </w:rPr>
        <w:t>五、一</w:t>
      </w:r>
      <w:r>
        <w:rPr>
          <w:rStyle w:val="16"/>
          <w:rFonts w:hint="eastAsia" w:ascii="仿宋" w:hAnsi="仿宋" w:eastAsia="仿宋"/>
          <w:bCs/>
          <w:sz w:val="28"/>
          <w:szCs w:val="28"/>
        </w:rPr>
        <w:t>般公共预算财政拨款支出决算情况说明</w:t>
      </w:r>
      <w:r>
        <w:rPr>
          <w:rFonts w:ascii="仿宋" w:hAnsi="仿宋" w:eastAsia="仿宋"/>
          <w:sz w:val="28"/>
          <w:szCs w:val="28"/>
        </w:rPr>
        <w:tab/>
      </w:r>
      <w:r>
        <w:rPr>
          <w:rFonts w:hint="eastAsia" w:ascii="仿宋" w:hAnsi="仿宋" w:eastAsia="仿宋"/>
          <w:sz w:val="28"/>
          <w:szCs w:val="28"/>
          <w:lang w:val="en-US" w:eastAsia="zh-CN"/>
        </w:rPr>
        <w:t>5</w:t>
      </w:r>
      <w:r>
        <w:rPr>
          <w:rFonts w:ascii="仿宋" w:hAnsi="仿宋" w:eastAsia="仿宋"/>
          <w:sz w:val="28"/>
          <w:szCs w:val="28"/>
        </w:rPr>
        <w:fldChar w:fldCharType="end"/>
      </w:r>
    </w:p>
    <w:p w14:paraId="120F8B5B">
      <w:pPr>
        <w:pStyle w:val="11"/>
        <w:rPr>
          <w:rFonts w:ascii="仿宋" w:hAnsi="仿宋" w:eastAsia="仿宋"/>
          <w:sz w:val="28"/>
          <w:szCs w:val="28"/>
        </w:rPr>
      </w:pPr>
      <w:r>
        <w:fldChar w:fldCharType="begin"/>
      </w:r>
      <w:r>
        <w:instrText xml:space="preserve"> HYPERLINK \l "_Toc15396608" </w:instrText>
      </w:r>
      <w:r>
        <w:fldChar w:fldCharType="separate"/>
      </w:r>
      <w:r>
        <w:rPr>
          <w:rStyle w:val="16"/>
          <w:rFonts w:hint="eastAsia" w:ascii="仿宋" w:hAnsi="仿宋" w:eastAsia="仿宋"/>
          <w:sz w:val="28"/>
          <w:szCs w:val="28"/>
        </w:rPr>
        <w:t>六、一</w:t>
      </w:r>
      <w:r>
        <w:rPr>
          <w:rStyle w:val="16"/>
          <w:rFonts w:hint="eastAsia" w:ascii="仿宋" w:hAnsi="仿宋" w:eastAsia="仿宋"/>
          <w:bCs/>
          <w:sz w:val="28"/>
          <w:szCs w:val="28"/>
        </w:rPr>
        <w:t>般公共预算财政拨款基本支出决算情况说明</w:t>
      </w:r>
      <w:r>
        <w:rPr>
          <w:rFonts w:ascii="仿宋" w:hAnsi="仿宋" w:eastAsia="仿宋"/>
          <w:sz w:val="28"/>
          <w:szCs w:val="28"/>
        </w:rPr>
        <w:tab/>
      </w:r>
      <w:r>
        <w:rPr>
          <w:rFonts w:hint="eastAsia" w:ascii="仿宋" w:hAnsi="仿宋" w:eastAsia="仿宋"/>
          <w:sz w:val="28"/>
          <w:szCs w:val="28"/>
          <w:lang w:val="en-US" w:eastAsia="zh-CN"/>
        </w:rPr>
        <w:t>7</w:t>
      </w:r>
      <w:r>
        <w:rPr>
          <w:rFonts w:ascii="仿宋" w:hAnsi="仿宋" w:eastAsia="仿宋"/>
          <w:sz w:val="28"/>
          <w:szCs w:val="28"/>
        </w:rPr>
        <w:fldChar w:fldCharType="end"/>
      </w:r>
    </w:p>
    <w:p w14:paraId="64F607E7">
      <w:pPr>
        <w:pStyle w:val="11"/>
        <w:rPr>
          <w:rFonts w:ascii="仿宋" w:hAnsi="仿宋" w:eastAsia="仿宋"/>
          <w:sz w:val="28"/>
          <w:szCs w:val="28"/>
        </w:rPr>
      </w:pPr>
      <w:r>
        <w:fldChar w:fldCharType="begin"/>
      </w:r>
      <w:r>
        <w:instrText xml:space="preserve"> HYPERLINK \l "_Toc15396609" </w:instrText>
      </w:r>
      <w:r>
        <w:fldChar w:fldCharType="separate"/>
      </w:r>
      <w:r>
        <w:rPr>
          <w:rStyle w:val="16"/>
          <w:rFonts w:hint="eastAsia" w:ascii="仿宋" w:hAnsi="仿宋" w:eastAsia="仿宋"/>
          <w:sz w:val="28"/>
          <w:szCs w:val="28"/>
        </w:rPr>
        <w:t>七、“</w:t>
      </w:r>
      <w:r>
        <w:rPr>
          <w:rStyle w:val="16"/>
          <w:rFonts w:hint="eastAsia" w:ascii="仿宋" w:hAnsi="仿宋" w:eastAsia="仿宋"/>
          <w:bCs/>
          <w:sz w:val="28"/>
          <w:szCs w:val="28"/>
        </w:rPr>
        <w:t>三公”经费财政拨款支出决算情况说明</w:t>
      </w:r>
      <w:r>
        <w:rPr>
          <w:rFonts w:ascii="仿宋" w:hAnsi="仿宋" w:eastAsia="仿宋"/>
          <w:sz w:val="28"/>
          <w:szCs w:val="28"/>
        </w:rPr>
        <w:tab/>
      </w:r>
      <w:r>
        <w:rPr>
          <w:rFonts w:hint="eastAsia" w:ascii="仿宋" w:hAnsi="仿宋" w:eastAsia="仿宋"/>
          <w:sz w:val="28"/>
          <w:szCs w:val="28"/>
          <w:lang w:val="en-US" w:eastAsia="zh-CN"/>
        </w:rPr>
        <w:t>7</w:t>
      </w:r>
      <w:r>
        <w:rPr>
          <w:rFonts w:ascii="仿宋" w:hAnsi="仿宋" w:eastAsia="仿宋"/>
          <w:sz w:val="28"/>
          <w:szCs w:val="28"/>
        </w:rPr>
        <w:fldChar w:fldCharType="end"/>
      </w:r>
    </w:p>
    <w:p w14:paraId="72B9DA97">
      <w:pPr>
        <w:pStyle w:val="11"/>
        <w:rPr>
          <w:rFonts w:ascii="仿宋" w:hAnsi="仿宋" w:eastAsia="仿宋"/>
          <w:sz w:val="28"/>
          <w:szCs w:val="28"/>
        </w:rPr>
      </w:pPr>
      <w:r>
        <w:fldChar w:fldCharType="begin"/>
      </w:r>
      <w:r>
        <w:instrText xml:space="preserve"> HYPERLINK \l "_Toc15396610" </w:instrText>
      </w:r>
      <w:r>
        <w:fldChar w:fldCharType="separate"/>
      </w:r>
      <w:r>
        <w:rPr>
          <w:rStyle w:val="16"/>
          <w:rFonts w:hint="eastAsia" w:ascii="仿宋" w:hAnsi="仿宋" w:eastAsia="仿宋"/>
          <w:sz w:val="28"/>
          <w:szCs w:val="28"/>
        </w:rPr>
        <w:t>八、</w:t>
      </w:r>
      <w:r>
        <w:rPr>
          <w:rStyle w:val="16"/>
          <w:rFonts w:hint="eastAsia" w:ascii="仿宋" w:hAnsi="仿宋" w:eastAsia="仿宋"/>
          <w:bCs/>
          <w:sz w:val="28"/>
          <w:szCs w:val="28"/>
        </w:rPr>
        <w:t>政府性基金预算支出决算情况说明</w:t>
      </w:r>
      <w:r>
        <w:rPr>
          <w:rFonts w:ascii="仿宋" w:hAnsi="仿宋" w:eastAsia="仿宋"/>
          <w:sz w:val="28"/>
          <w:szCs w:val="28"/>
        </w:rPr>
        <w:tab/>
      </w:r>
      <w:r>
        <w:rPr>
          <w:rFonts w:hint="eastAsia" w:ascii="仿宋" w:hAnsi="仿宋" w:eastAsia="仿宋"/>
          <w:sz w:val="28"/>
          <w:szCs w:val="28"/>
          <w:lang w:val="en-US" w:eastAsia="zh-CN"/>
        </w:rPr>
        <w:t>8</w:t>
      </w:r>
      <w:r>
        <w:rPr>
          <w:rFonts w:ascii="仿宋" w:hAnsi="仿宋" w:eastAsia="仿宋"/>
          <w:sz w:val="28"/>
          <w:szCs w:val="28"/>
        </w:rPr>
        <w:fldChar w:fldCharType="end"/>
      </w:r>
    </w:p>
    <w:p w14:paraId="46F018B7">
      <w:pPr>
        <w:pStyle w:val="11"/>
        <w:rPr>
          <w:rFonts w:ascii="仿宋" w:hAnsi="仿宋" w:eastAsia="仿宋"/>
          <w:sz w:val="28"/>
          <w:szCs w:val="28"/>
        </w:rPr>
      </w:pPr>
      <w:r>
        <w:fldChar w:fldCharType="begin"/>
      </w:r>
      <w:r>
        <w:instrText xml:space="preserve"> HYPERLINK \l "_Toc15396611" </w:instrText>
      </w:r>
      <w:r>
        <w:fldChar w:fldCharType="separate"/>
      </w:r>
      <w:r>
        <w:rPr>
          <w:rStyle w:val="16"/>
          <w:rFonts w:hint="eastAsia" w:ascii="仿宋" w:hAnsi="仿宋" w:eastAsia="仿宋"/>
          <w:bCs/>
          <w:sz w:val="28"/>
          <w:szCs w:val="28"/>
        </w:rPr>
        <w:t>九、</w:t>
      </w:r>
      <w:r>
        <w:rPr>
          <w:rStyle w:val="16"/>
          <w:rFonts w:ascii="仿宋" w:hAnsi="仿宋" w:eastAsia="仿宋"/>
          <w:sz w:val="28"/>
          <w:szCs w:val="28"/>
        </w:rPr>
        <w:t xml:space="preserve"> </w:t>
      </w:r>
      <w:r>
        <w:rPr>
          <w:rStyle w:val="16"/>
          <w:rFonts w:hint="eastAsia" w:ascii="仿宋" w:hAnsi="仿宋" w:eastAsia="仿宋"/>
          <w:sz w:val="28"/>
          <w:szCs w:val="28"/>
        </w:rPr>
        <w:t>国</w:t>
      </w:r>
      <w:r>
        <w:rPr>
          <w:rStyle w:val="16"/>
          <w:rFonts w:hint="eastAsia" w:ascii="仿宋" w:hAnsi="仿宋" w:eastAsia="仿宋"/>
          <w:bCs/>
          <w:sz w:val="28"/>
          <w:szCs w:val="28"/>
        </w:rPr>
        <w:t>有资本经营预算支出决算情况说明</w:t>
      </w:r>
      <w:r>
        <w:rPr>
          <w:rFonts w:ascii="仿宋" w:hAnsi="仿宋" w:eastAsia="仿宋"/>
          <w:sz w:val="28"/>
          <w:szCs w:val="28"/>
        </w:rPr>
        <w:tab/>
      </w:r>
      <w:r>
        <w:rPr>
          <w:rFonts w:hint="eastAsia" w:ascii="仿宋" w:hAnsi="仿宋" w:eastAsia="仿宋"/>
          <w:sz w:val="28"/>
          <w:szCs w:val="28"/>
          <w:lang w:val="en-US" w:eastAsia="zh-CN"/>
        </w:rPr>
        <w:t>8</w:t>
      </w:r>
      <w:r>
        <w:rPr>
          <w:rFonts w:ascii="仿宋" w:hAnsi="仿宋" w:eastAsia="仿宋"/>
          <w:sz w:val="28"/>
          <w:szCs w:val="28"/>
        </w:rPr>
        <w:fldChar w:fldCharType="end"/>
      </w:r>
    </w:p>
    <w:p w14:paraId="43FD3D51">
      <w:pPr>
        <w:pStyle w:val="11"/>
        <w:rPr>
          <w:rFonts w:ascii="仿宋" w:hAnsi="仿宋" w:eastAsia="仿宋"/>
          <w:sz w:val="28"/>
          <w:szCs w:val="28"/>
        </w:rPr>
      </w:pPr>
      <w:r>
        <w:fldChar w:fldCharType="begin"/>
      </w:r>
      <w:r>
        <w:instrText xml:space="preserve"> HYPERLINK \l "_Toc15396612" </w:instrText>
      </w:r>
      <w:r>
        <w:fldChar w:fldCharType="separate"/>
      </w:r>
      <w:r>
        <w:rPr>
          <w:rStyle w:val="16"/>
          <w:rFonts w:hint="eastAsia" w:ascii="仿宋" w:hAnsi="仿宋" w:eastAsia="仿宋"/>
          <w:sz w:val="28"/>
          <w:szCs w:val="28"/>
        </w:rPr>
        <w:t>十</w:t>
      </w:r>
      <w:r>
        <w:rPr>
          <w:rStyle w:val="16"/>
          <w:rFonts w:hint="eastAsia" w:ascii="仿宋" w:hAnsi="仿宋" w:eastAsia="仿宋"/>
          <w:bCs/>
          <w:sz w:val="28"/>
          <w:szCs w:val="28"/>
        </w:rPr>
        <w:t>、预算绩效情况说明</w:t>
      </w:r>
      <w:r>
        <w:rPr>
          <w:rFonts w:ascii="仿宋" w:hAnsi="仿宋" w:eastAsia="仿宋"/>
          <w:sz w:val="28"/>
          <w:szCs w:val="28"/>
        </w:rPr>
        <w:tab/>
      </w:r>
      <w:r>
        <w:rPr>
          <w:rFonts w:hint="eastAsia" w:ascii="仿宋" w:hAnsi="仿宋" w:eastAsia="仿宋"/>
          <w:sz w:val="28"/>
          <w:szCs w:val="28"/>
          <w:lang w:val="en-US" w:eastAsia="zh-CN"/>
        </w:rPr>
        <w:t>8</w:t>
      </w:r>
      <w:r>
        <w:rPr>
          <w:rFonts w:ascii="仿宋" w:hAnsi="仿宋" w:eastAsia="仿宋"/>
          <w:sz w:val="28"/>
          <w:szCs w:val="28"/>
        </w:rPr>
        <w:fldChar w:fldCharType="end"/>
      </w:r>
    </w:p>
    <w:p w14:paraId="74974315">
      <w:pPr>
        <w:pStyle w:val="11"/>
        <w:rPr>
          <w:rFonts w:ascii="仿宋" w:hAnsi="仿宋" w:eastAsia="仿宋"/>
          <w:sz w:val="28"/>
          <w:szCs w:val="28"/>
        </w:rPr>
      </w:pPr>
      <w:r>
        <w:fldChar w:fldCharType="begin"/>
      </w:r>
      <w:r>
        <w:instrText xml:space="preserve"> HYPERLINK \l "_Toc15396612" </w:instrText>
      </w:r>
      <w:r>
        <w:fldChar w:fldCharType="separate"/>
      </w:r>
      <w:r>
        <w:rPr>
          <w:rStyle w:val="16"/>
          <w:rFonts w:hint="eastAsia" w:ascii="仿宋" w:hAnsi="仿宋" w:eastAsia="仿宋"/>
          <w:sz w:val="28"/>
          <w:szCs w:val="28"/>
        </w:rPr>
        <w:t>十</w:t>
      </w:r>
      <w:r>
        <w:rPr>
          <w:rStyle w:val="16"/>
          <w:rFonts w:hint="eastAsia" w:ascii="仿宋" w:hAnsi="仿宋" w:eastAsia="仿宋"/>
          <w:bCs/>
          <w:sz w:val="28"/>
          <w:szCs w:val="28"/>
        </w:rPr>
        <w:t>一、其他重要事项的情况说明</w:t>
      </w:r>
      <w:r>
        <w:rPr>
          <w:rFonts w:ascii="仿宋" w:hAnsi="仿宋" w:eastAsia="仿宋"/>
          <w:sz w:val="28"/>
          <w:szCs w:val="28"/>
        </w:rPr>
        <w:tab/>
      </w:r>
      <w:r>
        <w:rPr>
          <w:rFonts w:hint="eastAsia" w:ascii="仿宋" w:hAnsi="仿宋" w:eastAsia="仿宋"/>
          <w:sz w:val="28"/>
          <w:szCs w:val="28"/>
          <w:lang w:val="en-US" w:eastAsia="zh-CN"/>
        </w:rPr>
        <w:t>1</w:t>
      </w:r>
      <w:r>
        <w:rPr>
          <w:rFonts w:ascii="仿宋" w:hAnsi="仿宋" w:eastAsia="仿宋"/>
          <w:sz w:val="28"/>
          <w:szCs w:val="28"/>
        </w:rPr>
        <w:fldChar w:fldCharType="end"/>
      </w:r>
      <w:r>
        <w:rPr>
          <w:rFonts w:hint="eastAsia" w:ascii="仿宋" w:hAnsi="仿宋" w:eastAsia="仿宋"/>
          <w:sz w:val="28"/>
          <w:szCs w:val="28"/>
          <w:lang w:val="en-US" w:eastAsia="zh-CN"/>
        </w:rPr>
        <w:t>3</w:t>
      </w:r>
    </w:p>
    <w:p w14:paraId="2B8A473E">
      <w:pPr>
        <w:pStyle w:val="10"/>
      </w:pPr>
      <w:r>
        <w:fldChar w:fldCharType="begin"/>
      </w:r>
      <w:r>
        <w:instrText xml:space="preserve"> HYPERLINK \l "_Toc15396613" </w:instrText>
      </w:r>
      <w:r>
        <w:fldChar w:fldCharType="separate"/>
      </w:r>
      <w:r>
        <w:rPr>
          <w:rStyle w:val="16"/>
          <w:rFonts w:hint="eastAsia"/>
          <w:bCs/>
          <w:kern w:val="44"/>
        </w:rPr>
        <w:t>第三部分</w:t>
      </w:r>
      <w:r>
        <w:rPr>
          <w:rStyle w:val="16"/>
        </w:rPr>
        <w:t xml:space="preserve"> </w:t>
      </w:r>
      <w:r>
        <w:rPr>
          <w:rStyle w:val="16"/>
          <w:rFonts w:hint="eastAsia"/>
        </w:rPr>
        <w:t>名</w:t>
      </w:r>
      <w:r>
        <w:rPr>
          <w:rStyle w:val="16"/>
          <w:rFonts w:hint="eastAsia"/>
          <w:bCs/>
          <w:kern w:val="44"/>
        </w:rPr>
        <w:t>词解释</w:t>
      </w:r>
      <w:r>
        <w:tab/>
      </w:r>
      <w:r>
        <w:rPr>
          <w:rFonts w:hint="eastAsia"/>
          <w:lang w:val="en-US" w:eastAsia="zh-CN"/>
        </w:rPr>
        <w:t>1</w:t>
      </w:r>
      <w:r>
        <w:fldChar w:fldCharType="end"/>
      </w:r>
      <w:r>
        <w:rPr>
          <w:rFonts w:hint="eastAsia"/>
          <w:lang w:val="en-US" w:eastAsia="zh-CN"/>
        </w:rPr>
        <w:t>5</w:t>
      </w:r>
    </w:p>
    <w:p w14:paraId="24E642F3">
      <w:pPr>
        <w:pStyle w:val="10"/>
      </w:pPr>
      <w:r>
        <w:fldChar w:fldCharType="begin"/>
      </w:r>
      <w:r>
        <w:instrText xml:space="preserve"> HYPERLINK \l "_Toc15396614" </w:instrText>
      </w:r>
      <w:r>
        <w:fldChar w:fldCharType="separate"/>
      </w:r>
      <w:r>
        <w:rPr>
          <w:rStyle w:val="16"/>
          <w:rFonts w:hint="eastAsia"/>
        </w:rPr>
        <w:t>第</w:t>
      </w:r>
      <w:r>
        <w:rPr>
          <w:rStyle w:val="16"/>
          <w:rFonts w:hint="eastAsia"/>
          <w:bCs/>
          <w:kern w:val="44"/>
        </w:rPr>
        <w:t>四部分附件</w:t>
      </w:r>
      <w:r>
        <w:tab/>
      </w:r>
      <w:r>
        <w:rPr>
          <w:rFonts w:hint="eastAsia"/>
          <w:lang w:val="en-US" w:eastAsia="zh-CN"/>
        </w:rPr>
        <w:t>1</w:t>
      </w:r>
      <w:r>
        <w:fldChar w:fldCharType="end"/>
      </w:r>
      <w:r>
        <w:rPr>
          <w:rFonts w:hint="eastAsia"/>
          <w:lang w:val="en-US" w:eastAsia="zh-CN"/>
        </w:rPr>
        <w:t>7</w:t>
      </w:r>
    </w:p>
    <w:p w14:paraId="4459362E">
      <w:pPr>
        <w:pStyle w:val="11"/>
        <w:rPr>
          <w:rFonts w:ascii="仿宋" w:hAnsi="仿宋" w:eastAsia="仿宋"/>
          <w:sz w:val="28"/>
          <w:szCs w:val="28"/>
        </w:rPr>
      </w:pPr>
      <w:r>
        <w:fldChar w:fldCharType="begin"/>
      </w:r>
      <w:r>
        <w:instrText xml:space="preserve"> HYPERLINK \l "_Toc15396615" </w:instrText>
      </w:r>
      <w:r>
        <w:fldChar w:fldCharType="separate"/>
      </w:r>
      <w:r>
        <w:rPr>
          <w:rStyle w:val="16"/>
          <w:rFonts w:hint="eastAsia" w:ascii="仿宋" w:hAnsi="仿宋" w:eastAsia="仿宋"/>
          <w:kern w:val="44"/>
          <w:sz w:val="28"/>
          <w:szCs w:val="28"/>
        </w:rPr>
        <w:t>附件</w:t>
      </w:r>
      <w:r>
        <w:rPr>
          <w:rStyle w:val="16"/>
          <w:rFonts w:ascii="仿宋" w:hAnsi="仿宋" w:eastAsia="仿宋"/>
          <w:kern w:val="44"/>
          <w:sz w:val="28"/>
          <w:szCs w:val="28"/>
        </w:rPr>
        <w:t>1</w:t>
      </w:r>
      <w:r>
        <w:rPr>
          <w:rFonts w:ascii="仿宋" w:hAnsi="仿宋" w:eastAsia="仿宋"/>
          <w:sz w:val="28"/>
          <w:szCs w:val="28"/>
        </w:rPr>
        <w:tab/>
      </w:r>
      <w:r>
        <w:rPr>
          <w:rFonts w:hint="eastAsia" w:ascii="仿宋" w:hAnsi="仿宋" w:eastAsia="仿宋"/>
          <w:sz w:val="28"/>
          <w:szCs w:val="28"/>
          <w:lang w:val="en-US" w:eastAsia="zh-CN"/>
        </w:rPr>
        <w:t>1</w:t>
      </w:r>
      <w:r>
        <w:rPr>
          <w:rFonts w:ascii="仿宋" w:hAnsi="仿宋" w:eastAsia="仿宋"/>
          <w:sz w:val="28"/>
          <w:szCs w:val="28"/>
        </w:rPr>
        <w:fldChar w:fldCharType="end"/>
      </w:r>
      <w:r>
        <w:rPr>
          <w:rFonts w:hint="eastAsia" w:ascii="仿宋" w:hAnsi="仿宋" w:eastAsia="仿宋"/>
          <w:sz w:val="28"/>
          <w:szCs w:val="28"/>
          <w:lang w:val="en-US" w:eastAsia="zh-CN"/>
        </w:rPr>
        <w:t>7</w:t>
      </w:r>
    </w:p>
    <w:p w14:paraId="1DEE227D">
      <w:pPr>
        <w:pStyle w:val="11"/>
        <w:rPr>
          <w:rFonts w:ascii="仿宋" w:hAnsi="仿宋" w:eastAsia="仿宋"/>
          <w:sz w:val="28"/>
          <w:szCs w:val="28"/>
        </w:rPr>
      </w:pPr>
      <w:r>
        <w:fldChar w:fldCharType="begin"/>
      </w:r>
      <w:r>
        <w:instrText xml:space="preserve"> HYPERLINK \l "_Toc15396617" </w:instrText>
      </w:r>
      <w:r>
        <w:fldChar w:fldCharType="separate"/>
      </w:r>
      <w:r>
        <w:rPr>
          <w:rStyle w:val="16"/>
          <w:rFonts w:hint="eastAsia" w:ascii="仿宋" w:hAnsi="仿宋" w:eastAsia="仿宋"/>
          <w:kern w:val="44"/>
          <w:sz w:val="28"/>
          <w:szCs w:val="28"/>
        </w:rPr>
        <w:t>附件</w:t>
      </w:r>
      <w:r>
        <w:rPr>
          <w:rStyle w:val="16"/>
          <w:rFonts w:ascii="仿宋" w:hAnsi="仿宋" w:eastAsia="仿宋"/>
          <w:kern w:val="44"/>
          <w:sz w:val="28"/>
          <w:szCs w:val="28"/>
        </w:rPr>
        <w:t>2</w:t>
      </w:r>
      <w:r>
        <w:rPr>
          <w:rFonts w:ascii="仿宋" w:hAnsi="仿宋" w:eastAsia="仿宋"/>
          <w:sz w:val="28"/>
          <w:szCs w:val="28"/>
        </w:rPr>
        <w:tab/>
      </w:r>
      <w:r>
        <w:rPr>
          <w:rFonts w:hint="eastAsia" w:ascii="仿宋" w:hAnsi="仿宋" w:eastAsia="仿宋"/>
          <w:sz w:val="28"/>
          <w:szCs w:val="28"/>
          <w:lang w:val="en-US" w:eastAsia="zh-CN"/>
        </w:rPr>
        <w:t>2</w:t>
      </w:r>
      <w:r>
        <w:rPr>
          <w:rFonts w:ascii="仿宋" w:hAnsi="仿宋" w:eastAsia="仿宋"/>
          <w:sz w:val="28"/>
          <w:szCs w:val="28"/>
        </w:rPr>
        <w:fldChar w:fldCharType="end"/>
      </w:r>
      <w:r>
        <w:rPr>
          <w:rFonts w:hint="eastAsia" w:ascii="仿宋" w:hAnsi="仿宋" w:eastAsia="仿宋"/>
          <w:sz w:val="28"/>
          <w:szCs w:val="28"/>
          <w:lang w:val="en-US" w:eastAsia="zh-CN"/>
        </w:rPr>
        <w:t>0</w:t>
      </w:r>
    </w:p>
    <w:p w14:paraId="0E28D1A7">
      <w:pPr>
        <w:pStyle w:val="10"/>
      </w:pPr>
      <w:r>
        <w:fldChar w:fldCharType="begin"/>
      </w:r>
      <w:r>
        <w:instrText xml:space="preserve"> HYPERLINK \l "_Toc15396618" </w:instrText>
      </w:r>
      <w:r>
        <w:fldChar w:fldCharType="separate"/>
      </w:r>
      <w:r>
        <w:rPr>
          <w:rStyle w:val="16"/>
          <w:rFonts w:hint="eastAsia"/>
        </w:rPr>
        <w:t>第</w:t>
      </w:r>
      <w:r>
        <w:rPr>
          <w:rStyle w:val="16"/>
          <w:rFonts w:hint="eastAsia"/>
          <w:bCs/>
          <w:kern w:val="44"/>
        </w:rPr>
        <w:t>五部分附表</w:t>
      </w:r>
      <w:r>
        <w:tab/>
      </w:r>
      <w:r>
        <w:rPr>
          <w:rFonts w:hint="eastAsia"/>
          <w:lang w:val="en-US" w:eastAsia="zh-CN"/>
        </w:rPr>
        <w:t>2</w:t>
      </w:r>
      <w:r>
        <w:fldChar w:fldCharType="end"/>
      </w:r>
      <w:r>
        <w:rPr>
          <w:rFonts w:hint="eastAsia"/>
          <w:lang w:val="en-US" w:eastAsia="zh-CN"/>
        </w:rPr>
        <w:t>2</w:t>
      </w:r>
    </w:p>
    <w:p w14:paraId="32972865">
      <w:pPr>
        <w:pStyle w:val="11"/>
        <w:rPr>
          <w:rFonts w:ascii="仿宋" w:hAnsi="仿宋" w:eastAsia="仿宋"/>
          <w:sz w:val="28"/>
          <w:szCs w:val="28"/>
        </w:rPr>
      </w:pPr>
      <w:r>
        <w:rPr>
          <w:rFonts w:hint="eastAsia" w:ascii="仿宋" w:hAnsi="仿宋" w:eastAsia="仿宋"/>
          <w:sz w:val="28"/>
          <w:szCs w:val="28"/>
        </w:rPr>
        <w:t>一、</w:t>
      </w:r>
      <w:r>
        <w:fldChar w:fldCharType="begin"/>
      </w:r>
      <w:r>
        <w:instrText xml:space="preserve"> HYPERLINK \l "_Toc15396619" </w:instrText>
      </w:r>
      <w:r>
        <w:fldChar w:fldCharType="separate"/>
      </w:r>
      <w:r>
        <w:rPr>
          <w:rStyle w:val="16"/>
          <w:rFonts w:hint="eastAsia" w:ascii="仿宋" w:hAnsi="仿宋" w:eastAsia="仿宋"/>
          <w:sz w:val="28"/>
          <w:szCs w:val="28"/>
        </w:rPr>
        <w:t>收入支出决算总表</w:t>
      </w:r>
      <w:r>
        <w:rPr>
          <w:rFonts w:ascii="仿宋" w:hAnsi="仿宋" w:eastAsia="仿宋"/>
          <w:sz w:val="28"/>
          <w:szCs w:val="28"/>
        </w:rPr>
        <w:fldChar w:fldCharType="end"/>
      </w:r>
    </w:p>
    <w:p w14:paraId="55BA5E90">
      <w:pPr>
        <w:pStyle w:val="11"/>
        <w:rPr>
          <w:rFonts w:ascii="仿宋" w:hAnsi="仿宋" w:eastAsia="仿宋"/>
          <w:sz w:val="28"/>
          <w:szCs w:val="28"/>
        </w:rPr>
      </w:pPr>
      <w:r>
        <w:rPr>
          <w:rFonts w:hint="eastAsia" w:ascii="仿宋" w:hAnsi="仿宋" w:eastAsia="仿宋"/>
          <w:sz w:val="28"/>
          <w:szCs w:val="28"/>
        </w:rPr>
        <w:t>二、</w:t>
      </w:r>
      <w:r>
        <w:fldChar w:fldCharType="begin"/>
      </w:r>
      <w:r>
        <w:instrText xml:space="preserve"> HYPERLINK \l "_Toc15396620" </w:instrText>
      </w:r>
      <w:r>
        <w:fldChar w:fldCharType="separate"/>
      </w:r>
      <w:r>
        <w:rPr>
          <w:rStyle w:val="16"/>
          <w:rFonts w:hint="eastAsia" w:ascii="仿宋" w:hAnsi="仿宋" w:eastAsia="仿宋"/>
          <w:sz w:val="28"/>
          <w:szCs w:val="28"/>
        </w:rPr>
        <w:t>收入总表</w:t>
      </w:r>
      <w:r>
        <w:rPr>
          <w:rFonts w:ascii="仿宋" w:hAnsi="仿宋" w:eastAsia="仿宋"/>
          <w:sz w:val="28"/>
          <w:szCs w:val="28"/>
        </w:rPr>
        <w:fldChar w:fldCharType="end"/>
      </w:r>
    </w:p>
    <w:p w14:paraId="37D49D94">
      <w:pPr>
        <w:pStyle w:val="11"/>
        <w:rPr>
          <w:rFonts w:ascii="仿宋" w:hAnsi="仿宋" w:eastAsia="仿宋"/>
          <w:sz w:val="28"/>
          <w:szCs w:val="28"/>
        </w:rPr>
      </w:pPr>
      <w:r>
        <w:rPr>
          <w:rFonts w:hint="eastAsia" w:ascii="仿宋" w:hAnsi="仿宋" w:eastAsia="仿宋"/>
          <w:sz w:val="28"/>
          <w:szCs w:val="28"/>
        </w:rPr>
        <w:t>三、</w:t>
      </w:r>
      <w:r>
        <w:fldChar w:fldCharType="begin"/>
      </w:r>
      <w:r>
        <w:instrText xml:space="preserve"> HYPERLINK \l "_Toc15396621" </w:instrText>
      </w:r>
      <w:r>
        <w:fldChar w:fldCharType="separate"/>
      </w:r>
      <w:r>
        <w:rPr>
          <w:rStyle w:val="16"/>
          <w:rFonts w:hint="eastAsia" w:ascii="仿宋" w:hAnsi="仿宋" w:eastAsia="仿宋"/>
          <w:sz w:val="28"/>
          <w:szCs w:val="28"/>
        </w:rPr>
        <w:t>支出总表</w:t>
      </w:r>
      <w:r>
        <w:rPr>
          <w:rFonts w:ascii="仿宋" w:hAnsi="仿宋" w:eastAsia="仿宋"/>
          <w:sz w:val="28"/>
          <w:szCs w:val="28"/>
        </w:rPr>
        <w:fldChar w:fldCharType="end"/>
      </w:r>
    </w:p>
    <w:p w14:paraId="18AEEE6E">
      <w:pPr>
        <w:pStyle w:val="11"/>
        <w:rPr>
          <w:rFonts w:ascii="仿宋" w:hAnsi="仿宋" w:eastAsia="仿宋"/>
          <w:sz w:val="28"/>
          <w:szCs w:val="28"/>
        </w:rPr>
      </w:pPr>
      <w:r>
        <w:rPr>
          <w:rFonts w:hint="eastAsia" w:ascii="仿宋" w:hAnsi="仿宋" w:eastAsia="仿宋"/>
          <w:sz w:val="28"/>
          <w:szCs w:val="28"/>
        </w:rPr>
        <w:t>四、</w:t>
      </w:r>
      <w:r>
        <w:fldChar w:fldCharType="begin"/>
      </w:r>
      <w:r>
        <w:instrText xml:space="preserve"> HYPERLINK \l "_Toc15396622" </w:instrText>
      </w:r>
      <w:r>
        <w:fldChar w:fldCharType="separate"/>
      </w:r>
      <w:r>
        <w:rPr>
          <w:rStyle w:val="16"/>
          <w:rFonts w:hint="eastAsia" w:ascii="仿宋" w:hAnsi="仿宋" w:eastAsia="仿宋"/>
          <w:sz w:val="28"/>
          <w:szCs w:val="28"/>
        </w:rPr>
        <w:t>财政拨款收入支出决算总表</w:t>
      </w:r>
      <w:r>
        <w:rPr>
          <w:rFonts w:ascii="仿宋" w:hAnsi="仿宋" w:eastAsia="仿宋"/>
          <w:sz w:val="28"/>
          <w:szCs w:val="28"/>
        </w:rPr>
        <w:fldChar w:fldCharType="end"/>
      </w:r>
    </w:p>
    <w:p w14:paraId="3F2A9E56">
      <w:pPr>
        <w:pStyle w:val="11"/>
        <w:rPr>
          <w:rFonts w:ascii="仿宋" w:hAnsi="仿宋" w:eastAsia="仿宋"/>
          <w:sz w:val="28"/>
          <w:szCs w:val="28"/>
        </w:rPr>
      </w:pPr>
      <w:r>
        <w:rPr>
          <w:rFonts w:hint="eastAsia" w:ascii="仿宋" w:hAnsi="仿宋" w:eastAsia="仿宋"/>
          <w:sz w:val="28"/>
          <w:szCs w:val="28"/>
        </w:rPr>
        <w:t>五、</w:t>
      </w:r>
      <w:r>
        <w:fldChar w:fldCharType="begin"/>
      </w:r>
      <w:r>
        <w:instrText xml:space="preserve"> HYPERLINK \l "_Toc15396623" </w:instrText>
      </w:r>
      <w:r>
        <w:fldChar w:fldCharType="separate"/>
      </w:r>
      <w:r>
        <w:rPr>
          <w:rFonts w:hint="eastAsia" w:ascii="仿宋" w:hAnsi="仿宋" w:eastAsia="仿宋"/>
          <w:sz w:val="28"/>
          <w:szCs w:val="28"/>
        </w:rPr>
        <w:t>财政拨款支出决算明细表（政府经济分类科目）</w:t>
      </w:r>
      <w:r>
        <w:rPr>
          <w:rFonts w:ascii="仿宋" w:hAnsi="仿宋" w:eastAsia="仿宋"/>
          <w:sz w:val="28"/>
          <w:szCs w:val="28"/>
        </w:rPr>
        <w:fldChar w:fldCharType="end"/>
      </w:r>
    </w:p>
    <w:p w14:paraId="6B69C640">
      <w:pPr>
        <w:pStyle w:val="11"/>
        <w:rPr>
          <w:rFonts w:ascii="仿宋" w:hAnsi="仿宋" w:eastAsia="仿宋"/>
          <w:sz w:val="28"/>
          <w:szCs w:val="28"/>
        </w:rPr>
      </w:pPr>
      <w:r>
        <w:rPr>
          <w:rFonts w:hint="eastAsia" w:ascii="仿宋" w:hAnsi="仿宋" w:eastAsia="仿宋"/>
          <w:sz w:val="28"/>
          <w:szCs w:val="28"/>
        </w:rPr>
        <w:t>六、</w:t>
      </w:r>
      <w:r>
        <w:fldChar w:fldCharType="begin"/>
      </w:r>
      <w:r>
        <w:instrText xml:space="preserve"> HYPERLINK \l "_Toc15396624" </w:instrText>
      </w:r>
      <w:r>
        <w:fldChar w:fldCharType="separate"/>
      </w:r>
      <w:r>
        <w:rPr>
          <w:rStyle w:val="16"/>
          <w:rFonts w:hint="eastAsia" w:ascii="仿宋" w:hAnsi="仿宋" w:eastAsia="仿宋"/>
          <w:sz w:val="28"/>
          <w:szCs w:val="28"/>
        </w:rPr>
        <w:t>一般公共预算财政拨款支出决算表</w:t>
      </w:r>
      <w:r>
        <w:rPr>
          <w:rFonts w:ascii="仿宋" w:hAnsi="仿宋" w:eastAsia="仿宋"/>
          <w:sz w:val="28"/>
          <w:szCs w:val="28"/>
        </w:rPr>
        <w:fldChar w:fldCharType="end"/>
      </w:r>
    </w:p>
    <w:p w14:paraId="31E88619">
      <w:pPr>
        <w:pStyle w:val="11"/>
        <w:rPr>
          <w:rFonts w:ascii="仿宋" w:hAnsi="仿宋" w:eastAsia="仿宋"/>
          <w:sz w:val="28"/>
          <w:szCs w:val="28"/>
        </w:rPr>
      </w:pPr>
      <w:r>
        <w:rPr>
          <w:rFonts w:hint="eastAsia" w:ascii="仿宋" w:hAnsi="仿宋" w:eastAsia="仿宋"/>
          <w:sz w:val="28"/>
          <w:szCs w:val="28"/>
        </w:rPr>
        <w:t>七、</w:t>
      </w:r>
      <w:r>
        <w:fldChar w:fldCharType="begin"/>
      </w:r>
      <w:r>
        <w:instrText xml:space="preserve"> HYPERLINK \l "_Toc15396625" </w:instrText>
      </w:r>
      <w:r>
        <w:fldChar w:fldCharType="separate"/>
      </w:r>
      <w:r>
        <w:rPr>
          <w:rStyle w:val="16"/>
          <w:rFonts w:hint="eastAsia" w:ascii="仿宋" w:hAnsi="仿宋" w:eastAsia="仿宋"/>
          <w:sz w:val="28"/>
          <w:szCs w:val="28"/>
        </w:rPr>
        <w:t>一般公共预算财政拨款支出决算明细表</w:t>
      </w:r>
      <w:r>
        <w:rPr>
          <w:rFonts w:ascii="仿宋" w:hAnsi="仿宋" w:eastAsia="仿宋"/>
          <w:sz w:val="28"/>
          <w:szCs w:val="28"/>
        </w:rPr>
        <w:fldChar w:fldCharType="end"/>
      </w:r>
    </w:p>
    <w:p w14:paraId="4AF43897">
      <w:pPr>
        <w:pStyle w:val="11"/>
        <w:rPr>
          <w:rFonts w:ascii="仿宋" w:hAnsi="仿宋" w:eastAsia="仿宋"/>
          <w:sz w:val="28"/>
          <w:szCs w:val="28"/>
        </w:rPr>
      </w:pPr>
      <w:r>
        <w:rPr>
          <w:rFonts w:hint="eastAsia" w:ascii="仿宋" w:hAnsi="仿宋" w:eastAsia="仿宋"/>
          <w:sz w:val="28"/>
          <w:szCs w:val="28"/>
        </w:rPr>
        <w:t>八、</w:t>
      </w:r>
      <w:r>
        <w:fldChar w:fldCharType="begin"/>
      </w:r>
      <w:r>
        <w:instrText xml:space="preserve"> HYPERLINK \l "_Toc15396626" </w:instrText>
      </w:r>
      <w:r>
        <w:fldChar w:fldCharType="separate"/>
      </w:r>
      <w:r>
        <w:rPr>
          <w:rStyle w:val="16"/>
          <w:rFonts w:hint="eastAsia" w:ascii="仿宋" w:hAnsi="仿宋" w:eastAsia="仿宋"/>
          <w:sz w:val="28"/>
          <w:szCs w:val="28"/>
        </w:rPr>
        <w:t>一般公共预算财政拨款基本支出决算表</w:t>
      </w:r>
      <w:r>
        <w:rPr>
          <w:rFonts w:ascii="仿宋" w:hAnsi="仿宋" w:eastAsia="仿宋"/>
          <w:sz w:val="28"/>
          <w:szCs w:val="28"/>
        </w:rPr>
        <w:fldChar w:fldCharType="end"/>
      </w:r>
    </w:p>
    <w:p w14:paraId="3D22FE9B">
      <w:pPr>
        <w:pStyle w:val="11"/>
        <w:rPr>
          <w:rFonts w:ascii="仿宋" w:hAnsi="仿宋" w:eastAsia="仿宋"/>
          <w:sz w:val="28"/>
          <w:szCs w:val="28"/>
        </w:rPr>
      </w:pPr>
      <w:r>
        <w:rPr>
          <w:rFonts w:hint="eastAsia" w:ascii="仿宋" w:hAnsi="仿宋" w:eastAsia="仿宋"/>
          <w:sz w:val="28"/>
          <w:szCs w:val="28"/>
        </w:rPr>
        <w:t>九、</w:t>
      </w:r>
      <w:r>
        <w:fldChar w:fldCharType="begin"/>
      </w:r>
      <w:r>
        <w:instrText xml:space="preserve"> HYPERLINK \l "_Toc15396627" </w:instrText>
      </w:r>
      <w:r>
        <w:fldChar w:fldCharType="separate"/>
      </w:r>
      <w:r>
        <w:rPr>
          <w:rStyle w:val="16"/>
          <w:rFonts w:hint="eastAsia" w:ascii="仿宋" w:hAnsi="仿宋" w:eastAsia="仿宋"/>
          <w:sz w:val="28"/>
          <w:szCs w:val="28"/>
        </w:rPr>
        <w:t>一般公共预算财政拨款项目支出决算表</w:t>
      </w:r>
      <w:r>
        <w:rPr>
          <w:rFonts w:ascii="仿宋" w:hAnsi="仿宋" w:eastAsia="仿宋"/>
          <w:sz w:val="28"/>
          <w:szCs w:val="28"/>
        </w:rPr>
        <w:fldChar w:fldCharType="end"/>
      </w:r>
    </w:p>
    <w:p w14:paraId="4C680AD3">
      <w:pPr>
        <w:pStyle w:val="11"/>
        <w:rPr>
          <w:rFonts w:ascii="仿宋" w:hAnsi="仿宋" w:eastAsia="仿宋"/>
          <w:sz w:val="28"/>
          <w:szCs w:val="28"/>
        </w:rPr>
      </w:pPr>
      <w:r>
        <w:rPr>
          <w:rFonts w:hint="eastAsia" w:ascii="仿宋" w:hAnsi="仿宋" w:eastAsia="仿宋"/>
          <w:sz w:val="28"/>
          <w:szCs w:val="28"/>
        </w:rPr>
        <w:t>十、</w:t>
      </w:r>
      <w:r>
        <w:fldChar w:fldCharType="begin"/>
      </w:r>
      <w:r>
        <w:instrText xml:space="preserve"> HYPERLINK \l "_Toc15396628" </w:instrText>
      </w:r>
      <w:r>
        <w:fldChar w:fldCharType="separate"/>
      </w:r>
      <w:r>
        <w:rPr>
          <w:rStyle w:val="16"/>
          <w:rFonts w:hint="eastAsia" w:ascii="仿宋" w:hAnsi="仿宋" w:eastAsia="仿宋"/>
          <w:sz w:val="28"/>
          <w:szCs w:val="28"/>
        </w:rPr>
        <w:t>一般公共预算财政拨款“三公”经费支出决算表</w:t>
      </w:r>
      <w:r>
        <w:rPr>
          <w:rFonts w:ascii="仿宋" w:hAnsi="仿宋" w:eastAsia="仿宋"/>
          <w:sz w:val="28"/>
          <w:szCs w:val="28"/>
        </w:rPr>
        <w:fldChar w:fldCharType="end"/>
      </w:r>
    </w:p>
    <w:p w14:paraId="4497BF7D">
      <w:pPr>
        <w:pStyle w:val="11"/>
        <w:rPr>
          <w:rFonts w:ascii="仿宋" w:hAnsi="仿宋" w:eastAsia="仿宋"/>
          <w:sz w:val="28"/>
          <w:szCs w:val="28"/>
        </w:rPr>
      </w:pPr>
      <w:r>
        <w:rPr>
          <w:rFonts w:hint="eastAsia" w:ascii="仿宋" w:hAnsi="仿宋" w:eastAsia="仿宋"/>
          <w:sz w:val="28"/>
          <w:szCs w:val="28"/>
        </w:rPr>
        <w:t>十一、</w:t>
      </w:r>
      <w:r>
        <w:fldChar w:fldCharType="begin"/>
      </w:r>
      <w:r>
        <w:instrText xml:space="preserve"> HYPERLINK \l "_Toc15396629" </w:instrText>
      </w:r>
      <w:r>
        <w:fldChar w:fldCharType="separate"/>
      </w:r>
      <w:r>
        <w:rPr>
          <w:rStyle w:val="16"/>
          <w:rFonts w:hint="eastAsia" w:ascii="仿宋" w:hAnsi="仿宋" w:eastAsia="仿宋"/>
          <w:sz w:val="28"/>
          <w:szCs w:val="28"/>
        </w:rPr>
        <w:t>政府性基金预算财政拨款收入支出决算表</w:t>
      </w:r>
      <w:r>
        <w:rPr>
          <w:rFonts w:ascii="仿宋" w:hAnsi="仿宋" w:eastAsia="仿宋"/>
          <w:sz w:val="28"/>
          <w:szCs w:val="28"/>
        </w:rPr>
        <w:fldChar w:fldCharType="end"/>
      </w:r>
    </w:p>
    <w:p w14:paraId="36B97629">
      <w:pPr>
        <w:pStyle w:val="11"/>
        <w:rPr>
          <w:rFonts w:ascii="仿宋" w:hAnsi="仿宋" w:eastAsia="仿宋"/>
          <w:sz w:val="28"/>
          <w:szCs w:val="28"/>
        </w:rPr>
      </w:pPr>
      <w:r>
        <w:rPr>
          <w:rFonts w:hint="eastAsia" w:ascii="仿宋" w:hAnsi="仿宋" w:eastAsia="仿宋"/>
          <w:sz w:val="28"/>
          <w:szCs w:val="28"/>
        </w:rPr>
        <w:t>十二、</w:t>
      </w:r>
      <w:r>
        <w:fldChar w:fldCharType="begin"/>
      </w:r>
      <w:r>
        <w:instrText xml:space="preserve"> HYPERLINK \l "_Toc15396630" </w:instrText>
      </w:r>
      <w:r>
        <w:fldChar w:fldCharType="separate"/>
      </w:r>
      <w:r>
        <w:rPr>
          <w:rStyle w:val="16"/>
          <w:rFonts w:hint="eastAsia" w:ascii="仿宋" w:hAnsi="仿宋" w:eastAsia="仿宋"/>
          <w:sz w:val="28"/>
          <w:szCs w:val="28"/>
        </w:rPr>
        <w:t>政府性基金预算财政拨款“三公”经费支出决算表</w:t>
      </w:r>
      <w:r>
        <w:rPr>
          <w:rFonts w:ascii="仿宋" w:hAnsi="仿宋" w:eastAsia="仿宋"/>
          <w:sz w:val="28"/>
          <w:szCs w:val="28"/>
        </w:rPr>
        <w:fldChar w:fldCharType="end"/>
      </w:r>
    </w:p>
    <w:p w14:paraId="56AC6CF7">
      <w:pPr>
        <w:pStyle w:val="11"/>
        <w:rPr>
          <w:rFonts w:ascii="仿宋" w:hAnsi="仿宋" w:eastAsia="仿宋"/>
          <w:sz w:val="24"/>
        </w:rPr>
      </w:pPr>
      <w:r>
        <w:rPr>
          <w:rFonts w:hint="eastAsia" w:ascii="仿宋" w:hAnsi="仿宋" w:eastAsia="仿宋"/>
          <w:sz w:val="28"/>
          <w:szCs w:val="28"/>
        </w:rPr>
        <w:t>十三、</w:t>
      </w:r>
      <w:r>
        <w:fldChar w:fldCharType="begin"/>
      </w:r>
      <w:r>
        <w:instrText xml:space="preserve"> HYPERLINK \l "_Toc15396631" </w:instrText>
      </w:r>
      <w:r>
        <w:fldChar w:fldCharType="separate"/>
      </w:r>
      <w:r>
        <w:rPr>
          <w:rStyle w:val="16"/>
          <w:rFonts w:hint="eastAsia" w:ascii="仿宋" w:hAnsi="仿宋" w:eastAsia="仿宋"/>
          <w:sz w:val="28"/>
          <w:szCs w:val="28"/>
        </w:rPr>
        <w:t>国有资本经营预算支出决算表</w:t>
      </w:r>
      <w:r>
        <w:rPr>
          <w:rFonts w:ascii="仿宋" w:hAnsi="仿宋" w:eastAsia="仿宋"/>
          <w:sz w:val="28"/>
          <w:szCs w:val="28"/>
        </w:rPr>
        <w:fldChar w:fldCharType="end"/>
      </w:r>
    </w:p>
    <w:p w14:paraId="4F2549F7">
      <w:pPr>
        <w:widowControl/>
        <w:jc w:val="left"/>
        <w:rPr>
          <w:rFonts w:ascii="仿宋" w:hAnsi="仿宋" w:eastAsia="仿宋"/>
          <w:color w:val="000000"/>
          <w:sz w:val="24"/>
        </w:rPr>
      </w:pPr>
      <w:r>
        <w:rPr>
          <w:rFonts w:ascii="黑体" w:hAnsi="黑体" w:eastAsia="黑体"/>
          <w:color w:val="000000"/>
          <w:sz w:val="48"/>
          <w:szCs w:val="48"/>
        </w:rPr>
        <w:fldChar w:fldCharType="end"/>
      </w:r>
    </w:p>
    <w:p w14:paraId="14DFC78F">
      <w:pPr>
        <w:widowControl/>
        <w:jc w:val="left"/>
        <w:rPr>
          <w:rFonts w:ascii="黑体" w:hAnsi="黑体" w:eastAsia="黑体"/>
          <w:bCs/>
          <w:kern w:val="44"/>
          <w:sz w:val="44"/>
          <w:szCs w:val="44"/>
        </w:rPr>
      </w:pPr>
      <w:r>
        <w:rPr>
          <w:rFonts w:ascii="黑体" w:hAnsi="黑体" w:eastAsia="黑体"/>
          <w:b/>
        </w:rPr>
        <w:br w:type="page"/>
      </w:r>
    </w:p>
    <w:p w14:paraId="4E85838C">
      <w:pPr>
        <w:pStyle w:val="2"/>
        <w:jc w:val="center"/>
        <w:rPr>
          <w:rStyle w:val="17"/>
          <w:rFonts w:ascii="黑体" w:hAnsi="黑体" w:eastAsia="黑体"/>
          <w:b/>
          <w:bCs w:val="0"/>
        </w:rPr>
      </w:pPr>
      <w:r>
        <w:rPr>
          <w:rFonts w:hint="eastAsia" w:ascii="黑体" w:hAnsi="黑体" w:eastAsia="黑体"/>
          <w:b w:val="0"/>
        </w:rPr>
        <w:t>第一部分</w:t>
      </w:r>
      <w:r>
        <w:rPr>
          <w:rFonts w:ascii="黑体" w:hAnsi="黑体" w:eastAsia="黑体"/>
          <w:b w:val="0"/>
        </w:rPr>
        <w:t xml:space="preserve"> </w:t>
      </w:r>
      <w:r>
        <w:rPr>
          <w:rStyle w:val="17"/>
          <w:rFonts w:hint="eastAsia" w:ascii="黑体" w:hAnsi="黑体" w:eastAsia="黑体"/>
          <w:b w:val="0"/>
          <w:bCs w:val="0"/>
        </w:rPr>
        <w:t>部门概况</w:t>
      </w:r>
      <w:bookmarkEnd w:id="12"/>
      <w:bookmarkEnd w:id="13"/>
    </w:p>
    <w:p w14:paraId="416ADA51">
      <w:pPr>
        <w:pStyle w:val="3"/>
        <w:rPr>
          <w:rStyle w:val="18"/>
          <w:rFonts w:ascii="宋体"/>
          <w:b w:val="0"/>
          <w:bCs w:val="0"/>
          <w:sz w:val="28"/>
          <w:szCs w:val="28"/>
        </w:rPr>
      </w:pPr>
      <w:bookmarkStart w:id="14" w:name="_Toc15377197"/>
      <w:bookmarkStart w:id="15" w:name="_Toc15396600"/>
      <w:r>
        <w:rPr>
          <w:rFonts w:hint="eastAsia" w:ascii="宋体" w:hAnsi="宋体"/>
          <w:b w:val="0"/>
          <w:color w:val="000000"/>
          <w:sz w:val="28"/>
          <w:szCs w:val="28"/>
        </w:rPr>
        <w:t>一、基</w:t>
      </w:r>
      <w:r>
        <w:rPr>
          <w:rStyle w:val="18"/>
          <w:rFonts w:hint="eastAsia" w:ascii="宋体" w:hAnsi="宋体"/>
          <w:b w:val="0"/>
          <w:bCs w:val="0"/>
          <w:sz w:val="28"/>
          <w:szCs w:val="28"/>
        </w:rPr>
        <w:t>本职能及主要工作</w:t>
      </w:r>
      <w:bookmarkEnd w:id="14"/>
      <w:bookmarkEnd w:id="15"/>
    </w:p>
    <w:p w14:paraId="079A2D9C">
      <w:pPr>
        <w:snapToGrid w:val="0"/>
        <w:spacing w:line="520" w:lineRule="exact"/>
        <w:ind w:firstLine="562" w:firstLineChars="200"/>
        <w:rPr>
          <w:rFonts w:ascii="宋体"/>
          <w:b/>
          <w:sz w:val="28"/>
          <w:szCs w:val="28"/>
        </w:rPr>
      </w:pPr>
      <w:r>
        <w:rPr>
          <w:rFonts w:hint="eastAsia" w:ascii="宋体" w:hAnsi="宋体"/>
          <w:b/>
          <w:sz w:val="28"/>
          <w:szCs w:val="28"/>
        </w:rPr>
        <w:t>（一）基本情况。</w:t>
      </w:r>
    </w:p>
    <w:p w14:paraId="1A3EB39D">
      <w:pPr>
        <w:pStyle w:val="5"/>
        <w:adjustRightInd w:val="0"/>
        <w:snapToGrid w:val="0"/>
        <w:spacing w:before="93" w:line="580" w:lineRule="exact"/>
        <w:ind w:firstLine="588" w:firstLineChars="210"/>
        <w:rPr>
          <w:rFonts w:asciiTheme="majorEastAsia" w:hAnsiTheme="majorEastAsia" w:eastAsiaTheme="majorEastAsia"/>
          <w:sz w:val="28"/>
          <w:szCs w:val="28"/>
        </w:rPr>
      </w:pPr>
      <w:r>
        <w:rPr>
          <w:rFonts w:asciiTheme="majorEastAsia" w:hAnsiTheme="majorEastAsia" w:eastAsiaTheme="majorEastAsia"/>
          <w:sz w:val="28"/>
          <w:szCs w:val="28"/>
        </w:rPr>
        <w:t>1</w:t>
      </w:r>
      <w:r>
        <w:rPr>
          <w:rFonts w:hint="eastAsia" w:asciiTheme="majorEastAsia" w:hAnsiTheme="majorEastAsia" w:eastAsiaTheme="majorEastAsia"/>
          <w:sz w:val="28"/>
          <w:szCs w:val="28"/>
        </w:rPr>
        <w:t>、主要职能：</w:t>
      </w:r>
    </w:p>
    <w:p w14:paraId="5C78D903">
      <w:pPr>
        <w:pStyle w:val="5"/>
        <w:adjustRightInd w:val="0"/>
        <w:snapToGrid w:val="0"/>
        <w:spacing w:before="93" w:line="580" w:lineRule="exact"/>
        <w:ind w:firstLine="588" w:firstLineChars="210"/>
        <w:rPr>
          <w:rFonts w:asciiTheme="majorEastAsia" w:hAnsiTheme="majorEastAsia" w:eastAsiaTheme="majorEastAsia"/>
          <w:bCs/>
          <w:sz w:val="28"/>
          <w:szCs w:val="28"/>
        </w:rPr>
      </w:pPr>
      <w:r>
        <w:rPr>
          <w:rFonts w:hint="eastAsia" w:asciiTheme="majorEastAsia" w:hAnsiTheme="majorEastAsia" w:eastAsiaTheme="majorEastAsia"/>
          <w:bCs/>
          <w:sz w:val="28"/>
          <w:szCs w:val="28"/>
        </w:rPr>
        <w:t>攀枝花市仁和区大龙潭乡中心学校是仁和区教育局直属管辖的小学阶段义务教育学校；2018年学校重点工作任务是完成本辖区内适龄儿童的义务教育小学阶段学历教育及相关社会服务，</w:t>
      </w:r>
      <w:r>
        <w:rPr>
          <w:rFonts w:hint="eastAsia" w:asciiTheme="majorEastAsia" w:hAnsiTheme="majorEastAsia" w:eastAsiaTheme="majorEastAsia"/>
          <w:sz w:val="28"/>
          <w:szCs w:val="28"/>
        </w:rPr>
        <w:t>是一所城乡结合的</w:t>
      </w:r>
      <w:r>
        <w:rPr>
          <w:rFonts w:hint="eastAsia" w:cs="宋体" w:asciiTheme="majorEastAsia" w:hAnsiTheme="majorEastAsia" w:eastAsiaTheme="majorEastAsia"/>
          <w:sz w:val="28"/>
          <w:szCs w:val="28"/>
        </w:rPr>
        <w:t>寄宿制</w:t>
      </w:r>
      <w:r>
        <w:rPr>
          <w:rFonts w:hint="eastAsia" w:asciiTheme="majorEastAsia" w:hAnsiTheme="majorEastAsia" w:eastAsiaTheme="majorEastAsia"/>
          <w:sz w:val="28"/>
          <w:szCs w:val="28"/>
        </w:rPr>
        <w:t>小学</w:t>
      </w:r>
      <w:r>
        <w:rPr>
          <w:rFonts w:hint="eastAsia" w:asciiTheme="majorEastAsia" w:hAnsiTheme="majorEastAsia" w:eastAsiaTheme="majorEastAsia"/>
          <w:bCs/>
          <w:sz w:val="28"/>
          <w:szCs w:val="28"/>
        </w:rPr>
        <w:t>。</w:t>
      </w:r>
      <w:r>
        <w:rPr>
          <w:rFonts w:hint="eastAsia" w:asciiTheme="majorEastAsia" w:hAnsiTheme="majorEastAsia" w:eastAsiaTheme="majorEastAsia"/>
          <w:sz w:val="28"/>
          <w:szCs w:val="28"/>
        </w:rPr>
        <w:t>现所辖一个中心校、七所村小(大宝哨教学点、干坝子教学点、新街教学点、迤资教学点、混撒拉教学点、凹子教学点和格地教学点)及一个幼儿园(大龙潭乡中心幼儿园)。</w:t>
      </w:r>
    </w:p>
    <w:p w14:paraId="5E9E47D0">
      <w:pPr>
        <w:pStyle w:val="5"/>
        <w:adjustRightInd w:val="0"/>
        <w:snapToGrid w:val="0"/>
        <w:spacing w:before="93" w:line="580" w:lineRule="exact"/>
        <w:ind w:firstLine="420" w:firstLineChars="150"/>
        <w:rPr>
          <w:rFonts w:asciiTheme="majorEastAsia" w:hAnsiTheme="majorEastAsia" w:eastAsiaTheme="majorEastAsia"/>
          <w:sz w:val="28"/>
          <w:szCs w:val="28"/>
        </w:rPr>
      </w:pPr>
      <w:r>
        <w:rPr>
          <w:rFonts w:asciiTheme="majorEastAsia" w:hAnsiTheme="majorEastAsia" w:eastAsiaTheme="majorEastAsia"/>
          <w:sz w:val="28"/>
          <w:szCs w:val="28"/>
        </w:rPr>
        <w:t>2</w:t>
      </w:r>
      <w:r>
        <w:rPr>
          <w:rFonts w:hint="eastAsia" w:asciiTheme="majorEastAsia" w:hAnsiTheme="majorEastAsia" w:eastAsiaTheme="majorEastAsia"/>
          <w:sz w:val="28"/>
          <w:szCs w:val="28"/>
        </w:rPr>
        <w:t>、机构情况，包括当年变动情况及原因。</w:t>
      </w:r>
    </w:p>
    <w:p w14:paraId="55CF2543">
      <w:pPr>
        <w:snapToGrid w:val="0"/>
        <w:spacing w:line="520" w:lineRule="exact"/>
        <w:ind w:firstLine="560" w:firstLineChars="200"/>
        <w:rPr>
          <w:rFonts w:asciiTheme="majorEastAsia" w:hAnsiTheme="majorEastAsia" w:eastAsiaTheme="majorEastAsia"/>
          <w:sz w:val="28"/>
          <w:szCs w:val="28"/>
        </w:rPr>
      </w:pPr>
      <w:r>
        <w:rPr>
          <w:rFonts w:hint="eastAsia" w:asciiTheme="majorEastAsia" w:hAnsiTheme="majorEastAsia" w:eastAsiaTheme="majorEastAsia"/>
          <w:sz w:val="28"/>
          <w:szCs w:val="28"/>
        </w:rPr>
        <w:t>仁和区大龙潭乡中心学校属于独立核算的一类事业单位，由财政全额拨款的事业单位。2018年无变动情况。</w:t>
      </w:r>
    </w:p>
    <w:p w14:paraId="68BBF1F1">
      <w:pPr>
        <w:snapToGrid w:val="0"/>
        <w:spacing w:line="520" w:lineRule="exact"/>
        <w:ind w:firstLine="560" w:firstLineChars="200"/>
        <w:rPr>
          <w:rFonts w:asciiTheme="majorEastAsia" w:hAnsiTheme="majorEastAsia" w:eastAsiaTheme="majorEastAsia"/>
          <w:sz w:val="28"/>
          <w:szCs w:val="28"/>
        </w:rPr>
      </w:pPr>
      <w:r>
        <w:rPr>
          <w:rFonts w:asciiTheme="majorEastAsia" w:hAnsiTheme="majorEastAsia" w:eastAsiaTheme="majorEastAsia"/>
          <w:sz w:val="28"/>
          <w:szCs w:val="28"/>
        </w:rPr>
        <w:t>3</w:t>
      </w:r>
      <w:r>
        <w:rPr>
          <w:rFonts w:hint="eastAsia" w:asciiTheme="majorEastAsia" w:hAnsiTheme="majorEastAsia" w:eastAsiaTheme="majorEastAsia"/>
          <w:sz w:val="28"/>
          <w:szCs w:val="28"/>
        </w:rPr>
        <w:t>、人员情况，包括当年变动情况及原因。</w:t>
      </w:r>
    </w:p>
    <w:p w14:paraId="1460918F">
      <w:pPr>
        <w:snapToGrid w:val="0"/>
        <w:spacing w:line="520" w:lineRule="exact"/>
        <w:ind w:firstLine="560" w:firstLineChars="200"/>
        <w:rPr>
          <w:rFonts w:asciiTheme="majorEastAsia" w:hAnsiTheme="majorEastAsia" w:eastAsiaTheme="majorEastAsia"/>
          <w:sz w:val="28"/>
          <w:szCs w:val="28"/>
        </w:rPr>
      </w:pPr>
      <w:r>
        <w:rPr>
          <w:rFonts w:hint="eastAsia" w:asciiTheme="majorEastAsia" w:hAnsiTheme="majorEastAsia" w:eastAsiaTheme="majorEastAsia"/>
          <w:sz w:val="28"/>
          <w:szCs w:val="28"/>
        </w:rPr>
        <w:t>我校现有财政补助开支人数61人，其中：在职教职工61人。与上年相比减少1人，原因：2018年退休1人。</w:t>
      </w:r>
    </w:p>
    <w:p w14:paraId="7EE706FB">
      <w:pPr>
        <w:snapToGrid w:val="0"/>
        <w:spacing w:line="520" w:lineRule="exact"/>
        <w:ind w:firstLine="560" w:firstLineChars="200"/>
        <w:rPr>
          <w:rFonts w:asciiTheme="majorEastAsia" w:hAnsiTheme="majorEastAsia" w:eastAsiaTheme="majorEastAsia"/>
          <w:sz w:val="28"/>
          <w:szCs w:val="28"/>
        </w:rPr>
      </w:pPr>
      <w:r>
        <w:rPr>
          <w:rFonts w:hint="eastAsia" w:asciiTheme="majorEastAsia" w:hAnsiTheme="majorEastAsia" w:eastAsiaTheme="majorEastAsia"/>
          <w:sz w:val="28"/>
          <w:szCs w:val="28"/>
        </w:rPr>
        <w:t>（二）当年取得的主要事业成效。</w:t>
      </w:r>
    </w:p>
    <w:p w14:paraId="5AAABEAA">
      <w:pPr>
        <w:snapToGrid w:val="0"/>
        <w:spacing w:line="520" w:lineRule="exact"/>
        <w:ind w:firstLine="560" w:firstLineChars="200"/>
        <w:rPr>
          <w:rFonts w:ascii="仿宋" w:hAnsi="仿宋" w:eastAsia="仿宋"/>
          <w:color w:val="000000"/>
          <w:kern w:val="0"/>
          <w:sz w:val="32"/>
          <w:szCs w:val="32"/>
        </w:rPr>
      </w:pPr>
      <w:r>
        <w:rPr>
          <w:rFonts w:hint="eastAsia" w:asciiTheme="majorEastAsia" w:hAnsiTheme="majorEastAsia" w:eastAsiaTheme="majorEastAsia"/>
          <w:sz w:val="28"/>
          <w:szCs w:val="28"/>
        </w:rPr>
        <w:t>从整个收支预算可以看出，2018年收支预决算执行情况良好。2018年与2017年相比较财政拨款预算收入增加了41万元，原因：财政增加教育投入，人员经费增加、在审核监督财务收支过程中、发现问题及时进行了处理、及时向上级财政主管部门请教、使各项财务工作能顺利的在我单位得以顺利实施。</w:t>
      </w:r>
    </w:p>
    <w:p w14:paraId="3BC2B940">
      <w:pPr>
        <w:pStyle w:val="2"/>
        <w:ind w:right="440"/>
        <w:jc w:val="right"/>
        <w:rPr>
          <w:rStyle w:val="17"/>
          <w:rFonts w:ascii="黑体" w:hAnsi="黑体" w:eastAsia="黑体"/>
          <w:b w:val="0"/>
          <w:bCs w:val="0"/>
        </w:rPr>
      </w:pPr>
      <w:bookmarkStart w:id="16" w:name="_Toc15377204"/>
      <w:bookmarkStart w:id="17" w:name="_Toc15396602"/>
      <w:r>
        <w:rPr>
          <w:rFonts w:hint="eastAsia" w:ascii="黑体" w:hAnsi="黑体" w:eastAsia="黑体"/>
          <w:b w:val="0"/>
          <w:color w:val="000000"/>
        </w:rPr>
        <w:t>第二部分</w:t>
      </w:r>
      <w:r>
        <w:rPr>
          <w:rStyle w:val="17"/>
          <w:rFonts w:ascii="黑体" w:hAnsi="黑体" w:eastAsia="黑体"/>
          <w:b w:val="0"/>
          <w:bCs w:val="0"/>
        </w:rPr>
        <w:t>2018</w:t>
      </w:r>
      <w:r>
        <w:rPr>
          <w:rStyle w:val="17"/>
          <w:rFonts w:hint="eastAsia" w:ascii="黑体" w:hAnsi="黑体" w:eastAsia="黑体"/>
          <w:b w:val="0"/>
          <w:bCs w:val="0"/>
        </w:rPr>
        <w:t>年度部门决算情况说明</w:t>
      </w:r>
      <w:bookmarkEnd w:id="16"/>
      <w:bookmarkEnd w:id="17"/>
    </w:p>
    <w:p w14:paraId="167B964A"/>
    <w:p w14:paraId="58AF8C7A">
      <w:pPr>
        <w:pStyle w:val="27"/>
        <w:numPr>
          <w:ilvl w:val="0"/>
          <w:numId w:val="1"/>
        </w:numPr>
        <w:spacing w:line="600" w:lineRule="exact"/>
        <w:ind w:firstLineChars="0"/>
        <w:outlineLvl w:val="1"/>
        <w:rPr>
          <w:rStyle w:val="18"/>
          <w:rFonts w:ascii="宋体" w:hAnsi="Times New Roman"/>
          <w:sz w:val="30"/>
          <w:szCs w:val="30"/>
        </w:rPr>
      </w:pPr>
      <w:bookmarkStart w:id="18" w:name="_Toc15396603"/>
      <w:bookmarkStart w:id="19" w:name="_Toc15377205"/>
      <w:r>
        <w:rPr>
          <w:rFonts w:hint="eastAsia" w:ascii="宋体" w:hAnsi="宋体"/>
          <w:color w:val="000000"/>
          <w:sz w:val="30"/>
          <w:szCs w:val="30"/>
        </w:rPr>
        <w:t>收</w:t>
      </w:r>
      <w:r>
        <w:rPr>
          <w:rStyle w:val="18"/>
          <w:rFonts w:hint="eastAsia" w:ascii="宋体" w:hAnsi="宋体"/>
          <w:sz w:val="30"/>
          <w:szCs w:val="30"/>
        </w:rPr>
        <w:t>入支出决算总体情况说明</w:t>
      </w:r>
      <w:bookmarkEnd w:id="18"/>
      <w:bookmarkEnd w:id="19"/>
    </w:p>
    <w:p w14:paraId="2C6079EB">
      <w:pPr>
        <w:snapToGrid w:val="0"/>
        <w:spacing w:line="520" w:lineRule="exact"/>
        <w:ind w:firstLine="560" w:firstLineChars="200"/>
        <w:rPr>
          <w:rFonts w:asciiTheme="majorEastAsia" w:hAnsiTheme="majorEastAsia" w:eastAsiaTheme="majorEastAsia"/>
          <w:sz w:val="28"/>
          <w:szCs w:val="28"/>
        </w:rPr>
      </w:pPr>
      <w:bookmarkStart w:id="20" w:name="_Toc15377206"/>
      <w:bookmarkStart w:id="21" w:name="_Toc15396604"/>
      <w:r>
        <w:rPr>
          <w:rFonts w:hint="eastAsia" w:asciiTheme="majorEastAsia" w:hAnsiTheme="majorEastAsia" w:eastAsiaTheme="majorEastAsia"/>
          <w:sz w:val="28"/>
          <w:szCs w:val="28"/>
        </w:rPr>
        <w:t>2018年初财政拨款预算收入915万元，调整财政拨款预算收入1183.32万元。2018年财政拨款收入1183.32万元，2018年与2017年相比较财政拨款收入增加4万元，原因：财政增加人员经费。</w:t>
      </w:r>
    </w:p>
    <w:p w14:paraId="5DBB434C">
      <w:pPr>
        <w:snapToGrid w:val="0"/>
        <w:spacing w:line="520" w:lineRule="exact"/>
        <w:ind w:firstLine="560" w:firstLineChars="200"/>
        <w:rPr>
          <w:rFonts w:asciiTheme="majorEastAsia" w:hAnsiTheme="majorEastAsia" w:eastAsiaTheme="majorEastAsia"/>
          <w:sz w:val="28"/>
          <w:szCs w:val="28"/>
        </w:rPr>
      </w:pPr>
      <w:r>
        <w:rPr>
          <w:rFonts w:hint="eastAsia" w:asciiTheme="majorEastAsia" w:hAnsiTheme="majorEastAsia" w:eastAsiaTheme="majorEastAsia"/>
          <w:sz w:val="28"/>
          <w:szCs w:val="28"/>
        </w:rPr>
        <w:t>2018年预算安排支出数为915万元，2018年财政拨款支出数为1342.25万元。2018年与2017年相比较支出增加87万元。原因：财政增加教育投入，人员经费增加。</w:t>
      </w:r>
    </w:p>
    <w:p w14:paraId="4E0E46BF">
      <w:pPr>
        <w:pStyle w:val="27"/>
        <w:numPr>
          <w:ilvl w:val="0"/>
          <w:numId w:val="1"/>
        </w:numPr>
        <w:spacing w:line="600" w:lineRule="exact"/>
        <w:ind w:firstLineChars="0"/>
        <w:outlineLvl w:val="1"/>
        <w:rPr>
          <w:rStyle w:val="18"/>
          <w:rFonts w:ascii="宋体" w:hAnsi="Times New Roman"/>
          <w:sz w:val="30"/>
          <w:szCs w:val="30"/>
        </w:rPr>
      </w:pPr>
      <w:r>
        <w:rPr>
          <w:rFonts w:hint="eastAsia" w:ascii="宋体" w:hAnsi="宋体"/>
          <w:color w:val="000000"/>
          <w:sz w:val="30"/>
          <w:szCs w:val="30"/>
        </w:rPr>
        <w:t>收</w:t>
      </w:r>
      <w:r>
        <w:rPr>
          <w:rStyle w:val="18"/>
          <w:rFonts w:hint="eastAsia" w:ascii="宋体" w:hAnsi="宋体"/>
          <w:sz w:val="30"/>
          <w:szCs w:val="30"/>
        </w:rPr>
        <w:t>入决算情况说明</w:t>
      </w:r>
      <w:bookmarkEnd w:id="20"/>
      <w:bookmarkEnd w:id="21"/>
    </w:p>
    <w:p w14:paraId="45E2150A">
      <w:pPr>
        <w:spacing w:line="600" w:lineRule="exact"/>
        <w:ind w:firstLine="560" w:firstLineChars="200"/>
        <w:rPr>
          <w:rFonts w:ascii="宋体" w:hAnsi="宋体"/>
          <w:color w:val="000000"/>
          <w:sz w:val="28"/>
          <w:szCs w:val="28"/>
        </w:rPr>
      </w:pPr>
      <w:r>
        <w:rPr>
          <w:rFonts w:ascii="宋体" w:hAnsi="宋体"/>
          <w:color w:val="000000"/>
          <w:sz w:val="28"/>
          <w:szCs w:val="28"/>
        </w:rPr>
        <w:t>2018</w:t>
      </w:r>
      <w:r>
        <w:rPr>
          <w:rFonts w:hint="eastAsia" w:ascii="宋体" w:hAnsi="宋体"/>
          <w:color w:val="000000"/>
          <w:sz w:val="28"/>
          <w:szCs w:val="28"/>
        </w:rPr>
        <w:t>年本年收入合计1342.25万元，其中：一般公共预算财政拨款收入1180.12万元，占87.92</w:t>
      </w:r>
      <w:r>
        <w:rPr>
          <w:rFonts w:ascii="宋体" w:hAnsi="宋体"/>
          <w:color w:val="000000"/>
          <w:sz w:val="28"/>
          <w:szCs w:val="28"/>
        </w:rPr>
        <w:t>%</w:t>
      </w:r>
      <w:r>
        <w:rPr>
          <w:rFonts w:hint="eastAsia" w:ascii="宋体" w:hAnsi="宋体"/>
          <w:color w:val="000000"/>
          <w:sz w:val="28"/>
          <w:szCs w:val="28"/>
        </w:rPr>
        <w:t>；年初结转158.93万元，占11.84</w:t>
      </w:r>
      <w:r>
        <w:rPr>
          <w:rFonts w:ascii="宋体" w:hAnsi="宋体"/>
          <w:color w:val="000000"/>
          <w:sz w:val="28"/>
          <w:szCs w:val="28"/>
        </w:rPr>
        <w:t>%</w:t>
      </w:r>
      <w:r>
        <w:rPr>
          <w:rFonts w:hint="eastAsia" w:ascii="宋体" w:hAnsi="宋体"/>
          <w:color w:val="000000"/>
          <w:sz w:val="28"/>
          <w:szCs w:val="28"/>
        </w:rPr>
        <w:t>；政府性基金预算财政拨款收入</w:t>
      </w:r>
      <w:r>
        <w:rPr>
          <w:rFonts w:ascii="宋体" w:hAnsi="宋体"/>
          <w:color w:val="000000"/>
          <w:sz w:val="28"/>
          <w:szCs w:val="28"/>
        </w:rPr>
        <w:t>3.2</w:t>
      </w:r>
      <w:r>
        <w:rPr>
          <w:rFonts w:hint="eastAsia" w:ascii="宋体" w:hAnsi="宋体"/>
          <w:color w:val="000000"/>
          <w:sz w:val="28"/>
          <w:szCs w:val="28"/>
        </w:rPr>
        <w:t>万元，占</w:t>
      </w:r>
      <w:r>
        <w:rPr>
          <w:rFonts w:ascii="宋体" w:hAnsi="宋体"/>
          <w:color w:val="000000"/>
          <w:sz w:val="28"/>
          <w:szCs w:val="28"/>
        </w:rPr>
        <w:t>0.</w:t>
      </w:r>
      <w:r>
        <w:rPr>
          <w:rFonts w:hint="eastAsia" w:ascii="宋体" w:hAnsi="宋体"/>
          <w:color w:val="000000"/>
          <w:sz w:val="28"/>
          <w:szCs w:val="28"/>
        </w:rPr>
        <w:t>23</w:t>
      </w:r>
      <w:r>
        <w:rPr>
          <w:rFonts w:ascii="宋体" w:hAnsi="宋体"/>
          <w:color w:val="000000"/>
          <w:sz w:val="28"/>
          <w:szCs w:val="28"/>
        </w:rPr>
        <w:t>%</w:t>
      </w:r>
      <w:r>
        <w:rPr>
          <w:rFonts w:hint="eastAsia" w:ascii="宋体" w:hAnsi="宋体"/>
          <w:color w:val="000000"/>
          <w:sz w:val="28"/>
          <w:szCs w:val="28"/>
        </w:rPr>
        <w:t>.</w:t>
      </w:r>
    </w:p>
    <w:p w14:paraId="4796AB9F">
      <w:pPr>
        <w:pStyle w:val="27"/>
        <w:numPr>
          <w:ilvl w:val="0"/>
          <w:numId w:val="1"/>
        </w:numPr>
        <w:spacing w:line="600" w:lineRule="exact"/>
        <w:ind w:firstLineChars="0"/>
        <w:outlineLvl w:val="1"/>
        <w:rPr>
          <w:rStyle w:val="18"/>
          <w:rFonts w:ascii="宋体" w:hAnsi="Times New Roman"/>
          <w:sz w:val="30"/>
          <w:szCs w:val="30"/>
        </w:rPr>
      </w:pPr>
      <w:bookmarkStart w:id="22" w:name="_Toc15377207"/>
      <w:bookmarkStart w:id="23" w:name="_Toc15396605"/>
      <w:r>
        <w:rPr>
          <w:rFonts w:hint="eastAsia" w:ascii="宋体" w:hAnsi="宋体"/>
          <w:color w:val="000000"/>
          <w:sz w:val="30"/>
          <w:szCs w:val="30"/>
        </w:rPr>
        <w:t>支</w:t>
      </w:r>
      <w:r>
        <w:rPr>
          <w:rStyle w:val="18"/>
          <w:rFonts w:hint="eastAsia" w:ascii="宋体" w:hAnsi="宋体"/>
          <w:sz w:val="30"/>
          <w:szCs w:val="30"/>
        </w:rPr>
        <w:t>出决算情况说明</w:t>
      </w:r>
      <w:bookmarkEnd w:id="22"/>
      <w:bookmarkEnd w:id="23"/>
    </w:p>
    <w:p w14:paraId="50C70AF9">
      <w:pPr>
        <w:spacing w:line="600" w:lineRule="exact"/>
        <w:ind w:firstLine="560" w:firstLineChars="200"/>
        <w:rPr>
          <w:rFonts w:ascii="宋体"/>
          <w:color w:val="000000"/>
          <w:sz w:val="28"/>
          <w:szCs w:val="28"/>
        </w:rPr>
      </w:pPr>
      <w:r>
        <w:rPr>
          <w:rFonts w:ascii="宋体" w:hAnsi="宋体"/>
          <w:color w:val="000000"/>
          <w:sz w:val="28"/>
          <w:szCs w:val="28"/>
        </w:rPr>
        <w:t>2018</w:t>
      </w:r>
      <w:r>
        <w:rPr>
          <w:rFonts w:hint="eastAsia" w:ascii="宋体" w:hAnsi="宋体"/>
          <w:color w:val="000000"/>
          <w:sz w:val="28"/>
          <w:szCs w:val="28"/>
        </w:rPr>
        <w:t>年本年支出合计1342.25万元，其中：基本支出883.62万元，占65.83</w:t>
      </w:r>
      <w:r>
        <w:rPr>
          <w:rFonts w:ascii="宋体" w:hAnsi="宋体"/>
          <w:color w:val="000000"/>
          <w:sz w:val="28"/>
          <w:szCs w:val="28"/>
        </w:rPr>
        <w:t>%</w:t>
      </w:r>
      <w:r>
        <w:rPr>
          <w:rFonts w:hint="eastAsia" w:ascii="宋体" w:hAnsi="宋体"/>
          <w:color w:val="000000"/>
          <w:sz w:val="28"/>
          <w:szCs w:val="28"/>
        </w:rPr>
        <w:t>；项目支出356.72万元，占26.58</w:t>
      </w:r>
      <w:r>
        <w:rPr>
          <w:rFonts w:ascii="宋体" w:hAnsi="宋体"/>
          <w:color w:val="000000"/>
          <w:sz w:val="28"/>
          <w:szCs w:val="28"/>
        </w:rPr>
        <w:t>%</w:t>
      </w:r>
      <w:r>
        <w:rPr>
          <w:rFonts w:hint="eastAsia" w:ascii="宋体" w:hAnsi="宋体"/>
          <w:color w:val="000000"/>
          <w:sz w:val="28"/>
          <w:szCs w:val="28"/>
        </w:rPr>
        <w:t>；</w:t>
      </w:r>
      <w:r>
        <w:rPr>
          <w:rFonts w:ascii="宋体" w:hAnsi="宋体"/>
          <w:color w:val="000000"/>
          <w:sz w:val="28"/>
          <w:szCs w:val="28"/>
        </w:rPr>
        <w:t>2018</w:t>
      </w:r>
      <w:r>
        <w:rPr>
          <w:rFonts w:hint="eastAsia" w:ascii="宋体" w:hAnsi="宋体"/>
          <w:color w:val="000000"/>
          <w:sz w:val="28"/>
          <w:szCs w:val="28"/>
        </w:rPr>
        <w:t>年</w:t>
      </w:r>
      <w:r>
        <w:rPr>
          <w:rFonts w:hint="eastAsia" w:ascii="宋体" w:hAnsi="宋体"/>
          <w:sz w:val="28"/>
          <w:szCs w:val="28"/>
        </w:rPr>
        <w:t>项目资金财政拨款结转101.91万元，</w:t>
      </w:r>
      <w:r>
        <w:rPr>
          <w:rFonts w:hint="eastAsia" w:ascii="宋体" w:hAnsi="宋体"/>
          <w:color w:val="000000"/>
          <w:sz w:val="28"/>
          <w:szCs w:val="28"/>
        </w:rPr>
        <w:t>占7.59</w:t>
      </w:r>
      <w:r>
        <w:rPr>
          <w:rFonts w:ascii="宋体" w:hAnsi="宋体"/>
          <w:color w:val="000000"/>
          <w:sz w:val="28"/>
          <w:szCs w:val="28"/>
        </w:rPr>
        <w:t>%</w:t>
      </w:r>
      <w:r>
        <w:rPr>
          <w:rFonts w:hint="eastAsia" w:ascii="宋体" w:hAnsi="宋体"/>
          <w:color w:val="000000"/>
          <w:sz w:val="28"/>
          <w:szCs w:val="28"/>
        </w:rPr>
        <w:t>。</w:t>
      </w:r>
      <w:r>
        <w:rPr>
          <w:rFonts w:hint="eastAsia" w:ascii="宋体"/>
          <w:color w:val="000000"/>
          <w:sz w:val="28"/>
          <w:szCs w:val="28"/>
        </w:rPr>
        <w:t>.</w:t>
      </w:r>
    </w:p>
    <w:p w14:paraId="0895F680">
      <w:pPr>
        <w:spacing w:line="600" w:lineRule="exact"/>
        <w:ind w:firstLine="600" w:firstLineChars="200"/>
        <w:outlineLvl w:val="1"/>
        <w:rPr>
          <w:rStyle w:val="18"/>
          <w:rFonts w:ascii="宋体" w:hAnsi="Times New Roman"/>
          <w:sz w:val="30"/>
          <w:szCs w:val="30"/>
        </w:rPr>
      </w:pPr>
      <w:bookmarkStart w:id="24" w:name="_Toc15377208"/>
      <w:bookmarkStart w:id="25" w:name="_Toc15396606"/>
      <w:r>
        <w:rPr>
          <w:rFonts w:hint="eastAsia" w:ascii="宋体" w:hAnsi="宋体"/>
          <w:color w:val="000000"/>
          <w:sz w:val="30"/>
          <w:szCs w:val="30"/>
        </w:rPr>
        <w:t>四、财</w:t>
      </w:r>
      <w:r>
        <w:rPr>
          <w:rStyle w:val="18"/>
          <w:rFonts w:hint="eastAsia" w:ascii="宋体" w:hAnsi="宋体"/>
          <w:sz w:val="30"/>
          <w:szCs w:val="30"/>
        </w:rPr>
        <w:t>政拨款收入支出决算总体情况说明</w:t>
      </w:r>
      <w:bookmarkEnd w:id="24"/>
      <w:bookmarkEnd w:id="25"/>
    </w:p>
    <w:p w14:paraId="6939B663">
      <w:pPr>
        <w:snapToGrid w:val="0"/>
        <w:spacing w:line="520" w:lineRule="exact"/>
        <w:ind w:firstLine="560" w:firstLineChars="200"/>
        <w:rPr>
          <w:rFonts w:asciiTheme="majorEastAsia" w:hAnsiTheme="majorEastAsia" w:eastAsiaTheme="majorEastAsia"/>
          <w:sz w:val="28"/>
          <w:szCs w:val="28"/>
        </w:rPr>
      </w:pPr>
      <w:r>
        <w:rPr>
          <w:rFonts w:asciiTheme="majorEastAsia" w:hAnsiTheme="majorEastAsia" w:eastAsiaTheme="majorEastAsia"/>
          <w:color w:val="000000"/>
          <w:sz w:val="28"/>
          <w:szCs w:val="28"/>
        </w:rPr>
        <w:t>2018</w:t>
      </w:r>
      <w:r>
        <w:rPr>
          <w:rFonts w:hint="eastAsia" w:asciiTheme="majorEastAsia" w:hAnsiTheme="majorEastAsia" w:eastAsiaTheme="majorEastAsia"/>
          <w:color w:val="000000"/>
          <w:sz w:val="28"/>
          <w:szCs w:val="28"/>
        </w:rPr>
        <w:t>年财政拨款收入1342.25万元，</w:t>
      </w:r>
      <w:r>
        <w:rPr>
          <w:rFonts w:hint="eastAsia" w:asciiTheme="majorEastAsia" w:hAnsiTheme="majorEastAsia" w:eastAsiaTheme="majorEastAsia"/>
          <w:sz w:val="28"/>
          <w:szCs w:val="28"/>
        </w:rPr>
        <w:t>与2017年相比较财政拨款收入增加4万元，</w:t>
      </w:r>
      <w:r>
        <w:rPr>
          <w:rFonts w:hint="eastAsia" w:asciiTheme="majorEastAsia" w:hAnsiTheme="majorEastAsia" w:eastAsiaTheme="majorEastAsia"/>
          <w:color w:val="000000"/>
          <w:sz w:val="28"/>
          <w:szCs w:val="28"/>
        </w:rPr>
        <w:t>增长0.3</w:t>
      </w:r>
      <w:r>
        <w:rPr>
          <w:rFonts w:asciiTheme="majorEastAsia" w:hAnsiTheme="majorEastAsia" w:eastAsiaTheme="majorEastAsia"/>
          <w:color w:val="000000"/>
          <w:sz w:val="28"/>
          <w:szCs w:val="28"/>
        </w:rPr>
        <w:t>%</w:t>
      </w:r>
      <w:r>
        <w:rPr>
          <w:rFonts w:hint="eastAsia" w:asciiTheme="majorEastAsia" w:hAnsiTheme="majorEastAsia" w:eastAsiaTheme="majorEastAsia"/>
          <w:color w:val="000000"/>
          <w:sz w:val="28"/>
          <w:szCs w:val="28"/>
        </w:rPr>
        <w:t>。</w:t>
      </w:r>
      <w:r>
        <w:rPr>
          <w:rFonts w:hint="eastAsia" w:asciiTheme="majorEastAsia" w:hAnsiTheme="majorEastAsia" w:eastAsiaTheme="majorEastAsia"/>
          <w:sz w:val="28"/>
          <w:szCs w:val="28"/>
        </w:rPr>
        <w:t>原因：财政增加人员经费。</w:t>
      </w:r>
      <w:r>
        <w:rPr>
          <w:rFonts w:hint="eastAsia" w:asciiTheme="majorEastAsia" w:hAnsiTheme="majorEastAsia" w:eastAsiaTheme="majorEastAsia"/>
          <w:color w:val="000000"/>
          <w:sz w:val="28"/>
          <w:szCs w:val="28"/>
        </w:rPr>
        <w:t>支出1342.25万元。</w:t>
      </w:r>
      <w:r>
        <w:rPr>
          <w:rFonts w:hint="eastAsia" w:asciiTheme="majorEastAsia" w:hAnsiTheme="majorEastAsia" w:eastAsiaTheme="majorEastAsia"/>
          <w:sz w:val="28"/>
          <w:szCs w:val="28"/>
        </w:rPr>
        <w:t>与2017年相比较支出增加87万元。原因：财政增加教育投入，人员经费增加。</w:t>
      </w:r>
    </w:p>
    <w:p w14:paraId="075A1C33">
      <w:pPr>
        <w:snapToGrid w:val="0"/>
        <w:spacing w:line="520" w:lineRule="exact"/>
        <w:rPr>
          <w:rFonts w:ascii="宋体"/>
          <w:sz w:val="28"/>
          <w:szCs w:val="28"/>
        </w:rPr>
      </w:pPr>
      <w:r>
        <w:rPr>
          <w:rFonts w:hint="eastAsia" w:ascii="宋体" w:hAnsi="宋体"/>
          <w:color w:val="000000"/>
          <w:sz w:val="28"/>
          <w:szCs w:val="28"/>
        </w:rPr>
        <w:t>增长6.48</w:t>
      </w:r>
      <w:r>
        <w:rPr>
          <w:rFonts w:ascii="宋体" w:hAnsi="宋体"/>
          <w:color w:val="000000"/>
          <w:sz w:val="28"/>
          <w:szCs w:val="28"/>
        </w:rPr>
        <w:t>%</w:t>
      </w:r>
      <w:r>
        <w:rPr>
          <w:rFonts w:hint="eastAsia" w:ascii="宋体" w:hAnsi="宋体"/>
          <w:color w:val="000000"/>
          <w:sz w:val="28"/>
          <w:szCs w:val="28"/>
        </w:rPr>
        <w:t>。主要变动原因是</w:t>
      </w:r>
      <w:r>
        <w:rPr>
          <w:rFonts w:hint="eastAsia" w:ascii="宋体" w:hAnsi="宋体"/>
          <w:sz w:val="28"/>
          <w:szCs w:val="28"/>
        </w:rPr>
        <w:t>财政增加教育投入，人员经费增加。</w:t>
      </w:r>
    </w:p>
    <w:p w14:paraId="4FE41E9B">
      <w:pPr>
        <w:spacing w:line="600" w:lineRule="exact"/>
        <w:ind w:firstLine="600" w:firstLineChars="200"/>
        <w:outlineLvl w:val="1"/>
        <w:rPr>
          <w:rStyle w:val="18"/>
          <w:rFonts w:ascii="宋体" w:hAnsi="Times New Roman"/>
          <w:b w:val="0"/>
          <w:sz w:val="30"/>
          <w:szCs w:val="30"/>
        </w:rPr>
      </w:pPr>
      <w:bookmarkStart w:id="26" w:name="_Toc15377209"/>
      <w:bookmarkStart w:id="27" w:name="_Toc15396607"/>
      <w:r>
        <w:rPr>
          <w:rFonts w:hint="eastAsia" w:ascii="宋体" w:hAnsi="宋体"/>
          <w:color w:val="000000"/>
          <w:sz w:val="30"/>
          <w:szCs w:val="30"/>
        </w:rPr>
        <w:t>五、</w:t>
      </w:r>
      <w:r>
        <w:rPr>
          <w:rFonts w:hint="eastAsia" w:ascii="宋体" w:hAnsi="宋体"/>
          <w:b/>
          <w:color w:val="000000"/>
          <w:sz w:val="30"/>
          <w:szCs w:val="30"/>
        </w:rPr>
        <w:t>一</w:t>
      </w:r>
      <w:r>
        <w:rPr>
          <w:rStyle w:val="18"/>
          <w:rFonts w:hint="eastAsia" w:ascii="宋体" w:hAnsi="宋体"/>
          <w:b w:val="0"/>
          <w:sz w:val="30"/>
          <w:szCs w:val="30"/>
        </w:rPr>
        <w:t>般公共预算财政拨款支出决算情况说明</w:t>
      </w:r>
      <w:bookmarkEnd w:id="26"/>
      <w:bookmarkEnd w:id="27"/>
    </w:p>
    <w:p w14:paraId="2C85A4F8">
      <w:pPr>
        <w:spacing w:line="600" w:lineRule="exact"/>
        <w:ind w:firstLine="602" w:firstLineChars="200"/>
        <w:outlineLvl w:val="2"/>
        <w:rPr>
          <w:rFonts w:ascii="宋体"/>
          <w:b/>
          <w:color w:val="000000"/>
          <w:sz w:val="30"/>
          <w:szCs w:val="30"/>
        </w:rPr>
      </w:pPr>
      <w:bookmarkStart w:id="28" w:name="_Toc15377210"/>
      <w:r>
        <w:rPr>
          <w:rFonts w:hint="eastAsia" w:ascii="宋体" w:hAnsi="宋体"/>
          <w:b/>
          <w:color w:val="000000"/>
          <w:sz w:val="30"/>
          <w:szCs w:val="30"/>
        </w:rPr>
        <w:t>（一）一般公共预算财政拨款支出决算总体情况</w:t>
      </w:r>
      <w:bookmarkEnd w:id="28"/>
    </w:p>
    <w:p w14:paraId="577AF422">
      <w:pPr>
        <w:spacing w:line="600" w:lineRule="exact"/>
        <w:ind w:firstLine="560" w:firstLineChars="200"/>
        <w:rPr>
          <w:rFonts w:ascii="宋体"/>
          <w:color w:val="000000"/>
          <w:sz w:val="28"/>
          <w:szCs w:val="28"/>
        </w:rPr>
      </w:pPr>
      <w:r>
        <w:rPr>
          <w:rFonts w:ascii="宋体" w:hAnsi="宋体"/>
          <w:color w:val="000000"/>
          <w:sz w:val="28"/>
          <w:szCs w:val="28"/>
        </w:rPr>
        <w:t>2018</w:t>
      </w:r>
      <w:r>
        <w:rPr>
          <w:rFonts w:hint="eastAsia" w:ascii="宋体" w:hAnsi="宋体"/>
          <w:color w:val="000000"/>
          <w:sz w:val="28"/>
          <w:szCs w:val="28"/>
        </w:rPr>
        <w:t>年一般公共预算财政拨款支出1334.5万元，占本年支出合计的99.42</w:t>
      </w:r>
      <w:r>
        <w:rPr>
          <w:rFonts w:ascii="宋体" w:hAnsi="宋体"/>
          <w:color w:val="000000"/>
          <w:sz w:val="28"/>
          <w:szCs w:val="28"/>
        </w:rPr>
        <w:t>%</w:t>
      </w:r>
      <w:r>
        <w:rPr>
          <w:rFonts w:hint="eastAsia" w:ascii="宋体" w:hAnsi="宋体"/>
          <w:color w:val="000000"/>
          <w:sz w:val="28"/>
          <w:szCs w:val="28"/>
        </w:rPr>
        <w:t>。与</w:t>
      </w:r>
      <w:r>
        <w:rPr>
          <w:rFonts w:ascii="宋体" w:hAnsi="宋体"/>
          <w:color w:val="000000"/>
          <w:sz w:val="28"/>
          <w:szCs w:val="28"/>
        </w:rPr>
        <w:t>2017</w:t>
      </w:r>
      <w:r>
        <w:rPr>
          <w:rFonts w:hint="eastAsia" w:ascii="宋体" w:hAnsi="宋体"/>
          <w:color w:val="000000"/>
          <w:sz w:val="28"/>
          <w:szCs w:val="28"/>
        </w:rPr>
        <w:t>年相比，一般公共预算财政拨款增加89.9万元，增长6.74</w:t>
      </w:r>
      <w:r>
        <w:rPr>
          <w:rFonts w:ascii="宋体" w:hAnsi="宋体"/>
          <w:color w:val="000000"/>
          <w:sz w:val="28"/>
          <w:szCs w:val="28"/>
        </w:rPr>
        <w:t>%</w:t>
      </w:r>
      <w:r>
        <w:rPr>
          <w:rFonts w:hint="eastAsia" w:ascii="宋体" w:hAnsi="宋体"/>
          <w:color w:val="000000"/>
          <w:sz w:val="28"/>
          <w:szCs w:val="28"/>
        </w:rPr>
        <w:t>。主要变动原因是</w:t>
      </w:r>
      <w:r>
        <w:rPr>
          <w:rFonts w:hint="eastAsia" w:ascii="宋体" w:hAnsi="宋体"/>
          <w:sz w:val="28"/>
          <w:szCs w:val="28"/>
        </w:rPr>
        <w:t>财政增加教育投入，人员经费增加。</w:t>
      </w:r>
    </w:p>
    <w:p w14:paraId="797778EB">
      <w:pPr>
        <w:spacing w:line="600" w:lineRule="exact"/>
        <w:ind w:firstLine="602" w:firstLineChars="200"/>
        <w:outlineLvl w:val="2"/>
        <w:rPr>
          <w:rFonts w:ascii="宋体"/>
          <w:b/>
          <w:color w:val="000000"/>
          <w:sz w:val="30"/>
          <w:szCs w:val="30"/>
        </w:rPr>
      </w:pPr>
      <w:bookmarkStart w:id="29" w:name="_Toc15377211"/>
      <w:r>
        <w:rPr>
          <w:rFonts w:hint="eastAsia" w:ascii="宋体" w:hAnsi="宋体"/>
          <w:b/>
          <w:color w:val="000000"/>
          <w:sz w:val="30"/>
          <w:szCs w:val="30"/>
        </w:rPr>
        <w:t>（二）一般公共预算财政拨款支出决算结构情况</w:t>
      </w:r>
      <w:bookmarkEnd w:id="29"/>
    </w:p>
    <w:p w14:paraId="5B0DB370">
      <w:pPr>
        <w:spacing w:line="600" w:lineRule="exact"/>
        <w:ind w:firstLine="640"/>
        <w:rPr>
          <w:rFonts w:ascii="宋体"/>
          <w:color w:val="000000"/>
          <w:sz w:val="28"/>
          <w:szCs w:val="28"/>
        </w:rPr>
      </w:pPr>
      <w:r>
        <w:rPr>
          <w:rFonts w:ascii="宋体" w:hAnsi="宋体"/>
          <w:color w:val="000000"/>
          <w:sz w:val="28"/>
          <w:szCs w:val="28"/>
        </w:rPr>
        <w:t>2018</w:t>
      </w:r>
      <w:r>
        <w:rPr>
          <w:rFonts w:hint="eastAsia" w:ascii="宋体" w:hAnsi="宋体"/>
          <w:color w:val="000000"/>
          <w:sz w:val="28"/>
          <w:szCs w:val="28"/>
        </w:rPr>
        <w:t>年一般公共预算财政拨款支出1334.5万元，主要用于以下方面</w:t>
      </w:r>
      <w:r>
        <w:rPr>
          <w:rFonts w:ascii="宋体" w:hAnsi="宋体"/>
          <w:color w:val="000000"/>
          <w:sz w:val="28"/>
          <w:szCs w:val="28"/>
        </w:rPr>
        <w:t>:</w:t>
      </w:r>
      <w:r>
        <w:rPr>
          <w:rFonts w:hint="eastAsia" w:ascii="宋体" w:hAnsi="宋体"/>
          <w:b/>
          <w:color w:val="000000"/>
          <w:sz w:val="28"/>
          <w:szCs w:val="28"/>
        </w:rPr>
        <w:t>教育支出（类）</w:t>
      </w:r>
      <w:r>
        <w:rPr>
          <w:rFonts w:hint="eastAsia" w:ascii="宋体" w:hAnsi="宋体"/>
          <w:color w:val="000000"/>
          <w:sz w:val="28"/>
          <w:szCs w:val="28"/>
        </w:rPr>
        <w:t>994.27万元，占</w:t>
      </w:r>
      <w:r>
        <w:rPr>
          <w:rFonts w:ascii="宋体" w:hAnsi="宋体"/>
          <w:color w:val="000000"/>
          <w:sz w:val="28"/>
          <w:szCs w:val="28"/>
        </w:rPr>
        <w:t>7</w:t>
      </w:r>
      <w:r>
        <w:rPr>
          <w:rFonts w:hint="eastAsia" w:ascii="宋体" w:hAnsi="宋体"/>
          <w:color w:val="000000"/>
          <w:sz w:val="28"/>
          <w:szCs w:val="28"/>
        </w:rPr>
        <w:t>4.51</w:t>
      </w:r>
      <w:r>
        <w:rPr>
          <w:rFonts w:ascii="宋体" w:hAnsi="宋体"/>
          <w:color w:val="000000"/>
          <w:sz w:val="28"/>
          <w:szCs w:val="28"/>
        </w:rPr>
        <w:t>%</w:t>
      </w:r>
      <w:r>
        <w:rPr>
          <w:rFonts w:hint="eastAsia" w:ascii="宋体" w:hAnsi="宋体"/>
          <w:color w:val="000000"/>
          <w:sz w:val="28"/>
          <w:szCs w:val="28"/>
        </w:rPr>
        <w:t>；</w:t>
      </w:r>
      <w:r>
        <w:rPr>
          <w:rFonts w:hint="eastAsia" w:ascii="宋体" w:hAnsi="宋体"/>
          <w:b/>
          <w:color w:val="000000"/>
          <w:sz w:val="28"/>
          <w:szCs w:val="28"/>
        </w:rPr>
        <w:t>社会保障和就业（类）</w:t>
      </w:r>
      <w:r>
        <w:rPr>
          <w:rFonts w:hint="eastAsia" w:ascii="宋体" w:hAnsi="宋体"/>
          <w:color w:val="000000"/>
          <w:sz w:val="28"/>
          <w:szCs w:val="28"/>
        </w:rPr>
        <w:t>支出100.87万元，占7.56</w:t>
      </w:r>
      <w:r>
        <w:rPr>
          <w:rFonts w:ascii="宋体" w:hAnsi="宋体"/>
          <w:color w:val="000000"/>
          <w:sz w:val="28"/>
          <w:szCs w:val="28"/>
        </w:rPr>
        <w:t>%</w:t>
      </w:r>
      <w:r>
        <w:rPr>
          <w:rFonts w:hint="eastAsia" w:ascii="宋体" w:hAnsi="宋体"/>
          <w:color w:val="000000"/>
          <w:sz w:val="28"/>
          <w:szCs w:val="28"/>
        </w:rPr>
        <w:t>；</w:t>
      </w:r>
      <w:r>
        <w:rPr>
          <w:rFonts w:hint="eastAsia" w:ascii="宋体" w:hAnsi="宋体"/>
          <w:b/>
          <w:color w:val="000000"/>
          <w:sz w:val="28"/>
          <w:szCs w:val="28"/>
        </w:rPr>
        <w:t>医疗卫生支出</w:t>
      </w:r>
      <w:r>
        <w:rPr>
          <w:rFonts w:hint="eastAsia" w:ascii="宋体" w:hAnsi="宋体"/>
          <w:color w:val="000000"/>
          <w:sz w:val="28"/>
          <w:szCs w:val="28"/>
        </w:rPr>
        <w:t>43.51万元，占3.26</w:t>
      </w:r>
      <w:r>
        <w:rPr>
          <w:rFonts w:ascii="宋体" w:hAnsi="宋体"/>
          <w:color w:val="000000"/>
          <w:sz w:val="28"/>
          <w:szCs w:val="28"/>
        </w:rPr>
        <w:t>%</w:t>
      </w:r>
      <w:r>
        <w:rPr>
          <w:rFonts w:hint="eastAsia" w:ascii="宋体" w:hAnsi="宋体"/>
          <w:color w:val="000000"/>
          <w:sz w:val="28"/>
          <w:szCs w:val="28"/>
        </w:rPr>
        <w:t>；住房保障支出95.82万元，占7.18</w:t>
      </w:r>
      <w:r>
        <w:rPr>
          <w:rFonts w:ascii="宋体" w:hAnsi="宋体"/>
          <w:color w:val="000000"/>
          <w:sz w:val="28"/>
          <w:szCs w:val="28"/>
        </w:rPr>
        <w:t>%</w:t>
      </w:r>
      <w:r>
        <w:rPr>
          <w:rFonts w:hint="eastAsia" w:ascii="宋体" w:hAnsi="宋体"/>
          <w:color w:val="000000"/>
          <w:sz w:val="28"/>
          <w:szCs w:val="28"/>
        </w:rPr>
        <w:t>；年末财政拨款结转100.03万元，占7.5</w:t>
      </w:r>
      <w:r>
        <w:rPr>
          <w:rFonts w:ascii="宋体" w:hAnsi="宋体"/>
          <w:color w:val="000000"/>
          <w:sz w:val="28"/>
          <w:szCs w:val="28"/>
        </w:rPr>
        <w:t>%</w:t>
      </w:r>
      <w:r>
        <w:rPr>
          <w:rFonts w:hint="eastAsia" w:ascii="宋体" w:hAnsi="宋体"/>
          <w:color w:val="000000"/>
          <w:sz w:val="28"/>
          <w:szCs w:val="28"/>
        </w:rPr>
        <w:t>.</w:t>
      </w:r>
    </w:p>
    <w:p w14:paraId="7810F33E">
      <w:pPr>
        <w:spacing w:line="600" w:lineRule="exact"/>
        <w:ind w:firstLine="602" w:firstLineChars="200"/>
        <w:outlineLvl w:val="2"/>
        <w:rPr>
          <w:rFonts w:ascii="宋体"/>
          <w:b/>
          <w:color w:val="000000"/>
          <w:sz w:val="30"/>
          <w:szCs w:val="30"/>
        </w:rPr>
      </w:pPr>
      <w:bookmarkStart w:id="30" w:name="_Toc15377212"/>
      <w:r>
        <w:rPr>
          <w:rFonts w:hint="eastAsia" w:ascii="宋体" w:hAnsi="宋体"/>
          <w:b/>
          <w:color w:val="000000"/>
          <w:sz w:val="30"/>
          <w:szCs w:val="30"/>
        </w:rPr>
        <w:t>（三）一般公共预算财政拨款支出决算具体情况</w:t>
      </w:r>
      <w:bookmarkEnd w:id="30"/>
    </w:p>
    <w:p w14:paraId="76A40A1C">
      <w:pPr>
        <w:spacing w:line="600" w:lineRule="exact"/>
        <w:ind w:firstLine="562" w:firstLineChars="200"/>
        <w:outlineLvl w:val="2"/>
        <w:rPr>
          <w:rFonts w:ascii="宋体"/>
          <w:color w:val="FF0000"/>
          <w:sz w:val="28"/>
          <w:szCs w:val="28"/>
        </w:rPr>
      </w:pPr>
      <w:bookmarkStart w:id="31" w:name="_Toc15377213"/>
      <w:bookmarkStart w:id="32" w:name="_Toc15377444"/>
      <w:bookmarkStart w:id="33" w:name="_Toc15378460"/>
      <w:r>
        <w:rPr>
          <w:rFonts w:ascii="宋体" w:hAnsi="宋体"/>
          <w:b/>
          <w:color w:val="000000"/>
          <w:sz w:val="28"/>
          <w:szCs w:val="28"/>
        </w:rPr>
        <w:t>2018</w:t>
      </w:r>
      <w:r>
        <w:rPr>
          <w:rFonts w:hint="eastAsia" w:ascii="宋体" w:hAnsi="宋体"/>
          <w:b/>
          <w:color w:val="000000"/>
          <w:sz w:val="28"/>
          <w:szCs w:val="28"/>
        </w:rPr>
        <w:t>年一般公共预算支出决算数为</w:t>
      </w:r>
      <w:r>
        <w:rPr>
          <w:rFonts w:hint="eastAsia" w:ascii="宋体" w:hAnsi="宋体"/>
          <w:color w:val="000000"/>
          <w:sz w:val="28"/>
          <w:szCs w:val="28"/>
        </w:rPr>
        <w:t>1334.5万元，</w:t>
      </w:r>
      <w:r>
        <w:rPr>
          <w:rStyle w:val="15"/>
          <w:rFonts w:hint="eastAsia" w:ascii="宋体" w:hAnsi="宋体"/>
          <w:bCs/>
          <w:color w:val="000000"/>
          <w:sz w:val="28"/>
          <w:szCs w:val="28"/>
        </w:rPr>
        <w:t>完成预算145.86</w:t>
      </w:r>
      <w:r>
        <w:rPr>
          <w:rFonts w:ascii="宋体" w:hAnsi="宋体"/>
          <w:color w:val="000000"/>
          <w:sz w:val="28"/>
          <w:szCs w:val="28"/>
        </w:rPr>
        <w:t>%</w:t>
      </w:r>
      <w:r>
        <w:rPr>
          <w:rStyle w:val="15"/>
          <w:rFonts w:ascii="宋体"/>
          <w:bCs/>
          <w:color w:val="000000"/>
          <w:sz w:val="28"/>
          <w:szCs w:val="28"/>
        </w:rPr>
        <w:t>,</w:t>
      </w:r>
      <w:r>
        <w:rPr>
          <w:rStyle w:val="15"/>
          <w:rFonts w:hint="eastAsia" w:ascii="宋体" w:hAnsi="宋体"/>
          <w:bCs/>
          <w:color w:val="000000"/>
          <w:sz w:val="28"/>
          <w:szCs w:val="28"/>
        </w:rPr>
        <w:t>其中：</w:t>
      </w:r>
      <w:bookmarkEnd w:id="31"/>
      <w:bookmarkEnd w:id="32"/>
      <w:bookmarkEnd w:id="33"/>
    </w:p>
    <w:p w14:paraId="0E2871D2">
      <w:pPr>
        <w:spacing w:line="600" w:lineRule="exact"/>
        <w:ind w:firstLine="562" w:firstLineChars="200"/>
        <w:rPr>
          <w:rFonts w:ascii="宋体"/>
          <w:b/>
          <w:color w:val="000000"/>
          <w:sz w:val="28"/>
          <w:szCs w:val="28"/>
        </w:rPr>
      </w:pPr>
      <w:r>
        <w:rPr>
          <w:rStyle w:val="15"/>
          <w:rFonts w:ascii="宋体" w:hAnsi="宋体"/>
          <w:bCs/>
          <w:color w:val="000000"/>
          <w:sz w:val="28"/>
          <w:szCs w:val="28"/>
        </w:rPr>
        <w:t xml:space="preserve">1. </w:t>
      </w:r>
      <w:r>
        <w:rPr>
          <w:rStyle w:val="15"/>
          <w:rFonts w:hint="eastAsia" w:ascii="宋体" w:hAnsi="宋体"/>
          <w:bCs/>
          <w:color w:val="000000"/>
          <w:sz w:val="28"/>
          <w:szCs w:val="28"/>
        </w:rPr>
        <w:t>教育（类）</w:t>
      </w:r>
      <w:r>
        <w:rPr>
          <w:rStyle w:val="15"/>
          <w:rFonts w:ascii="宋体" w:hAnsi="宋体"/>
          <w:bCs/>
          <w:color w:val="000000"/>
          <w:sz w:val="28"/>
          <w:szCs w:val="28"/>
        </w:rPr>
        <w:t>2050202:</w:t>
      </w:r>
      <w:r>
        <w:rPr>
          <w:rStyle w:val="15"/>
          <w:rFonts w:hint="eastAsia" w:ascii="宋体" w:hAnsi="宋体"/>
          <w:b w:val="0"/>
          <w:bCs/>
          <w:color w:val="000000"/>
          <w:sz w:val="28"/>
          <w:szCs w:val="28"/>
        </w:rPr>
        <w:t>支出决算为</w:t>
      </w:r>
      <w:r>
        <w:rPr>
          <w:rFonts w:hint="eastAsia" w:ascii="宋体" w:hAnsi="宋体"/>
          <w:color w:val="000000"/>
          <w:sz w:val="28"/>
          <w:szCs w:val="28"/>
        </w:rPr>
        <w:t>994.27</w:t>
      </w:r>
      <w:r>
        <w:rPr>
          <w:rStyle w:val="15"/>
          <w:rFonts w:hint="eastAsia" w:ascii="宋体" w:hAnsi="宋体"/>
          <w:b w:val="0"/>
          <w:bCs/>
          <w:color w:val="000000"/>
          <w:sz w:val="28"/>
          <w:szCs w:val="28"/>
        </w:rPr>
        <w:t>万元，完成预算</w:t>
      </w:r>
      <w:r>
        <w:rPr>
          <w:rStyle w:val="15"/>
          <w:rFonts w:ascii="宋体" w:hAnsi="宋体"/>
          <w:b w:val="0"/>
          <w:bCs/>
          <w:color w:val="000000"/>
          <w:sz w:val="28"/>
          <w:szCs w:val="28"/>
        </w:rPr>
        <w:t>133.71%</w:t>
      </w:r>
      <w:r>
        <w:rPr>
          <w:rStyle w:val="15"/>
          <w:rFonts w:hint="eastAsia" w:ascii="宋体" w:hAnsi="宋体"/>
          <w:b w:val="0"/>
          <w:bCs/>
          <w:color w:val="000000"/>
          <w:sz w:val="28"/>
          <w:szCs w:val="28"/>
        </w:rPr>
        <w:t>，决算数大于预算数的主要原因是</w:t>
      </w:r>
      <w:r>
        <w:rPr>
          <w:rFonts w:hint="eastAsia" w:ascii="宋体" w:hAnsi="宋体"/>
          <w:sz w:val="28"/>
          <w:szCs w:val="28"/>
        </w:rPr>
        <w:t>财政增加教育投入，人员经费增加。</w:t>
      </w:r>
    </w:p>
    <w:p w14:paraId="07190134">
      <w:pPr>
        <w:spacing w:line="600" w:lineRule="exact"/>
        <w:ind w:firstLine="562" w:firstLineChars="200"/>
        <w:rPr>
          <w:rStyle w:val="15"/>
          <w:rFonts w:ascii="宋体"/>
          <w:b w:val="0"/>
          <w:bCs/>
          <w:color w:val="000000"/>
          <w:sz w:val="28"/>
          <w:szCs w:val="28"/>
        </w:rPr>
      </w:pPr>
      <w:r>
        <w:rPr>
          <w:rStyle w:val="15"/>
          <w:rFonts w:ascii="宋体" w:hAnsi="宋体"/>
          <w:bCs/>
          <w:color w:val="000000"/>
          <w:sz w:val="28"/>
          <w:szCs w:val="28"/>
        </w:rPr>
        <w:t>2.</w:t>
      </w:r>
      <w:r>
        <w:rPr>
          <w:rStyle w:val="15"/>
          <w:rFonts w:hint="eastAsia" w:ascii="宋体" w:hAnsi="宋体"/>
          <w:bCs/>
          <w:color w:val="000000"/>
          <w:sz w:val="28"/>
          <w:szCs w:val="28"/>
        </w:rPr>
        <w:t>社会保障和就业</w:t>
      </w:r>
      <w:r>
        <w:rPr>
          <w:rStyle w:val="15"/>
          <w:rFonts w:ascii="宋体" w:hAnsi="宋体"/>
          <w:bCs/>
          <w:color w:val="000000"/>
          <w:sz w:val="28"/>
          <w:szCs w:val="28"/>
        </w:rPr>
        <w:t>2080505:</w:t>
      </w:r>
      <w:r>
        <w:rPr>
          <w:rStyle w:val="15"/>
          <w:rFonts w:hint="eastAsia" w:ascii="宋体" w:hAnsi="宋体"/>
          <w:b w:val="0"/>
          <w:bCs/>
          <w:color w:val="000000"/>
          <w:sz w:val="28"/>
          <w:szCs w:val="28"/>
        </w:rPr>
        <w:t>支出决算为100.87万元，完成预算102.36</w:t>
      </w:r>
      <w:r>
        <w:rPr>
          <w:rStyle w:val="15"/>
          <w:rFonts w:ascii="宋体" w:hAnsi="宋体"/>
          <w:b w:val="0"/>
          <w:bCs/>
          <w:color w:val="000000"/>
          <w:sz w:val="28"/>
          <w:szCs w:val="28"/>
        </w:rPr>
        <w:t>%</w:t>
      </w:r>
      <w:r>
        <w:rPr>
          <w:rStyle w:val="15"/>
          <w:rFonts w:hint="eastAsia" w:ascii="宋体" w:hAnsi="宋体"/>
          <w:b w:val="0"/>
          <w:bCs/>
          <w:color w:val="000000"/>
          <w:sz w:val="28"/>
          <w:szCs w:val="28"/>
        </w:rPr>
        <w:t>，决算数大于预算数预算数的主要原因是</w:t>
      </w:r>
      <w:r>
        <w:rPr>
          <w:rFonts w:hint="eastAsia" w:ascii="宋体" w:hAnsi="宋体"/>
          <w:sz w:val="28"/>
          <w:szCs w:val="28"/>
        </w:rPr>
        <w:t>财政增加教育投入，人员经费增加。</w:t>
      </w:r>
    </w:p>
    <w:p w14:paraId="7AF8E01B">
      <w:pPr>
        <w:spacing w:line="600" w:lineRule="exact"/>
        <w:ind w:firstLine="562" w:firstLineChars="200"/>
        <w:rPr>
          <w:rFonts w:ascii="宋体" w:hAnsi="宋体"/>
          <w:sz w:val="28"/>
          <w:szCs w:val="28"/>
        </w:rPr>
      </w:pPr>
      <w:r>
        <w:rPr>
          <w:rStyle w:val="15"/>
          <w:rFonts w:ascii="宋体" w:hAnsi="宋体"/>
          <w:bCs/>
          <w:color w:val="000000"/>
          <w:sz w:val="28"/>
          <w:szCs w:val="28"/>
        </w:rPr>
        <w:t>3.</w:t>
      </w:r>
      <w:r>
        <w:rPr>
          <w:rStyle w:val="15"/>
          <w:rFonts w:hint="eastAsia" w:ascii="宋体" w:hAnsi="宋体"/>
          <w:bCs/>
          <w:color w:val="000000"/>
          <w:sz w:val="28"/>
          <w:szCs w:val="28"/>
        </w:rPr>
        <w:t>医疗卫生与计划生育</w:t>
      </w:r>
      <w:r>
        <w:rPr>
          <w:rStyle w:val="15"/>
          <w:rFonts w:ascii="宋体" w:hAnsi="宋体"/>
          <w:bCs/>
          <w:color w:val="000000"/>
          <w:sz w:val="28"/>
          <w:szCs w:val="28"/>
        </w:rPr>
        <w:t>2101102:</w:t>
      </w:r>
      <w:r>
        <w:rPr>
          <w:rStyle w:val="15"/>
          <w:rFonts w:hint="eastAsia" w:ascii="宋体" w:hAnsi="宋体"/>
          <w:b w:val="0"/>
          <w:bCs/>
          <w:color w:val="000000"/>
          <w:sz w:val="28"/>
          <w:szCs w:val="28"/>
        </w:rPr>
        <w:t>支出决算为43.51万元，完成预算117.43</w:t>
      </w:r>
      <w:r>
        <w:rPr>
          <w:rStyle w:val="15"/>
          <w:rFonts w:ascii="宋体" w:hAnsi="宋体"/>
          <w:b w:val="0"/>
          <w:bCs/>
          <w:color w:val="000000"/>
          <w:sz w:val="28"/>
          <w:szCs w:val="28"/>
        </w:rPr>
        <w:t>%</w:t>
      </w:r>
      <w:r>
        <w:rPr>
          <w:rStyle w:val="15"/>
          <w:rFonts w:hint="eastAsia" w:ascii="宋体" w:hAnsi="宋体"/>
          <w:b w:val="0"/>
          <w:bCs/>
          <w:color w:val="000000"/>
          <w:sz w:val="28"/>
          <w:szCs w:val="28"/>
        </w:rPr>
        <w:t>，决算数大于预算数预算数的主要原因是</w:t>
      </w:r>
      <w:r>
        <w:rPr>
          <w:rFonts w:hint="eastAsia" w:ascii="宋体" w:hAnsi="宋体"/>
          <w:sz w:val="28"/>
          <w:szCs w:val="28"/>
        </w:rPr>
        <w:t>财政增加教育投入，人员经费增加。</w:t>
      </w:r>
    </w:p>
    <w:p w14:paraId="23A41266">
      <w:pPr>
        <w:spacing w:line="600" w:lineRule="exact"/>
        <w:ind w:firstLine="562" w:firstLineChars="200"/>
        <w:rPr>
          <w:rFonts w:ascii="宋体"/>
          <w:b/>
          <w:color w:val="000000"/>
          <w:sz w:val="28"/>
          <w:szCs w:val="28"/>
        </w:rPr>
      </w:pPr>
      <w:r>
        <w:rPr>
          <w:rStyle w:val="15"/>
          <w:rFonts w:ascii="宋体" w:hAnsi="宋体"/>
          <w:bCs/>
          <w:color w:val="000000"/>
          <w:sz w:val="28"/>
          <w:szCs w:val="28"/>
        </w:rPr>
        <w:t>4.</w:t>
      </w:r>
      <w:r>
        <w:rPr>
          <w:rFonts w:ascii="宋体" w:hAnsi="宋体"/>
          <w:color w:val="000000"/>
          <w:sz w:val="28"/>
          <w:szCs w:val="28"/>
        </w:rPr>
        <w:t xml:space="preserve"> </w:t>
      </w:r>
      <w:r>
        <w:rPr>
          <w:rFonts w:hint="eastAsia" w:ascii="宋体" w:hAnsi="宋体"/>
          <w:color w:val="000000"/>
          <w:sz w:val="28"/>
          <w:szCs w:val="28"/>
        </w:rPr>
        <w:t>住房保障支出</w:t>
      </w:r>
      <w:r>
        <w:rPr>
          <w:rStyle w:val="15"/>
          <w:rFonts w:ascii="宋体" w:hAnsi="宋体"/>
          <w:b w:val="0"/>
          <w:bCs/>
          <w:color w:val="000000"/>
          <w:sz w:val="28"/>
          <w:szCs w:val="28"/>
        </w:rPr>
        <w:t>2210201</w:t>
      </w:r>
      <w:r>
        <w:rPr>
          <w:rStyle w:val="15"/>
          <w:rFonts w:ascii="宋体" w:hAnsi="宋体"/>
          <w:bCs/>
          <w:color w:val="000000"/>
          <w:sz w:val="28"/>
          <w:szCs w:val="28"/>
        </w:rPr>
        <w:t>:</w:t>
      </w:r>
      <w:r>
        <w:rPr>
          <w:rStyle w:val="15"/>
          <w:rFonts w:hint="eastAsia" w:ascii="宋体" w:hAnsi="宋体"/>
          <w:b w:val="0"/>
          <w:bCs/>
          <w:color w:val="000000"/>
          <w:sz w:val="28"/>
          <w:szCs w:val="28"/>
        </w:rPr>
        <w:t>支出决算为95.82万元，完成预算</w:t>
      </w:r>
      <w:r>
        <w:rPr>
          <w:rStyle w:val="15"/>
          <w:rFonts w:ascii="宋体" w:hAnsi="宋体"/>
          <w:b w:val="0"/>
          <w:bCs/>
          <w:color w:val="000000"/>
          <w:sz w:val="28"/>
          <w:szCs w:val="28"/>
        </w:rPr>
        <w:t>10</w:t>
      </w:r>
      <w:r>
        <w:rPr>
          <w:rStyle w:val="15"/>
          <w:rFonts w:hint="eastAsia" w:ascii="宋体" w:hAnsi="宋体"/>
          <w:b w:val="0"/>
          <w:bCs/>
          <w:color w:val="000000"/>
          <w:sz w:val="28"/>
          <w:szCs w:val="28"/>
        </w:rPr>
        <w:t>5.38</w:t>
      </w:r>
      <w:r>
        <w:rPr>
          <w:rStyle w:val="15"/>
          <w:rFonts w:ascii="宋体" w:hAnsi="宋体"/>
          <w:b w:val="0"/>
          <w:bCs/>
          <w:color w:val="000000"/>
          <w:sz w:val="28"/>
          <w:szCs w:val="28"/>
        </w:rPr>
        <w:t>%</w:t>
      </w:r>
      <w:r>
        <w:rPr>
          <w:rStyle w:val="15"/>
          <w:rFonts w:hint="eastAsia" w:ascii="宋体" w:hAnsi="宋体"/>
          <w:b w:val="0"/>
          <w:bCs/>
          <w:color w:val="000000"/>
          <w:sz w:val="28"/>
          <w:szCs w:val="28"/>
        </w:rPr>
        <w:t>，决算数大于预算数预算数的主要原因是</w:t>
      </w:r>
      <w:r>
        <w:rPr>
          <w:rFonts w:hint="eastAsia" w:ascii="宋体" w:hAnsi="宋体"/>
          <w:sz w:val="28"/>
          <w:szCs w:val="28"/>
        </w:rPr>
        <w:t>财政增加教育投入，人员经费增加。</w:t>
      </w:r>
    </w:p>
    <w:p w14:paraId="6A12670C">
      <w:pPr>
        <w:tabs>
          <w:tab w:val="right" w:pos="8306"/>
        </w:tabs>
        <w:spacing w:line="600" w:lineRule="exact"/>
        <w:ind w:firstLine="640"/>
        <w:outlineLvl w:val="1"/>
        <w:rPr>
          <w:rStyle w:val="18"/>
          <w:rFonts w:ascii="宋体" w:hAnsi="Times New Roman"/>
          <w:sz w:val="30"/>
          <w:szCs w:val="30"/>
        </w:rPr>
      </w:pPr>
      <w:bookmarkStart w:id="34" w:name="_Toc15396608"/>
      <w:bookmarkStart w:id="35" w:name="_Toc15377214"/>
      <w:r>
        <w:rPr>
          <w:rFonts w:hint="eastAsia" w:ascii="宋体" w:hAnsi="宋体"/>
          <w:color w:val="000000"/>
          <w:sz w:val="30"/>
          <w:szCs w:val="30"/>
        </w:rPr>
        <w:t>六、一</w:t>
      </w:r>
      <w:r>
        <w:rPr>
          <w:rStyle w:val="18"/>
          <w:rFonts w:hint="eastAsia" w:ascii="宋体" w:hAnsi="宋体"/>
          <w:sz w:val="30"/>
          <w:szCs w:val="30"/>
        </w:rPr>
        <w:t>般公共预算财政拨款基本支出决算情况说明</w:t>
      </w:r>
      <w:bookmarkEnd w:id="34"/>
      <w:bookmarkEnd w:id="35"/>
      <w:r>
        <w:rPr>
          <w:rStyle w:val="18"/>
          <w:rFonts w:ascii="宋体" w:hAnsi="Times New Roman"/>
          <w:sz w:val="30"/>
          <w:szCs w:val="30"/>
        </w:rPr>
        <w:tab/>
      </w:r>
    </w:p>
    <w:p w14:paraId="5919D8BA">
      <w:pPr>
        <w:spacing w:line="600" w:lineRule="exact"/>
        <w:ind w:firstLine="645"/>
        <w:rPr>
          <w:rFonts w:ascii="宋体"/>
          <w:color w:val="000000"/>
          <w:sz w:val="28"/>
          <w:szCs w:val="28"/>
        </w:rPr>
      </w:pPr>
      <w:r>
        <w:rPr>
          <w:rFonts w:ascii="宋体" w:hAnsi="宋体"/>
          <w:color w:val="000000"/>
          <w:sz w:val="28"/>
          <w:szCs w:val="28"/>
        </w:rPr>
        <w:t>2018</w:t>
      </w:r>
      <w:r>
        <w:rPr>
          <w:rFonts w:hint="eastAsia" w:ascii="宋体" w:hAnsi="宋体"/>
          <w:color w:val="000000"/>
          <w:sz w:val="28"/>
          <w:szCs w:val="28"/>
        </w:rPr>
        <w:t>年一般公共预算财政拨款基本支出883.61万元，其中：</w:t>
      </w:r>
    </w:p>
    <w:p w14:paraId="675052C5">
      <w:pPr>
        <w:spacing w:line="600" w:lineRule="exact"/>
        <w:ind w:firstLine="645"/>
        <w:rPr>
          <w:rFonts w:ascii="宋体"/>
          <w:color w:val="000000"/>
          <w:sz w:val="28"/>
          <w:szCs w:val="28"/>
        </w:rPr>
      </w:pPr>
      <w:r>
        <w:rPr>
          <w:rFonts w:hint="eastAsia" w:ascii="宋体" w:hAnsi="宋体"/>
          <w:b/>
          <w:color w:val="000000"/>
          <w:sz w:val="28"/>
          <w:szCs w:val="28"/>
        </w:rPr>
        <w:t>人员经费</w:t>
      </w:r>
      <w:r>
        <w:rPr>
          <w:rFonts w:hint="eastAsia" w:ascii="宋体" w:hAnsi="宋体"/>
          <w:color w:val="000000"/>
          <w:sz w:val="28"/>
          <w:szCs w:val="28"/>
        </w:rPr>
        <w:t>865.64万元，主要包括：基本工资、津贴补贴、奖金、伙食补助费、绩效工资、机关事业单位基本养老保险缴费、职业年金缴费、其他社会保障缴费、其他工资福利支出、离休费、退休费、抚恤金、生活补助、医疗费、奖励金、住房公积金、提租补贴、购房补贴、其他对个人和家庭的补助支出等。</w:t>
      </w:r>
      <w:r>
        <w:rPr>
          <w:rFonts w:ascii="宋体"/>
          <w:color w:val="000000"/>
          <w:sz w:val="28"/>
          <w:szCs w:val="28"/>
        </w:rPr>
        <w:br w:type="textWrapping"/>
      </w:r>
      <w:r>
        <w:rPr>
          <w:rFonts w:hint="eastAsia" w:ascii="宋体" w:hAnsi="宋体"/>
          <w:color w:val="000000"/>
          <w:sz w:val="28"/>
          <w:szCs w:val="28"/>
        </w:rPr>
        <w:t>　　</w:t>
      </w:r>
      <w:r>
        <w:rPr>
          <w:rFonts w:hint="eastAsia" w:ascii="宋体" w:hAnsi="宋体"/>
          <w:b/>
          <w:color w:val="000000"/>
          <w:sz w:val="28"/>
          <w:szCs w:val="28"/>
        </w:rPr>
        <w:t>公用经费</w:t>
      </w:r>
      <w:r>
        <w:rPr>
          <w:rFonts w:ascii="宋体" w:hAnsi="宋体"/>
          <w:color w:val="000000"/>
          <w:sz w:val="28"/>
          <w:szCs w:val="28"/>
        </w:rPr>
        <w:t>1</w:t>
      </w:r>
      <w:r>
        <w:rPr>
          <w:rFonts w:hint="eastAsia" w:ascii="宋体" w:hAnsi="宋体"/>
          <w:color w:val="000000"/>
          <w:sz w:val="28"/>
          <w:szCs w:val="28"/>
        </w:rPr>
        <w:t>7.97万元，主要包括：办公费、印刷费、咨询费、手续费、水费、电费、邮电费、取暖费、物业管理费、差旅费、维修（护）费、培训费、劳务费、工会经费、福利费、公务用车运行维护费、其他交通费、税金及附加费用、其他商品和服务支出、办公设备购置、专用设备购置、信息网络及软件购置更新、其他资本性支出等。</w:t>
      </w:r>
    </w:p>
    <w:p w14:paraId="6A33CEC9">
      <w:pPr>
        <w:spacing w:line="600" w:lineRule="exact"/>
        <w:ind w:firstLine="640"/>
        <w:outlineLvl w:val="1"/>
        <w:rPr>
          <w:rStyle w:val="18"/>
          <w:rFonts w:ascii="宋体" w:hAnsi="Times New Roman"/>
          <w:sz w:val="30"/>
          <w:szCs w:val="30"/>
        </w:rPr>
      </w:pPr>
      <w:bookmarkStart w:id="36" w:name="_Toc15396609"/>
      <w:bookmarkStart w:id="37" w:name="_Toc15377215"/>
      <w:r>
        <w:rPr>
          <w:rFonts w:hint="eastAsia" w:ascii="宋体" w:hAnsi="宋体"/>
          <w:color w:val="000000"/>
          <w:sz w:val="30"/>
          <w:szCs w:val="30"/>
        </w:rPr>
        <w:t>七、</w:t>
      </w:r>
      <w:r>
        <w:rPr>
          <w:rStyle w:val="18"/>
          <w:rFonts w:hint="eastAsia" w:ascii="宋体" w:hAnsi="宋体"/>
          <w:sz w:val="30"/>
          <w:szCs w:val="30"/>
        </w:rPr>
        <w:t>“三公”经费财政拨款支出决算情况说明</w:t>
      </w:r>
      <w:bookmarkEnd w:id="36"/>
      <w:bookmarkEnd w:id="37"/>
    </w:p>
    <w:p w14:paraId="60BEFEB2">
      <w:pPr>
        <w:spacing w:line="600" w:lineRule="exact"/>
        <w:ind w:firstLine="640"/>
        <w:outlineLvl w:val="2"/>
        <w:rPr>
          <w:rFonts w:ascii="宋体"/>
          <w:b/>
          <w:color w:val="000000"/>
          <w:sz w:val="30"/>
          <w:szCs w:val="30"/>
        </w:rPr>
      </w:pPr>
      <w:bookmarkStart w:id="38" w:name="_Toc15377216"/>
      <w:r>
        <w:rPr>
          <w:rFonts w:hint="eastAsia" w:ascii="宋体" w:hAnsi="宋体"/>
          <w:b/>
          <w:color w:val="000000"/>
          <w:sz w:val="30"/>
          <w:szCs w:val="30"/>
        </w:rPr>
        <w:t>（一）“三公”经费财政拨款支出决算总体情况说明</w:t>
      </w:r>
      <w:bookmarkEnd w:id="38"/>
    </w:p>
    <w:p w14:paraId="234B0E59">
      <w:pPr>
        <w:spacing w:line="480" w:lineRule="auto"/>
        <w:ind w:firstLine="640"/>
        <w:rPr>
          <w:rFonts w:ascii="宋体"/>
          <w:color w:val="000000"/>
          <w:sz w:val="28"/>
          <w:szCs w:val="28"/>
        </w:rPr>
      </w:pPr>
      <w:r>
        <w:rPr>
          <w:rFonts w:ascii="宋体" w:hAnsi="宋体"/>
          <w:color w:val="000000"/>
          <w:sz w:val="28"/>
          <w:szCs w:val="28"/>
        </w:rPr>
        <w:t>2018</w:t>
      </w:r>
      <w:r>
        <w:rPr>
          <w:rFonts w:hint="eastAsia" w:ascii="宋体" w:hAnsi="宋体"/>
          <w:color w:val="000000"/>
          <w:sz w:val="28"/>
          <w:szCs w:val="28"/>
        </w:rPr>
        <w:t>年“三公”经费财政拨款支出决算为</w:t>
      </w:r>
      <w:r>
        <w:rPr>
          <w:rFonts w:hint="eastAsia" w:ascii="宋体"/>
          <w:color w:val="000000"/>
          <w:sz w:val="28"/>
          <w:szCs w:val="28"/>
        </w:rPr>
        <w:t>0.23</w:t>
      </w:r>
      <w:r>
        <w:rPr>
          <w:rFonts w:hint="eastAsia" w:ascii="宋体" w:hAnsi="宋体"/>
          <w:color w:val="000000"/>
          <w:sz w:val="28"/>
          <w:szCs w:val="28"/>
        </w:rPr>
        <w:t>万元。</w:t>
      </w:r>
    </w:p>
    <w:p w14:paraId="54607422">
      <w:pPr>
        <w:spacing w:line="480" w:lineRule="auto"/>
        <w:ind w:firstLine="640"/>
        <w:rPr>
          <w:rFonts w:ascii="宋体"/>
          <w:color w:val="333333"/>
          <w:sz w:val="28"/>
          <w:szCs w:val="28"/>
        </w:rPr>
      </w:pPr>
      <w:r>
        <w:rPr>
          <w:rFonts w:hint="eastAsia" w:ascii="宋体" w:hAnsi="宋体"/>
          <w:color w:val="333333"/>
          <w:sz w:val="28"/>
          <w:szCs w:val="28"/>
        </w:rPr>
        <w:t>攀枝花市仁和区大龙潭乡中心学校</w:t>
      </w:r>
      <w:r>
        <w:rPr>
          <w:rFonts w:ascii="宋体" w:hAnsi="宋体"/>
          <w:color w:val="333333"/>
          <w:sz w:val="28"/>
          <w:szCs w:val="28"/>
        </w:rPr>
        <w:t>2018</w:t>
      </w:r>
      <w:r>
        <w:rPr>
          <w:rFonts w:hint="eastAsia" w:ascii="宋体" w:hAnsi="宋体"/>
          <w:color w:val="333333"/>
          <w:sz w:val="28"/>
          <w:szCs w:val="28"/>
        </w:rPr>
        <w:t>年度“三公”经费财政拨款支出决算为0.23万元，其中：因公出国（境）费支出决算为</w:t>
      </w:r>
      <w:r>
        <w:rPr>
          <w:rFonts w:ascii="宋体"/>
          <w:color w:val="333333"/>
          <w:sz w:val="28"/>
          <w:szCs w:val="28"/>
        </w:rPr>
        <w:t>0</w:t>
      </w:r>
      <w:r>
        <w:rPr>
          <w:rFonts w:hint="eastAsia" w:ascii="宋体" w:hAnsi="宋体"/>
          <w:color w:val="333333"/>
          <w:sz w:val="28"/>
          <w:szCs w:val="28"/>
        </w:rPr>
        <w:t>万元，公务用车购置及运行维护费支出决算为0.23万元，公务接待费支出决算为</w:t>
      </w:r>
      <w:r>
        <w:rPr>
          <w:rFonts w:ascii="宋体"/>
          <w:color w:val="333333"/>
          <w:sz w:val="28"/>
          <w:szCs w:val="28"/>
        </w:rPr>
        <w:t>0</w:t>
      </w:r>
      <w:r>
        <w:rPr>
          <w:rFonts w:hint="eastAsia" w:ascii="宋体" w:hAnsi="宋体"/>
          <w:color w:val="333333"/>
          <w:sz w:val="28"/>
          <w:szCs w:val="28"/>
        </w:rPr>
        <w:t>万元，无因公出国（境）费用支出。</w:t>
      </w:r>
      <w:r>
        <w:rPr>
          <w:rFonts w:ascii="宋体"/>
          <w:color w:val="333333"/>
          <w:sz w:val="28"/>
          <w:szCs w:val="28"/>
        </w:rPr>
        <w:t xml:space="preserve"> </w:t>
      </w:r>
    </w:p>
    <w:p w14:paraId="4286710D">
      <w:pPr>
        <w:spacing w:line="600" w:lineRule="exact"/>
        <w:ind w:firstLine="640"/>
        <w:outlineLvl w:val="2"/>
        <w:rPr>
          <w:rFonts w:ascii="宋体"/>
          <w:b/>
          <w:color w:val="000000"/>
          <w:sz w:val="30"/>
          <w:szCs w:val="30"/>
        </w:rPr>
      </w:pPr>
      <w:bookmarkStart w:id="39" w:name="_Toc15377217"/>
      <w:r>
        <w:rPr>
          <w:rFonts w:hint="eastAsia" w:ascii="宋体" w:hAnsi="宋体"/>
          <w:b/>
          <w:color w:val="000000"/>
          <w:sz w:val="30"/>
          <w:szCs w:val="30"/>
        </w:rPr>
        <w:t>（二）“三公”经费财政拨款支出决算具体情况说明</w:t>
      </w:r>
      <w:bookmarkEnd w:id="39"/>
    </w:p>
    <w:p w14:paraId="4027BF50">
      <w:pPr>
        <w:spacing w:line="480" w:lineRule="auto"/>
        <w:ind w:firstLine="640"/>
        <w:rPr>
          <w:rFonts w:ascii="宋体"/>
          <w:color w:val="333333"/>
          <w:sz w:val="28"/>
          <w:szCs w:val="28"/>
        </w:rPr>
      </w:pPr>
      <w:r>
        <w:rPr>
          <w:rFonts w:ascii="宋体" w:hAnsi="宋体"/>
          <w:color w:val="000000"/>
          <w:sz w:val="28"/>
          <w:szCs w:val="28"/>
        </w:rPr>
        <w:t>2018</w:t>
      </w:r>
      <w:r>
        <w:rPr>
          <w:rFonts w:hint="eastAsia" w:ascii="宋体" w:hAnsi="宋体"/>
          <w:color w:val="000000"/>
          <w:sz w:val="28"/>
          <w:szCs w:val="28"/>
        </w:rPr>
        <w:t>年“三公”经费财政拨款支出决算中，因公出国（境）费支出决算</w:t>
      </w:r>
      <w:r>
        <w:rPr>
          <w:rFonts w:ascii="宋体"/>
          <w:color w:val="000000"/>
          <w:sz w:val="28"/>
          <w:szCs w:val="28"/>
        </w:rPr>
        <w:t>0</w:t>
      </w:r>
      <w:r>
        <w:rPr>
          <w:rFonts w:hint="eastAsia" w:ascii="宋体" w:hAnsi="宋体"/>
          <w:color w:val="000000"/>
          <w:sz w:val="28"/>
          <w:szCs w:val="28"/>
        </w:rPr>
        <w:t>万元。</w:t>
      </w:r>
      <w:r>
        <w:rPr>
          <w:rFonts w:hint="eastAsia" w:ascii="宋体" w:hAnsi="宋体"/>
          <w:color w:val="333333"/>
          <w:sz w:val="28"/>
          <w:szCs w:val="28"/>
        </w:rPr>
        <w:t>公务用车购置及运行维护费支出决算</w:t>
      </w:r>
      <w:r>
        <w:rPr>
          <w:rFonts w:ascii="宋体" w:hAnsi="宋体"/>
          <w:color w:val="333333"/>
          <w:sz w:val="28"/>
          <w:szCs w:val="28"/>
        </w:rPr>
        <w:t>0.23</w:t>
      </w:r>
      <w:r>
        <w:rPr>
          <w:rFonts w:hint="eastAsia" w:ascii="宋体" w:hAnsi="宋体"/>
          <w:color w:val="333333"/>
          <w:sz w:val="28"/>
          <w:szCs w:val="28"/>
        </w:rPr>
        <w:t>万元，公务接待费支出决算</w:t>
      </w:r>
      <w:r>
        <w:rPr>
          <w:rFonts w:ascii="宋体"/>
          <w:color w:val="333333"/>
          <w:sz w:val="28"/>
          <w:szCs w:val="28"/>
        </w:rPr>
        <w:t>0</w:t>
      </w:r>
      <w:r>
        <w:rPr>
          <w:rFonts w:hint="eastAsia" w:ascii="宋体" w:hAnsi="宋体"/>
          <w:color w:val="333333"/>
          <w:sz w:val="28"/>
          <w:szCs w:val="28"/>
        </w:rPr>
        <w:t>万元，</w:t>
      </w:r>
      <w:r>
        <w:rPr>
          <w:rFonts w:hint="eastAsia" w:ascii="宋体" w:hAnsi="宋体"/>
          <w:color w:val="000000"/>
          <w:sz w:val="28"/>
          <w:szCs w:val="28"/>
        </w:rPr>
        <w:t>具体情况如下：</w:t>
      </w:r>
    </w:p>
    <w:p w14:paraId="4D6779FA">
      <w:pPr>
        <w:spacing w:line="480" w:lineRule="auto"/>
        <w:ind w:firstLine="640"/>
        <w:rPr>
          <w:rFonts w:asciiTheme="majorEastAsia" w:hAnsiTheme="majorEastAsia" w:eastAsiaTheme="majorEastAsia"/>
          <w:color w:val="000000"/>
          <w:sz w:val="28"/>
          <w:szCs w:val="28"/>
        </w:rPr>
      </w:pPr>
      <w:r>
        <w:rPr>
          <w:rFonts w:asciiTheme="majorEastAsia" w:hAnsiTheme="majorEastAsia" w:eastAsiaTheme="majorEastAsia"/>
          <w:b/>
          <w:color w:val="000000"/>
          <w:sz w:val="28"/>
          <w:szCs w:val="28"/>
        </w:rPr>
        <w:t>1.</w:t>
      </w:r>
      <w:r>
        <w:rPr>
          <w:rFonts w:hint="eastAsia" w:asciiTheme="majorEastAsia" w:hAnsiTheme="majorEastAsia" w:eastAsiaTheme="majorEastAsia"/>
          <w:b/>
          <w:color w:val="000000"/>
          <w:sz w:val="28"/>
          <w:szCs w:val="28"/>
        </w:rPr>
        <w:t>因公出国（境）经费支出</w:t>
      </w:r>
      <w:r>
        <w:rPr>
          <w:rFonts w:asciiTheme="majorEastAsia" w:hAnsiTheme="majorEastAsia" w:eastAsiaTheme="majorEastAsia"/>
          <w:color w:val="000000"/>
          <w:sz w:val="28"/>
          <w:szCs w:val="28"/>
        </w:rPr>
        <w:t>0</w:t>
      </w:r>
      <w:r>
        <w:rPr>
          <w:rFonts w:hint="eastAsia" w:asciiTheme="majorEastAsia" w:hAnsiTheme="majorEastAsia" w:eastAsiaTheme="majorEastAsia"/>
          <w:color w:val="000000"/>
          <w:sz w:val="28"/>
          <w:szCs w:val="28"/>
        </w:rPr>
        <w:t>万元。</w:t>
      </w:r>
    </w:p>
    <w:p w14:paraId="73B2B9D2">
      <w:pPr>
        <w:spacing w:line="480" w:lineRule="auto"/>
        <w:ind w:firstLine="640"/>
        <w:rPr>
          <w:rFonts w:asciiTheme="majorEastAsia" w:hAnsiTheme="majorEastAsia" w:eastAsiaTheme="majorEastAsia"/>
          <w:color w:val="000000"/>
          <w:sz w:val="28"/>
          <w:szCs w:val="28"/>
        </w:rPr>
      </w:pPr>
      <w:r>
        <w:rPr>
          <w:rFonts w:asciiTheme="majorEastAsia" w:hAnsiTheme="majorEastAsia" w:eastAsiaTheme="majorEastAsia"/>
          <w:color w:val="000000"/>
          <w:sz w:val="28"/>
          <w:szCs w:val="28"/>
        </w:rPr>
        <w:t>2018</w:t>
      </w:r>
      <w:r>
        <w:rPr>
          <w:rFonts w:hint="eastAsia" w:asciiTheme="majorEastAsia" w:hAnsiTheme="majorEastAsia" w:eastAsiaTheme="majorEastAsia"/>
          <w:color w:val="000000"/>
          <w:sz w:val="28"/>
          <w:szCs w:val="28"/>
        </w:rPr>
        <w:t>年因公出国（境）费</w:t>
      </w:r>
      <w:r>
        <w:rPr>
          <w:rFonts w:asciiTheme="majorEastAsia" w:hAnsiTheme="majorEastAsia" w:eastAsiaTheme="majorEastAsia"/>
          <w:color w:val="000000"/>
          <w:sz w:val="28"/>
          <w:szCs w:val="28"/>
        </w:rPr>
        <w:t>0</w:t>
      </w:r>
      <w:r>
        <w:rPr>
          <w:rFonts w:hint="eastAsia" w:asciiTheme="majorEastAsia" w:hAnsiTheme="majorEastAsia" w:eastAsiaTheme="majorEastAsia"/>
          <w:color w:val="000000"/>
          <w:sz w:val="28"/>
          <w:szCs w:val="28"/>
        </w:rPr>
        <w:t>万元。全年安排因公出国（境）团组</w:t>
      </w:r>
      <w:r>
        <w:rPr>
          <w:rFonts w:asciiTheme="majorEastAsia" w:hAnsiTheme="majorEastAsia" w:eastAsiaTheme="majorEastAsia"/>
          <w:color w:val="000000"/>
          <w:sz w:val="28"/>
          <w:szCs w:val="28"/>
        </w:rPr>
        <w:t>0</w:t>
      </w:r>
      <w:r>
        <w:rPr>
          <w:rFonts w:hint="eastAsia" w:asciiTheme="majorEastAsia" w:hAnsiTheme="majorEastAsia" w:eastAsiaTheme="majorEastAsia"/>
          <w:color w:val="000000"/>
          <w:sz w:val="28"/>
          <w:szCs w:val="28"/>
        </w:rPr>
        <w:t>次，出国（境）</w:t>
      </w:r>
      <w:r>
        <w:rPr>
          <w:rFonts w:asciiTheme="majorEastAsia" w:hAnsiTheme="majorEastAsia" w:eastAsiaTheme="majorEastAsia"/>
          <w:color w:val="000000"/>
          <w:sz w:val="28"/>
          <w:szCs w:val="28"/>
        </w:rPr>
        <w:t>0</w:t>
      </w:r>
      <w:r>
        <w:rPr>
          <w:rFonts w:hint="eastAsia" w:asciiTheme="majorEastAsia" w:hAnsiTheme="majorEastAsia" w:eastAsiaTheme="majorEastAsia"/>
          <w:color w:val="000000"/>
          <w:sz w:val="28"/>
          <w:szCs w:val="28"/>
        </w:rPr>
        <w:t>人。</w:t>
      </w:r>
    </w:p>
    <w:p w14:paraId="2443069C">
      <w:pPr>
        <w:spacing w:line="480" w:lineRule="auto"/>
        <w:ind w:firstLine="640"/>
        <w:rPr>
          <w:rFonts w:asciiTheme="majorEastAsia" w:hAnsiTheme="majorEastAsia" w:eastAsiaTheme="majorEastAsia"/>
          <w:color w:val="000000"/>
          <w:sz w:val="28"/>
          <w:szCs w:val="28"/>
        </w:rPr>
      </w:pPr>
      <w:r>
        <w:rPr>
          <w:rFonts w:asciiTheme="majorEastAsia" w:hAnsiTheme="majorEastAsia" w:eastAsiaTheme="majorEastAsia"/>
          <w:b/>
          <w:color w:val="000000"/>
          <w:sz w:val="28"/>
          <w:szCs w:val="28"/>
        </w:rPr>
        <w:t>2.</w:t>
      </w:r>
      <w:r>
        <w:rPr>
          <w:rFonts w:hint="eastAsia" w:asciiTheme="majorEastAsia" w:hAnsiTheme="majorEastAsia" w:eastAsiaTheme="majorEastAsia"/>
          <w:b/>
          <w:color w:val="000000"/>
          <w:sz w:val="28"/>
          <w:szCs w:val="28"/>
        </w:rPr>
        <w:t>公务用车购置及运行维护费支出</w:t>
      </w:r>
      <w:r>
        <w:rPr>
          <w:rFonts w:asciiTheme="majorEastAsia" w:hAnsiTheme="majorEastAsia" w:eastAsiaTheme="majorEastAsia"/>
          <w:color w:val="000000"/>
          <w:sz w:val="28"/>
          <w:szCs w:val="28"/>
        </w:rPr>
        <w:t>0.23</w:t>
      </w:r>
      <w:r>
        <w:rPr>
          <w:rFonts w:hint="eastAsia" w:asciiTheme="majorEastAsia" w:hAnsiTheme="majorEastAsia" w:eastAsiaTheme="majorEastAsia"/>
          <w:color w:val="000000"/>
          <w:sz w:val="28"/>
          <w:szCs w:val="28"/>
        </w:rPr>
        <w:t>万元。</w:t>
      </w:r>
    </w:p>
    <w:p w14:paraId="75616EDE">
      <w:pPr>
        <w:spacing w:line="480" w:lineRule="auto"/>
        <w:ind w:firstLine="640"/>
        <w:rPr>
          <w:rFonts w:asciiTheme="majorEastAsia" w:hAnsiTheme="majorEastAsia" w:eastAsiaTheme="majorEastAsia"/>
          <w:color w:val="000000"/>
          <w:sz w:val="28"/>
          <w:szCs w:val="28"/>
        </w:rPr>
      </w:pPr>
      <w:r>
        <w:rPr>
          <w:rFonts w:asciiTheme="majorEastAsia" w:hAnsiTheme="majorEastAsia" w:eastAsiaTheme="majorEastAsia"/>
          <w:sz w:val="28"/>
          <w:szCs w:val="28"/>
        </w:rPr>
        <w:t>201</w:t>
      </w:r>
      <w:r>
        <w:rPr>
          <w:rFonts w:hint="eastAsia" w:asciiTheme="majorEastAsia" w:hAnsiTheme="majorEastAsia" w:eastAsiaTheme="majorEastAsia"/>
          <w:sz w:val="28"/>
          <w:szCs w:val="28"/>
        </w:rPr>
        <w:t>8年攀枝花市仁和区大龙潭乡中心学校安排公车购置及运行维护费预算0.23万元，其中：购置经费0万元、运行维护费0.23万元，2018年和2017年相比较公务用车维护费有所减少、下降了82.5%，</w:t>
      </w:r>
      <w:r>
        <w:rPr>
          <w:rFonts w:hint="eastAsia" w:asciiTheme="majorEastAsia" w:hAnsiTheme="majorEastAsia" w:eastAsiaTheme="majorEastAsia"/>
          <w:color w:val="000000"/>
          <w:sz w:val="28"/>
          <w:szCs w:val="28"/>
        </w:rPr>
        <w:t>主要用于</w:t>
      </w:r>
      <w:r>
        <w:rPr>
          <w:rFonts w:hint="eastAsia" w:asciiTheme="majorEastAsia" w:hAnsiTheme="majorEastAsia" w:eastAsiaTheme="majorEastAsia"/>
          <w:sz w:val="28"/>
          <w:szCs w:val="28"/>
        </w:rPr>
        <w:t>学校职工到上级相关部门开会、培训学习、采购办公用品</w:t>
      </w:r>
      <w:r>
        <w:rPr>
          <w:rFonts w:hint="eastAsia" w:asciiTheme="majorEastAsia" w:hAnsiTheme="majorEastAsia" w:eastAsiaTheme="majorEastAsia"/>
          <w:color w:val="000000"/>
          <w:sz w:val="28"/>
          <w:szCs w:val="28"/>
        </w:rPr>
        <w:t>等所需的公务用车燃料费、维修费、过路过桥费、保险费等支出。</w:t>
      </w:r>
    </w:p>
    <w:p w14:paraId="3C4CF4D9">
      <w:pPr>
        <w:spacing w:line="600" w:lineRule="exact"/>
        <w:ind w:firstLine="640"/>
        <w:rPr>
          <w:rFonts w:asciiTheme="majorEastAsia" w:hAnsiTheme="majorEastAsia" w:eastAsiaTheme="majorEastAsia"/>
          <w:color w:val="000000"/>
          <w:sz w:val="28"/>
          <w:szCs w:val="28"/>
        </w:rPr>
      </w:pPr>
      <w:r>
        <w:rPr>
          <w:rFonts w:asciiTheme="majorEastAsia" w:hAnsiTheme="majorEastAsia" w:eastAsiaTheme="majorEastAsia"/>
          <w:b/>
          <w:color w:val="000000"/>
          <w:sz w:val="28"/>
          <w:szCs w:val="28"/>
        </w:rPr>
        <w:t>3.</w:t>
      </w:r>
      <w:r>
        <w:rPr>
          <w:rFonts w:hint="eastAsia" w:asciiTheme="majorEastAsia" w:hAnsiTheme="majorEastAsia" w:eastAsiaTheme="majorEastAsia"/>
          <w:b/>
          <w:color w:val="000000"/>
          <w:sz w:val="28"/>
          <w:szCs w:val="28"/>
        </w:rPr>
        <w:t>公务接待费支出</w:t>
      </w:r>
      <w:r>
        <w:rPr>
          <w:rFonts w:asciiTheme="majorEastAsia" w:hAnsiTheme="majorEastAsia" w:eastAsiaTheme="majorEastAsia"/>
          <w:color w:val="000000"/>
          <w:sz w:val="28"/>
          <w:szCs w:val="28"/>
        </w:rPr>
        <w:t>0</w:t>
      </w:r>
      <w:r>
        <w:rPr>
          <w:rFonts w:hint="eastAsia" w:asciiTheme="majorEastAsia" w:hAnsiTheme="majorEastAsia" w:eastAsiaTheme="majorEastAsia"/>
          <w:color w:val="000000"/>
          <w:sz w:val="28"/>
          <w:szCs w:val="28"/>
        </w:rPr>
        <w:t>万元。</w:t>
      </w:r>
    </w:p>
    <w:p w14:paraId="3DEFFAA8">
      <w:pPr>
        <w:spacing w:line="600" w:lineRule="exact"/>
        <w:ind w:firstLine="640"/>
        <w:outlineLvl w:val="1"/>
        <w:rPr>
          <w:rStyle w:val="18"/>
          <w:rFonts w:asciiTheme="majorEastAsia" w:hAnsiTheme="majorEastAsia" w:eastAsiaTheme="majorEastAsia"/>
          <w:sz w:val="28"/>
          <w:szCs w:val="28"/>
        </w:rPr>
      </w:pPr>
      <w:bookmarkStart w:id="40" w:name="_Toc15396610"/>
      <w:bookmarkStart w:id="41" w:name="_Toc15377218"/>
      <w:r>
        <w:rPr>
          <w:rFonts w:hint="eastAsia" w:asciiTheme="majorEastAsia" w:hAnsiTheme="majorEastAsia" w:eastAsiaTheme="majorEastAsia"/>
          <w:color w:val="000000"/>
          <w:sz w:val="28"/>
          <w:szCs w:val="28"/>
        </w:rPr>
        <w:t>八、</w:t>
      </w:r>
      <w:r>
        <w:rPr>
          <w:rStyle w:val="18"/>
          <w:rFonts w:hint="eastAsia" w:asciiTheme="majorEastAsia" w:hAnsiTheme="majorEastAsia" w:eastAsiaTheme="majorEastAsia"/>
          <w:sz w:val="28"/>
          <w:szCs w:val="28"/>
        </w:rPr>
        <w:t>政府性基金预算支出决算情况说明</w:t>
      </w:r>
      <w:bookmarkEnd w:id="40"/>
      <w:bookmarkEnd w:id="41"/>
    </w:p>
    <w:p w14:paraId="1BD7E366">
      <w:pPr>
        <w:spacing w:line="480" w:lineRule="auto"/>
        <w:ind w:firstLine="640"/>
        <w:rPr>
          <w:rFonts w:asciiTheme="majorEastAsia" w:hAnsiTheme="majorEastAsia" w:eastAsiaTheme="majorEastAsia"/>
          <w:color w:val="000000"/>
          <w:sz w:val="28"/>
          <w:szCs w:val="28"/>
        </w:rPr>
      </w:pPr>
      <w:r>
        <w:rPr>
          <w:rFonts w:asciiTheme="majorEastAsia" w:hAnsiTheme="majorEastAsia" w:eastAsiaTheme="majorEastAsia"/>
          <w:color w:val="000000"/>
          <w:sz w:val="28"/>
          <w:szCs w:val="28"/>
        </w:rPr>
        <w:t>2018</w:t>
      </w:r>
      <w:r>
        <w:rPr>
          <w:rFonts w:hint="eastAsia" w:asciiTheme="majorEastAsia" w:hAnsiTheme="majorEastAsia" w:eastAsiaTheme="majorEastAsia"/>
          <w:color w:val="000000"/>
          <w:sz w:val="28"/>
          <w:szCs w:val="28"/>
        </w:rPr>
        <w:t>年政府性基金预算拨款支出5.87万元，年末财政拨款结转1.89万元，主要保证学校乡村少年宫的正常运转。</w:t>
      </w:r>
    </w:p>
    <w:p w14:paraId="5D58A40D">
      <w:pPr>
        <w:numPr>
          <w:ilvl w:val="0"/>
          <w:numId w:val="2"/>
        </w:numPr>
        <w:spacing w:line="600" w:lineRule="exact"/>
        <w:ind w:firstLine="640"/>
        <w:outlineLvl w:val="1"/>
        <w:rPr>
          <w:rStyle w:val="18"/>
          <w:rFonts w:asciiTheme="majorEastAsia" w:hAnsiTheme="majorEastAsia" w:eastAsiaTheme="majorEastAsia"/>
          <w:sz w:val="28"/>
          <w:szCs w:val="28"/>
        </w:rPr>
      </w:pPr>
      <w:bookmarkStart w:id="42" w:name="_Toc15396611"/>
      <w:bookmarkStart w:id="43" w:name="_Toc15377219"/>
      <w:r>
        <w:rPr>
          <w:rStyle w:val="18"/>
          <w:rFonts w:hint="eastAsia" w:asciiTheme="majorEastAsia" w:hAnsiTheme="majorEastAsia" w:eastAsiaTheme="majorEastAsia"/>
          <w:sz w:val="28"/>
          <w:szCs w:val="28"/>
        </w:rPr>
        <w:t>国有资本经营预算支出决算情况说明</w:t>
      </w:r>
      <w:bookmarkEnd w:id="42"/>
      <w:bookmarkEnd w:id="43"/>
    </w:p>
    <w:p w14:paraId="62AEF3C2">
      <w:pPr>
        <w:spacing w:line="600" w:lineRule="exact"/>
        <w:ind w:firstLine="640"/>
        <w:rPr>
          <w:rFonts w:asciiTheme="majorEastAsia" w:hAnsiTheme="majorEastAsia" w:eastAsiaTheme="majorEastAsia"/>
          <w:color w:val="000000"/>
          <w:sz w:val="28"/>
          <w:szCs w:val="28"/>
        </w:rPr>
      </w:pPr>
      <w:r>
        <w:rPr>
          <w:rFonts w:asciiTheme="majorEastAsia" w:hAnsiTheme="majorEastAsia" w:eastAsiaTheme="majorEastAsia"/>
          <w:color w:val="000000"/>
          <w:sz w:val="28"/>
          <w:szCs w:val="28"/>
        </w:rPr>
        <w:t>2018</w:t>
      </w:r>
      <w:r>
        <w:rPr>
          <w:rFonts w:hint="eastAsia" w:asciiTheme="majorEastAsia" w:hAnsiTheme="majorEastAsia" w:eastAsiaTheme="majorEastAsia"/>
          <w:color w:val="000000"/>
          <w:sz w:val="28"/>
          <w:szCs w:val="28"/>
        </w:rPr>
        <w:t>年国有资本经营预算拨款支出</w:t>
      </w:r>
      <w:r>
        <w:rPr>
          <w:rFonts w:asciiTheme="majorEastAsia" w:hAnsiTheme="majorEastAsia" w:eastAsiaTheme="majorEastAsia"/>
          <w:color w:val="000000"/>
          <w:sz w:val="28"/>
          <w:szCs w:val="28"/>
        </w:rPr>
        <w:t>0</w:t>
      </w:r>
      <w:r>
        <w:rPr>
          <w:rFonts w:hint="eastAsia" w:asciiTheme="majorEastAsia" w:hAnsiTheme="majorEastAsia" w:eastAsiaTheme="majorEastAsia"/>
          <w:color w:val="000000"/>
          <w:sz w:val="28"/>
          <w:szCs w:val="28"/>
        </w:rPr>
        <w:t>万元。</w:t>
      </w:r>
    </w:p>
    <w:p w14:paraId="19F4E8DB">
      <w:pPr>
        <w:spacing w:line="580" w:lineRule="exact"/>
        <w:ind w:firstLine="703" w:firstLineChars="250"/>
        <w:rPr>
          <w:rStyle w:val="18"/>
          <w:rFonts w:asciiTheme="majorEastAsia" w:hAnsiTheme="majorEastAsia" w:eastAsiaTheme="majorEastAsia"/>
          <w:sz w:val="28"/>
          <w:szCs w:val="28"/>
        </w:rPr>
      </w:pPr>
      <w:r>
        <w:rPr>
          <w:rStyle w:val="18"/>
          <w:rFonts w:hint="eastAsia" w:asciiTheme="majorEastAsia" w:hAnsiTheme="majorEastAsia" w:eastAsiaTheme="majorEastAsia"/>
          <w:sz w:val="28"/>
          <w:szCs w:val="28"/>
        </w:rPr>
        <w:t>十、预算绩效情况说明</w:t>
      </w:r>
    </w:p>
    <w:p w14:paraId="7F0E0D80">
      <w:pPr>
        <w:numPr>
          <w:ilvl w:val="0"/>
          <w:numId w:val="3"/>
        </w:numPr>
        <w:spacing w:line="580" w:lineRule="exact"/>
        <w:ind w:firstLine="562" w:firstLineChars="200"/>
        <w:rPr>
          <w:rFonts w:cs="楷体_GB2312" w:asciiTheme="majorEastAsia" w:hAnsiTheme="majorEastAsia" w:eastAsiaTheme="majorEastAsia"/>
          <w:b/>
          <w:bCs/>
          <w:sz w:val="28"/>
          <w:szCs w:val="28"/>
        </w:rPr>
      </w:pPr>
      <w:r>
        <w:rPr>
          <w:rFonts w:hint="eastAsia" w:cs="楷体_GB2312" w:asciiTheme="majorEastAsia" w:hAnsiTheme="majorEastAsia" w:eastAsiaTheme="majorEastAsia"/>
          <w:b/>
          <w:bCs/>
          <w:sz w:val="28"/>
          <w:szCs w:val="28"/>
        </w:rPr>
        <w:t>预算绩效管理工作开展情况。</w:t>
      </w:r>
    </w:p>
    <w:p w14:paraId="418F53F8">
      <w:pPr>
        <w:ind w:left="420" w:right="-105" w:rightChars="-50" w:firstLine="420" w:firstLineChars="150"/>
        <w:rPr>
          <w:rFonts w:cs="仿宋_GB2312" w:asciiTheme="minorEastAsia" w:hAnsiTheme="minorEastAsia" w:eastAsiaTheme="minorEastAsia"/>
          <w:sz w:val="28"/>
          <w:szCs w:val="28"/>
        </w:rPr>
      </w:pPr>
      <w:r>
        <w:rPr>
          <w:rFonts w:hint="eastAsia" w:cs="仿宋_GB2312" w:asciiTheme="minorEastAsia" w:hAnsiTheme="minorEastAsia" w:eastAsiaTheme="minorEastAsia"/>
          <w:sz w:val="28"/>
          <w:szCs w:val="28"/>
        </w:rPr>
        <w:t>根据预算绩效管理要求，本单位在年初预算编制阶段，组织对学前教育管理经费项目、乡村少年宫运转及教学管理经费项目开展了预算事前绩效评估，</w:t>
      </w:r>
      <w:r>
        <w:rPr>
          <w:rFonts w:hint="eastAsia" w:asciiTheme="minorEastAsia" w:hAnsiTheme="minorEastAsia" w:eastAsiaTheme="minorEastAsia"/>
          <w:sz w:val="28"/>
          <w:szCs w:val="28"/>
        </w:rPr>
        <w:t>根据部门预算，严格执行预算数。</w:t>
      </w:r>
      <w:r>
        <w:rPr>
          <w:rFonts w:hint="eastAsia" w:asciiTheme="minorEastAsia" w:hAnsiTheme="minorEastAsia" w:eastAsiaTheme="minorEastAsia"/>
          <w:color w:val="333333"/>
          <w:spacing w:val="-2"/>
          <w:kern w:val="0"/>
          <w:sz w:val="28"/>
          <w:szCs w:val="28"/>
        </w:rPr>
        <w:t>严格按照资金管理要求，加强资金管理，严格遵守中央和省里各项财经规章制度，严格支出标准和范围，切实提高资金使用效益，确保专款专用，无截留、挤占或挪用。</w:t>
      </w:r>
      <w:r>
        <w:rPr>
          <w:rFonts w:hint="eastAsia" w:cs="仿宋_GB2312" w:asciiTheme="minorEastAsia" w:hAnsiTheme="minorEastAsia" w:eastAsiaTheme="minorEastAsia"/>
          <w:sz w:val="28"/>
          <w:szCs w:val="28"/>
        </w:rPr>
        <w:t>并按要求对</w:t>
      </w:r>
      <w:r>
        <w:rPr>
          <w:rFonts w:cs="仿宋_GB2312" w:asciiTheme="minorEastAsia" w:hAnsiTheme="minorEastAsia" w:eastAsiaTheme="minorEastAsia"/>
          <w:sz w:val="28"/>
          <w:szCs w:val="28"/>
        </w:rPr>
        <w:t>2018</w:t>
      </w:r>
      <w:r>
        <w:rPr>
          <w:rFonts w:hint="eastAsia" w:cs="仿宋_GB2312" w:asciiTheme="minorEastAsia" w:hAnsiTheme="minorEastAsia" w:eastAsiaTheme="minorEastAsia"/>
          <w:sz w:val="28"/>
          <w:szCs w:val="28"/>
        </w:rPr>
        <w:t>年部门整体支出开展绩效自评，从评价情况来看，教育管理经费项目整体绩效执行情况良好。</w:t>
      </w:r>
    </w:p>
    <w:p w14:paraId="57A0D49E">
      <w:pPr>
        <w:numPr>
          <w:ilvl w:val="0"/>
          <w:numId w:val="3"/>
        </w:numPr>
        <w:spacing w:line="580" w:lineRule="exact"/>
        <w:ind w:firstLine="562" w:firstLineChars="200"/>
        <w:rPr>
          <w:rFonts w:asciiTheme="minorEastAsia" w:hAnsiTheme="minorEastAsia" w:eastAsiaTheme="minorEastAsia"/>
          <w:sz w:val="28"/>
          <w:szCs w:val="28"/>
        </w:rPr>
      </w:pPr>
      <w:r>
        <w:rPr>
          <w:rFonts w:hint="eastAsia" w:cs="楷体_GB2312" w:asciiTheme="minorEastAsia" w:hAnsiTheme="minorEastAsia" w:eastAsiaTheme="minorEastAsia"/>
          <w:b/>
          <w:bCs/>
          <w:sz w:val="28"/>
          <w:szCs w:val="28"/>
        </w:rPr>
        <w:t>项目绩效目标完成情况。</w:t>
      </w:r>
    </w:p>
    <w:p w14:paraId="2F3C95B3">
      <w:pPr>
        <w:snapToGrid w:val="0"/>
        <w:spacing w:line="520" w:lineRule="exact"/>
        <w:ind w:firstLine="560" w:firstLineChars="200"/>
        <w:rPr>
          <w:rFonts w:cs="宋体" w:asciiTheme="minorEastAsia" w:hAnsiTheme="minorEastAsia" w:eastAsiaTheme="minorEastAsia"/>
          <w:sz w:val="28"/>
          <w:szCs w:val="28"/>
        </w:rPr>
      </w:pPr>
      <w:r>
        <w:rPr>
          <w:rFonts w:hint="eastAsia" w:asciiTheme="minorEastAsia" w:hAnsiTheme="minorEastAsia" w:eastAsiaTheme="minorEastAsia"/>
          <w:sz w:val="28"/>
          <w:szCs w:val="28"/>
        </w:rPr>
        <w:t>根据教育规律、社会要求和学校实际、学校已完成了2018年整体支出绩效目标、保证了教学计划顺利的进行、完成了学校校舍建设和校园建设规划任务。完成了对学生的创新精神和实践能力的提高。</w:t>
      </w:r>
      <w:r>
        <w:rPr>
          <w:rFonts w:cs="楷体_GB2312" w:asciiTheme="minorEastAsia" w:hAnsiTheme="minorEastAsia" w:eastAsiaTheme="minorEastAsia"/>
          <w:b/>
          <w:bCs/>
          <w:sz w:val="28"/>
          <w:szCs w:val="28"/>
        </w:rPr>
        <w:br w:type="textWrapping"/>
      </w:r>
      <w:r>
        <w:rPr>
          <w:rFonts w:cs="仿宋_GB2312" w:asciiTheme="minorEastAsia" w:hAnsiTheme="minorEastAsia" w:eastAsiaTheme="minorEastAsia"/>
          <w:sz w:val="28"/>
          <w:szCs w:val="28"/>
        </w:rPr>
        <w:t xml:space="preserve">   </w:t>
      </w:r>
      <w:r>
        <w:rPr>
          <w:rFonts w:hint="eastAsia" w:asciiTheme="minorEastAsia" w:hAnsiTheme="minorEastAsia" w:eastAsiaTheme="minorEastAsia"/>
          <w:sz w:val="28"/>
          <w:szCs w:val="28"/>
        </w:rPr>
        <w:t>（1）、学校及少年宫运转资金有力的保障了学校的运转，对少年宫的活动开展进行了保障，学校的教育和课外兴趣活动取得了很大的成绩，家长的满意度达到预定目标。学校乡村少年宫也添置了活动所需的一些设备设施。极大的满足了农村未成年人对优质教育资源的渴望。</w:t>
      </w:r>
    </w:p>
    <w:p w14:paraId="5411427F">
      <w:pPr>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2）学前教育资金为学前儿童定点采购了一批办公用品及相应的教学设备确保203名幼儿在幼儿园的正常教学及办公设备购置发展，弥补办公经费不足。确保幼儿园教育教学正常运行。学生、家长、教师、社会满意度达到90%。</w:t>
      </w:r>
    </w:p>
    <w:p w14:paraId="1E8552AF">
      <w:pPr>
        <w:spacing w:line="580" w:lineRule="exact"/>
        <w:ind w:left="602"/>
        <w:rPr>
          <w:rFonts w:asciiTheme="minorEastAsia" w:hAnsiTheme="minorEastAsia" w:eastAsiaTheme="minorEastAsia"/>
          <w:sz w:val="28"/>
          <w:szCs w:val="28"/>
        </w:rPr>
      </w:pPr>
    </w:p>
    <w:p w14:paraId="18EFFB85">
      <w:pPr>
        <w:spacing w:line="580" w:lineRule="exact"/>
        <w:ind w:left="602"/>
        <w:rPr>
          <w:rFonts w:ascii="宋体"/>
          <w:sz w:val="30"/>
          <w:szCs w:val="30"/>
        </w:rPr>
      </w:pPr>
    </w:p>
    <w:p w14:paraId="0AE90087">
      <w:pPr>
        <w:spacing w:line="580" w:lineRule="exact"/>
        <w:ind w:left="602"/>
        <w:rPr>
          <w:rFonts w:ascii="宋体"/>
          <w:sz w:val="30"/>
          <w:szCs w:val="30"/>
        </w:rPr>
      </w:pPr>
    </w:p>
    <w:p w14:paraId="17B72238">
      <w:pPr>
        <w:tabs>
          <w:tab w:val="left" w:pos="312"/>
        </w:tabs>
        <w:spacing w:line="580" w:lineRule="exact"/>
        <w:rPr>
          <w:rFonts w:ascii="仿宋_GB2312" w:hAnsi="仿宋_GB2312" w:eastAsia="仿宋_GB2312" w:cs="仿宋_GB2312"/>
          <w:sz w:val="32"/>
          <w:szCs w:val="32"/>
        </w:rPr>
      </w:pPr>
    </w:p>
    <w:tbl>
      <w:tblPr>
        <w:tblStyle w:val="13"/>
        <w:tblpPr w:leftFromText="180" w:rightFromText="180" w:vertAnchor="text" w:horzAnchor="page" w:tblpXSpec="center" w:tblpY="423"/>
        <w:tblOverlap w:val="never"/>
        <w:tblW w:w="9960" w:type="dxa"/>
        <w:tblInd w:w="0" w:type="dxa"/>
        <w:tblLayout w:type="fixed"/>
        <w:tblCellMar>
          <w:top w:w="0" w:type="dxa"/>
          <w:left w:w="0" w:type="dxa"/>
          <w:bottom w:w="0" w:type="dxa"/>
          <w:right w:w="0" w:type="dxa"/>
        </w:tblCellMar>
      </w:tblPr>
      <w:tblGrid>
        <w:gridCol w:w="390"/>
        <w:gridCol w:w="1367"/>
        <w:gridCol w:w="1025"/>
        <w:gridCol w:w="2392"/>
        <w:gridCol w:w="2394"/>
        <w:gridCol w:w="2392"/>
      </w:tblGrid>
      <w:tr w14:paraId="43442DB7">
        <w:tblPrEx>
          <w:tblCellMar>
            <w:top w:w="0" w:type="dxa"/>
            <w:left w:w="0" w:type="dxa"/>
            <w:bottom w:w="0" w:type="dxa"/>
            <w:right w:w="0" w:type="dxa"/>
          </w:tblCellMar>
        </w:tblPrEx>
        <w:trPr>
          <w:trHeight w:val="1034" w:hRule="atLeast"/>
        </w:trPr>
        <w:tc>
          <w:tcPr>
            <w:tcW w:w="9960" w:type="dxa"/>
            <w:gridSpan w:val="6"/>
            <w:tcMar>
              <w:top w:w="15" w:type="dxa"/>
              <w:left w:w="15" w:type="dxa"/>
              <w:bottom w:w="0" w:type="dxa"/>
              <w:right w:w="15" w:type="dxa"/>
            </w:tcMar>
            <w:vAlign w:val="center"/>
          </w:tcPr>
          <w:p w14:paraId="10DD8770">
            <w:pPr>
              <w:pStyle w:val="27"/>
              <w:widowControl/>
              <w:ind w:firstLine="0" w:firstLineChars="0"/>
              <w:textAlignment w:val="center"/>
              <w:rPr>
                <w:rFonts w:ascii="宋体" w:cs="宋体"/>
                <w:color w:val="000000"/>
                <w:sz w:val="36"/>
                <w:szCs w:val="36"/>
              </w:rPr>
            </w:pPr>
            <w:r>
              <w:rPr>
                <w:rFonts w:hint="eastAsia" w:ascii="黑体" w:hAnsi="黑体" w:eastAsia="黑体" w:cs="宋体"/>
                <w:bCs/>
                <w:color w:val="000000"/>
                <w:kern w:val="0"/>
                <w:sz w:val="36"/>
                <w:szCs w:val="36"/>
              </w:rPr>
              <w:t xml:space="preserve">                  项目支出绩效目标完成情况表</w:t>
            </w:r>
            <w:r>
              <w:rPr>
                <w:rFonts w:ascii="宋体" w:cs="宋体"/>
                <w:b/>
                <w:bCs/>
                <w:color w:val="000000"/>
                <w:kern w:val="0"/>
                <w:sz w:val="36"/>
                <w:szCs w:val="36"/>
              </w:rPr>
              <w:br w:type="textWrapping"/>
            </w:r>
            <w:r>
              <w:rPr>
                <w:rFonts w:hint="eastAsia" w:ascii="宋体" w:cs="宋体"/>
                <w:b/>
                <w:bCs/>
                <w:color w:val="000000"/>
                <w:kern w:val="0"/>
                <w:sz w:val="36"/>
                <w:szCs w:val="36"/>
              </w:rPr>
              <w:t xml:space="preserve">                         </w:t>
            </w:r>
            <w:r>
              <w:rPr>
                <w:rFonts w:ascii="宋体" w:hAnsi="宋体" w:cs="宋体"/>
                <w:color w:val="000000"/>
                <w:kern w:val="0"/>
                <w:sz w:val="36"/>
                <w:szCs w:val="36"/>
              </w:rPr>
              <w:t xml:space="preserve">(2018 </w:t>
            </w:r>
            <w:r>
              <w:rPr>
                <w:rFonts w:hint="eastAsia" w:ascii="宋体" w:hAnsi="宋体" w:cs="宋体"/>
                <w:color w:val="000000"/>
                <w:kern w:val="0"/>
                <w:sz w:val="36"/>
                <w:szCs w:val="36"/>
              </w:rPr>
              <w:t>年度</w:t>
            </w:r>
            <w:r>
              <w:rPr>
                <w:rFonts w:ascii="宋体" w:hAnsi="宋体" w:cs="宋体"/>
                <w:color w:val="000000"/>
                <w:kern w:val="0"/>
                <w:sz w:val="36"/>
                <w:szCs w:val="36"/>
              </w:rPr>
              <w:t>)</w:t>
            </w:r>
          </w:p>
        </w:tc>
      </w:tr>
      <w:tr w14:paraId="0EAA5F7A">
        <w:tblPrEx>
          <w:tblCellMar>
            <w:top w:w="0" w:type="dxa"/>
            <w:left w:w="0" w:type="dxa"/>
            <w:bottom w:w="0" w:type="dxa"/>
            <w:right w:w="0" w:type="dxa"/>
          </w:tblCellMar>
        </w:tblPrEx>
        <w:trPr>
          <w:trHeight w:val="276" w:hRule="atLeast"/>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7775F560">
            <w:pPr>
              <w:widowControl/>
              <w:jc w:val="center"/>
              <w:textAlignment w:val="center"/>
              <w:rPr>
                <w:rFonts w:ascii="宋体" w:cs="宋体"/>
                <w:color w:val="000000"/>
                <w:sz w:val="24"/>
              </w:rPr>
            </w:pPr>
            <w:r>
              <w:rPr>
                <w:rFonts w:hint="eastAsia" w:ascii="宋体" w:hAnsi="宋体" w:cs="宋体"/>
                <w:color w:val="000000"/>
                <w:kern w:val="0"/>
                <w:sz w:val="24"/>
              </w:rPr>
              <w:t>项目名称</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5B43213F">
            <w:pPr>
              <w:widowControl/>
              <w:jc w:val="center"/>
              <w:textAlignment w:val="center"/>
              <w:rPr>
                <w:rFonts w:ascii="宋体" w:cs="宋体"/>
                <w:color w:val="000000"/>
                <w:sz w:val="24"/>
              </w:rPr>
            </w:pPr>
            <w:r>
              <w:rPr>
                <w:rFonts w:hint="eastAsia" w:ascii="宋体" w:hAnsi="宋体" w:cs="仿宋_GB2312"/>
                <w:sz w:val="24"/>
              </w:rPr>
              <w:t>学前教育管理经费</w:t>
            </w:r>
          </w:p>
        </w:tc>
      </w:tr>
      <w:tr w14:paraId="13059275">
        <w:tblPrEx>
          <w:tblCellMar>
            <w:top w:w="0" w:type="dxa"/>
            <w:left w:w="0" w:type="dxa"/>
            <w:bottom w:w="0" w:type="dxa"/>
            <w:right w:w="0" w:type="dxa"/>
          </w:tblCellMar>
        </w:tblPrEx>
        <w:trPr>
          <w:trHeight w:val="276" w:hRule="atLeast"/>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0D9BB352">
            <w:pPr>
              <w:widowControl/>
              <w:jc w:val="center"/>
              <w:textAlignment w:val="center"/>
              <w:rPr>
                <w:rFonts w:ascii="宋体" w:cs="宋体"/>
                <w:color w:val="000000"/>
                <w:sz w:val="24"/>
              </w:rPr>
            </w:pPr>
            <w:r>
              <w:rPr>
                <w:rFonts w:hint="eastAsia" w:ascii="宋体" w:hAnsi="宋体" w:cs="宋体"/>
                <w:color w:val="000000"/>
                <w:kern w:val="0"/>
                <w:sz w:val="24"/>
              </w:rPr>
              <w:t>预算单位</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7334E19A">
            <w:pPr>
              <w:widowControl/>
              <w:jc w:val="center"/>
              <w:textAlignment w:val="center"/>
              <w:rPr>
                <w:rFonts w:ascii="宋体" w:cs="宋体"/>
                <w:color w:val="000000"/>
                <w:sz w:val="24"/>
              </w:rPr>
            </w:pPr>
            <w:r>
              <w:rPr>
                <w:rFonts w:hint="eastAsia" w:ascii="宋体" w:cs="宋体"/>
                <w:color w:val="000000"/>
                <w:sz w:val="24"/>
              </w:rPr>
              <w:t>攀枝花市仁和区大龙潭乡中心学校</w:t>
            </w:r>
          </w:p>
        </w:tc>
      </w:tr>
      <w:tr w14:paraId="039C5B9D">
        <w:tblPrEx>
          <w:tblCellMar>
            <w:top w:w="0" w:type="dxa"/>
            <w:left w:w="0" w:type="dxa"/>
            <w:bottom w:w="0" w:type="dxa"/>
            <w:right w:w="0" w:type="dxa"/>
          </w:tblCellMar>
        </w:tblPrEx>
        <w:trPr>
          <w:trHeight w:val="276" w:hRule="atLeast"/>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46A54C13">
            <w:pPr>
              <w:widowControl/>
              <w:jc w:val="center"/>
              <w:textAlignment w:val="center"/>
              <w:rPr>
                <w:rFonts w:ascii="宋体" w:cs="宋体"/>
                <w:color w:val="000000"/>
                <w:sz w:val="24"/>
              </w:rPr>
            </w:pPr>
            <w:r>
              <w:rPr>
                <w:rFonts w:hint="eastAsia" w:ascii="宋体" w:hAnsi="宋体" w:cs="宋体"/>
                <w:color w:val="000000"/>
                <w:kern w:val="0"/>
                <w:sz w:val="24"/>
              </w:rPr>
              <w:t>预算执行情况</w:t>
            </w:r>
            <w:r>
              <w:rPr>
                <w:rFonts w:ascii="宋体" w:hAnsi="宋体" w:cs="宋体"/>
                <w:color w:val="000000"/>
                <w:kern w:val="0"/>
                <w:sz w:val="24"/>
              </w:rPr>
              <w:t>(</w:t>
            </w:r>
            <w:r>
              <w:rPr>
                <w:rFonts w:hint="eastAsia" w:ascii="宋体" w:hAnsi="宋体" w:cs="宋体"/>
                <w:color w:val="000000"/>
                <w:kern w:val="0"/>
                <w:sz w:val="24"/>
              </w:rPr>
              <w:t>万元</w:t>
            </w:r>
            <w:r>
              <w:rPr>
                <w:rFonts w:ascii="宋体" w:hAnsi="宋体" w:cs="宋体"/>
                <w:color w:val="000000"/>
                <w:kern w:val="0"/>
                <w:sz w:val="24"/>
              </w:rPr>
              <w:t>)</w:t>
            </w: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5BD6D4B3">
            <w:pPr>
              <w:widowControl/>
              <w:jc w:val="center"/>
              <w:textAlignment w:val="center"/>
              <w:rPr>
                <w:rFonts w:ascii="宋体" w:cs="宋体"/>
                <w:color w:val="000000"/>
                <w:sz w:val="24"/>
              </w:rPr>
            </w:pPr>
            <w:r>
              <w:rPr>
                <w:rFonts w:hint="eastAsia" w:ascii="宋体" w:hAnsi="宋体" w:cs="宋体"/>
                <w:color w:val="000000"/>
                <w:kern w:val="0"/>
                <w:sz w:val="24"/>
              </w:rPr>
              <w:t>预算数</w:t>
            </w:r>
            <w:r>
              <w:rPr>
                <w:rFonts w:ascii="宋体" w:hAnsi="宋体" w:cs="宋体"/>
                <w:color w:val="000000"/>
                <w:kern w:val="0"/>
                <w:sz w:val="24"/>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1FBD5BBB">
            <w:pPr>
              <w:widowControl/>
              <w:jc w:val="center"/>
              <w:textAlignment w:val="center"/>
              <w:rPr>
                <w:rFonts w:ascii="宋体" w:cs="宋体"/>
                <w:color w:val="000000"/>
                <w:sz w:val="24"/>
              </w:rPr>
            </w:pPr>
            <w:r>
              <w:rPr>
                <w:rFonts w:ascii="宋体" w:cs="宋体"/>
                <w:color w:val="000000"/>
                <w:sz w:val="24"/>
              </w:rPr>
              <w:t>20</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140E1802">
            <w:pPr>
              <w:widowControl/>
              <w:jc w:val="center"/>
              <w:textAlignment w:val="center"/>
              <w:rPr>
                <w:rFonts w:ascii="宋体" w:cs="宋体"/>
                <w:color w:val="000000"/>
                <w:sz w:val="24"/>
              </w:rPr>
            </w:pPr>
            <w:r>
              <w:rPr>
                <w:rFonts w:hint="eastAsia" w:ascii="宋体" w:hAnsi="宋体" w:cs="宋体"/>
                <w:color w:val="000000"/>
                <w:kern w:val="0"/>
                <w:sz w:val="24"/>
              </w:rPr>
              <w:t>执行数</w:t>
            </w:r>
            <w:r>
              <w:rPr>
                <w:rFonts w:ascii="宋体" w:hAnsi="宋体" w:cs="宋体"/>
                <w:color w:val="000000"/>
                <w:kern w:val="0"/>
                <w:sz w:val="24"/>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621AEBB7">
            <w:pPr>
              <w:widowControl/>
              <w:jc w:val="center"/>
              <w:textAlignment w:val="center"/>
              <w:rPr>
                <w:rFonts w:ascii="宋体" w:cs="宋体"/>
                <w:color w:val="000000"/>
                <w:sz w:val="24"/>
              </w:rPr>
            </w:pPr>
            <w:r>
              <w:rPr>
                <w:rFonts w:hint="eastAsia" w:ascii="宋体" w:cs="宋体"/>
                <w:color w:val="000000"/>
                <w:sz w:val="24"/>
              </w:rPr>
              <w:t>20</w:t>
            </w:r>
          </w:p>
        </w:tc>
      </w:tr>
      <w:tr w14:paraId="0350F4E8">
        <w:tblPrEx>
          <w:tblCellMar>
            <w:top w:w="0" w:type="dxa"/>
            <w:left w:w="0" w:type="dxa"/>
            <w:bottom w:w="0" w:type="dxa"/>
            <w:right w:w="0" w:type="dxa"/>
          </w:tblCellMar>
        </w:tblPrEx>
        <w:trPr>
          <w:trHeight w:val="276"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14:paraId="28882CDA">
            <w:pPr>
              <w:widowControl/>
              <w:jc w:val="left"/>
              <w:rPr>
                <w:rFonts w:ascii="宋体" w:cs="宋体"/>
                <w:color w:val="000000"/>
                <w:sz w:val="24"/>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7412643E">
            <w:pPr>
              <w:widowControl/>
              <w:jc w:val="center"/>
              <w:textAlignment w:val="center"/>
              <w:rPr>
                <w:rFonts w:ascii="宋体" w:cs="宋体"/>
                <w:color w:val="000000"/>
                <w:sz w:val="24"/>
              </w:rPr>
            </w:pPr>
            <w:r>
              <w:rPr>
                <w:rFonts w:hint="eastAsia" w:ascii="宋体" w:hAnsi="宋体" w:cs="宋体"/>
                <w:color w:val="000000"/>
                <w:kern w:val="0"/>
                <w:sz w:val="24"/>
              </w:rPr>
              <w:t>其中</w:t>
            </w:r>
            <w:r>
              <w:rPr>
                <w:rFonts w:ascii="宋体" w:cs="宋体"/>
                <w:color w:val="000000"/>
                <w:kern w:val="0"/>
                <w:sz w:val="24"/>
              </w:rPr>
              <w:t>-</w:t>
            </w:r>
            <w:r>
              <w:rPr>
                <w:rFonts w:hint="eastAsia" w:ascii="宋体" w:hAnsi="宋体" w:cs="宋体"/>
                <w:color w:val="000000"/>
                <w:kern w:val="0"/>
                <w:sz w:val="24"/>
              </w:rPr>
              <w:t>财政拨款</w:t>
            </w:r>
            <w:r>
              <w:rPr>
                <w:rFonts w:ascii="宋体" w:hAnsi="宋体" w:cs="宋体"/>
                <w:color w:val="000000"/>
                <w:kern w:val="0"/>
                <w:sz w:val="24"/>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5EBFC5CF">
            <w:pPr>
              <w:widowControl/>
              <w:jc w:val="center"/>
              <w:textAlignment w:val="center"/>
              <w:rPr>
                <w:rFonts w:ascii="宋体" w:cs="宋体"/>
                <w:color w:val="000000"/>
                <w:sz w:val="24"/>
              </w:rPr>
            </w:pPr>
            <w:r>
              <w:rPr>
                <w:rFonts w:ascii="宋体" w:cs="宋体"/>
                <w:color w:val="000000"/>
                <w:sz w:val="24"/>
              </w:rPr>
              <w:t>20</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3484A4C5">
            <w:pPr>
              <w:widowControl/>
              <w:jc w:val="center"/>
              <w:textAlignment w:val="center"/>
              <w:rPr>
                <w:rFonts w:ascii="宋体" w:cs="宋体"/>
                <w:color w:val="000000"/>
                <w:sz w:val="24"/>
              </w:rPr>
            </w:pPr>
            <w:r>
              <w:rPr>
                <w:rFonts w:hint="eastAsia" w:ascii="宋体" w:hAnsi="宋体" w:cs="宋体"/>
                <w:color w:val="000000"/>
                <w:kern w:val="0"/>
                <w:sz w:val="24"/>
              </w:rPr>
              <w:t>其中</w:t>
            </w:r>
            <w:r>
              <w:rPr>
                <w:rFonts w:ascii="宋体" w:cs="宋体"/>
                <w:color w:val="000000"/>
                <w:kern w:val="0"/>
                <w:sz w:val="24"/>
              </w:rPr>
              <w:t>-</w:t>
            </w:r>
            <w:r>
              <w:rPr>
                <w:rFonts w:hint="eastAsia" w:ascii="宋体" w:hAnsi="宋体" w:cs="宋体"/>
                <w:color w:val="000000"/>
                <w:kern w:val="0"/>
                <w:sz w:val="24"/>
              </w:rPr>
              <w:t>财政拨款</w:t>
            </w:r>
            <w:r>
              <w:rPr>
                <w:rFonts w:ascii="宋体" w:hAnsi="宋体" w:cs="宋体"/>
                <w:color w:val="000000"/>
                <w:kern w:val="0"/>
                <w:sz w:val="24"/>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32A6CE4C">
            <w:pPr>
              <w:widowControl/>
              <w:jc w:val="center"/>
              <w:textAlignment w:val="center"/>
              <w:rPr>
                <w:rFonts w:ascii="宋体" w:cs="宋体"/>
                <w:color w:val="000000"/>
                <w:sz w:val="24"/>
              </w:rPr>
            </w:pPr>
            <w:r>
              <w:rPr>
                <w:rFonts w:hint="eastAsia" w:ascii="宋体" w:cs="宋体"/>
                <w:color w:val="000000"/>
                <w:sz w:val="24"/>
              </w:rPr>
              <w:t>20</w:t>
            </w:r>
          </w:p>
        </w:tc>
      </w:tr>
      <w:tr w14:paraId="44ED798F">
        <w:tblPrEx>
          <w:tblCellMar>
            <w:top w:w="0" w:type="dxa"/>
            <w:left w:w="0" w:type="dxa"/>
            <w:bottom w:w="0" w:type="dxa"/>
            <w:right w:w="0" w:type="dxa"/>
          </w:tblCellMar>
        </w:tblPrEx>
        <w:trPr>
          <w:trHeight w:val="1511"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14:paraId="5F4F1616">
            <w:pPr>
              <w:widowControl/>
              <w:jc w:val="left"/>
              <w:rPr>
                <w:rFonts w:ascii="宋体" w:cs="宋体"/>
                <w:color w:val="000000"/>
                <w:sz w:val="24"/>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1D80FC42">
            <w:pPr>
              <w:widowControl/>
              <w:jc w:val="center"/>
              <w:textAlignment w:val="center"/>
              <w:rPr>
                <w:rFonts w:ascii="宋体" w:cs="宋体"/>
                <w:color w:val="000000"/>
                <w:sz w:val="24"/>
              </w:rPr>
            </w:pPr>
            <w:r>
              <w:rPr>
                <w:rFonts w:hint="eastAsia" w:ascii="宋体" w:hAnsi="宋体" w:cs="宋体"/>
                <w:color w:val="000000"/>
                <w:kern w:val="0"/>
                <w:sz w:val="24"/>
              </w:rPr>
              <w:t>其它资金</w:t>
            </w:r>
            <w:r>
              <w:rPr>
                <w:rFonts w:ascii="宋体" w:hAnsi="宋体" w:cs="宋体"/>
                <w:color w:val="000000"/>
                <w:kern w:val="0"/>
                <w:sz w:val="24"/>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3E5A61ED">
            <w:pPr>
              <w:widowControl/>
              <w:jc w:val="center"/>
              <w:textAlignment w:val="center"/>
              <w:rPr>
                <w:rFonts w:ascii="宋体" w:cs="宋体"/>
                <w:color w:val="000000"/>
                <w:sz w:val="24"/>
              </w:rPr>
            </w:pPr>
            <w:r>
              <w:rPr>
                <w:rFonts w:ascii="宋体" w:cs="宋体"/>
                <w:color w:val="000000"/>
                <w:kern w:val="0"/>
                <w:sz w:val="24"/>
              </w:rPr>
              <w:t>0</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022CC495">
            <w:pPr>
              <w:widowControl/>
              <w:jc w:val="center"/>
              <w:textAlignment w:val="center"/>
              <w:rPr>
                <w:rFonts w:ascii="宋体" w:cs="宋体"/>
                <w:color w:val="000000"/>
                <w:sz w:val="24"/>
              </w:rPr>
            </w:pPr>
            <w:r>
              <w:rPr>
                <w:rFonts w:hint="eastAsia" w:ascii="宋体" w:hAnsi="宋体" w:cs="宋体"/>
                <w:color w:val="000000"/>
                <w:kern w:val="0"/>
                <w:sz w:val="24"/>
              </w:rPr>
              <w:t>其它资金</w:t>
            </w:r>
            <w:r>
              <w:rPr>
                <w:rFonts w:ascii="宋体" w:hAnsi="宋体" w:cs="宋体"/>
                <w:color w:val="000000"/>
                <w:kern w:val="0"/>
                <w:sz w:val="24"/>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320CB09E">
            <w:pPr>
              <w:jc w:val="center"/>
              <w:rPr>
                <w:rFonts w:ascii="宋体" w:cs="宋体"/>
                <w:color w:val="000000"/>
                <w:sz w:val="24"/>
              </w:rPr>
            </w:pPr>
            <w:r>
              <w:rPr>
                <w:rFonts w:ascii="宋体" w:cs="宋体"/>
                <w:color w:val="000000"/>
                <w:sz w:val="24"/>
              </w:rPr>
              <w:t>0</w:t>
            </w:r>
          </w:p>
        </w:tc>
      </w:tr>
      <w:tr w14:paraId="1C2E6945">
        <w:tblPrEx>
          <w:tblCellMar>
            <w:top w:w="0" w:type="dxa"/>
            <w:left w:w="0" w:type="dxa"/>
            <w:bottom w:w="0" w:type="dxa"/>
            <w:right w:w="0" w:type="dxa"/>
          </w:tblCellMar>
        </w:tblPrEx>
        <w:trPr>
          <w:trHeight w:val="276" w:hRule="atLeast"/>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781A6693">
            <w:pPr>
              <w:widowControl/>
              <w:jc w:val="center"/>
              <w:textAlignment w:val="center"/>
              <w:rPr>
                <w:rFonts w:ascii="宋体" w:cs="宋体"/>
                <w:color w:val="000000"/>
                <w:sz w:val="24"/>
              </w:rPr>
            </w:pPr>
            <w:r>
              <w:rPr>
                <w:rFonts w:hint="eastAsia" w:ascii="宋体" w:hAnsi="宋体" w:cs="宋体"/>
                <w:color w:val="000000"/>
                <w:kern w:val="0"/>
                <w:sz w:val="24"/>
              </w:rPr>
              <w:t>年度目标完成情况</w:t>
            </w:r>
          </w:p>
        </w:tc>
        <w:tc>
          <w:tcPr>
            <w:tcW w:w="4784"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6EC80EEC">
            <w:pPr>
              <w:widowControl/>
              <w:jc w:val="center"/>
              <w:textAlignment w:val="center"/>
              <w:rPr>
                <w:rFonts w:ascii="宋体" w:cs="宋体"/>
                <w:color w:val="000000"/>
                <w:sz w:val="24"/>
              </w:rPr>
            </w:pPr>
            <w:r>
              <w:rPr>
                <w:rFonts w:hint="eastAsia" w:ascii="宋体" w:hAnsi="宋体" w:cs="宋体"/>
                <w:color w:val="000000"/>
                <w:kern w:val="0"/>
                <w:sz w:val="24"/>
              </w:rPr>
              <w:t>预期目标</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04EDB2A0">
            <w:pPr>
              <w:widowControl/>
              <w:jc w:val="center"/>
              <w:textAlignment w:val="center"/>
              <w:rPr>
                <w:rFonts w:ascii="宋体" w:cs="宋体"/>
                <w:color w:val="000000"/>
                <w:sz w:val="24"/>
              </w:rPr>
            </w:pPr>
            <w:r>
              <w:rPr>
                <w:rFonts w:hint="eastAsia" w:ascii="宋体" w:hAnsi="宋体" w:cs="宋体"/>
                <w:color w:val="000000"/>
                <w:kern w:val="0"/>
                <w:sz w:val="24"/>
              </w:rPr>
              <w:t>实际完成目标</w:t>
            </w:r>
          </w:p>
        </w:tc>
      </w:tr>
      <w:tr w14:paraId="19EB999A">
        <w:tblPrEx>
          <w:tblCellMar>
            <w:top w:w="0" w:type="dxa"/>
            <w:left w:w="0" w:type="dxa"/>
            <w:bottom w:w="0" w:type="dxa"/>
            <w:right w:w="0" w:type="dxa"/>
          </w:tblCellMar>
        </w:tblPrEx>
        <w:trPr>
          <w:trHeight w:val="1159"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14:paraId="14408560">
            <w:pPr>
              <w:widowControl/>
              <w:jc w:val="left"/>
              <w:rPr>
                <w:rFonts w:ascii="宋体" w:cs="宋体"/>
                <w:color w:val="000000"/>
                <w:sz w:val="24"/>
              </w:rPr>
            </w:pPr>
          </w:p>
        </w:tc>
        <w:tc>
          <w:tcPr>
            <w:tcW w:w="4784"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65F0BA40">
            <w:pPr>
              <w:widowControl/>
              <w:jc w:val="center"/>
              <w:textAlignment w:val="center"/>
              <w:rPr>
                <w:rFonts w:ascii="宋体" w:cs="宋体"/>
                <w:color w:val="000000"/>
                <w:sz w:val="24"/>
              </w:rPr>
            </w:pPr>
            <w:r>
              <w:rPr>
                <w:rFonts w:hint="eastAsia" w:ascii="宋体" w:hAnsi="宋体"/>
                <w:sz w:val="24"/>
              </w:rPr>
              <w:t>确保</w:t>
            </w:r>
            <w:r>
              <w:rPr>
                <w:rFonts w:ascii="宋体" w:hAnsi="宋体"/>
                <w:sz w:val="24"/>
              </w:rPr>
              <w:t>20</w:t>
            </w:r>
            <w:r>
              <w:rPr>
                <w:rFonts w:hint="eastAsia" w:ascii="宋体" w:hAnsi="宋体"/>
                <w:sz w:val="24"/>
              </w:rPr>
              <w:t>3名幼儿在幼儿园的正常教学及办公设备购置发展，弥补办公经费不足</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64806E6C">
            <w:pPr>
              <w:widowControl/>
              <w:jc w:val="center"/>
              <w:textAlignment w:val="center"/>
              <w:rPr>
                <w:rFonts w:ascii="宋体" w:cs="宋体"/>
                <w:color w:val="000000"/>
                <w:sz w:val="24"/>
              </w:rPr>
            </w:pPr>
            <w:r>
              <w:rPr>
                <w:rFonts w:hint="eastAsia" w:ascii="宋体" w:hAnsi="宋体"/>
                <w:sz w:val="24"/>
              </w:rPr>
              <w:t>采购了一批办公用品及相应的教学设备，学生、家长、教师、社会满意度达到</w:t>
            </w:r>
            <w:r>
              <w:rPr>
                <w:rFonts w:ascii="宋体" w:hAnsi="宋体"/>
                <w:sz w:val="24"/>
              </w:rPr>
              <w:t>9</w:t>
            </w:r>
            <w:r>
              <w:rPr>
                <w:rFonts w:hint="eastAsia" w:ascii="宋体" w:hAnsi="宋体"/>
                <w:sz w:val="24"/>
              </w:rPr>
              <w:t>0</w:t>
            </w:r>
            <w:r>
              <w:rPr>
                <w:rFonts w:ascii="宋体" w:hAnsi="宋体"/>
                <w:sz w:val="24"/>
              </w:rPr>
              <w:t>%</w:t>
            </w:r>
          </w:p>
        </w:tc>
      </w:tr>
      <w:tr w14:paraId="60261ADB">
        <w:tblPrEx>
          <w:tblCellMar>
            <w:top w:w="0" w:type="dxa"/>
            <w:left w:w="0" w:type="dxa"/>
            <w:bottom w:w="0" w:type="dxa"/>
            <w:right w:w="0" w:type="dxa"/>
          </w:tblCellMar>
        </w:tblPrEx>
        <w:trPr>
          <w:trHeight w:val="1042" w:hRule="atLeast"/>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605C0D84">
            <w:pPr>
              <w:widowControl/>
              <w:jc w:val="center"/>
              <w:textAlignment w:val="center"/>
              <w:rPr>
                <w:rFonts w:ascii="宋体" w:cs="宋体"/>
                <w:color w:val="000000"/>
                <w:sz w:val="24"/>
              </w:rPr>
            </w:pPr>
            <w:r>
              <w:rPr>
                <w:rFonts w:hint="eastAsia" w:ascii="宋体" w:hAnsi="宋体" w:cs="宋体"/>
                <w:color w:val="000000"/>
                <w:sz w:val="24"/>
              </w:rPr>
              <w:t>绩效指标完成情况</w:t>
            </w: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25533DDD">
            <w:pPr>
              <w:widowControl/>
              <w:jc w:val="center"/>
              <w:textAlignment w:val="center"/>
              <w:rPr>
                <w:rFonts w:ascii="宋体" w:cs="宋体"/>
                <w:color w:val="000000"/>
                <w:sz w:val="24"/>
              </w:rPr>
            </w:pPr>
            <w:r>
              <w:rPr>
                <w:rFonts w:hint="eastAsia" w:ascii="宋体" w:hAnsi="宋体" w:cs="宋体"/>
                <w:color w:val="000000"/>
                <w:kern w:val="0"/>
                <w:sz w:val="24"/>
              </w:rPr>
              <w:t>一级指标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6A3294C3">
            <w:pPr>
              <w:widowControl/>
              <w:jc w:val="center"/>
              <w:textAlignment w:val="center"/>
              <w:rPr>
                <w:rFonts w:ascii="宋体" w:cs="宋体"/>
                <w:color w:val="000000"/>
                <w:sz w:val="24"/>
              </w:rPr>
            </w:pPr>
            <w:r>
              <w:rPr>
                <w:rFonts w:hint="eastAsia" w:ascii="宋体" w:hAnsi="宋体" w:cs="宋体"/>
                <w:color w:val="000000"/>
                <w:kern w:val="0"/>
                <w:sz w:val="24"/>
              </w:rPr>
              <w:t>二级指标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6D0FD122">
            <w:pPr>
              <w:widowControl/>
              <w:jc w:val="center"/>
              <w:textAlignment w:val="center"/>
              <w:rPr>
                <w:rFonts w:ascii="宋体" w:cs="宋体"/>
                <w:color w:val="000000"/>
                <w:sz w:val="24"/>
              </w:rPr>
            </w:pPr>
            <w:r>
              <w:rPr>
                <w:rFonts w:hint="eastAsia" w:ascii="宋体" w:hAnsi="宋体" w:cs="宋体"/>
                <w:color w:val="000000"/>
                <w:kern w:val="0"/>
                <w:sz w:val="24"/>
              </w:rPr>
              <w:t>三级指标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7277F346">
            <w:pPr>
              <w:widowControl/>
              <w:jc w:val="center"/>
              <w:textAlignment w:val="center"/>
              <w:rPr>
                <w:rFonts w:ascii="宋体" w:cs="宋体"/>
                <w:color w:val="000000"/>
                <w:sz w:val="24"/>
              </w:rPr>
            </w:pPr>
            <w:r>
              <w:rPr>
                <w:rFonts w:hint="eastAsia" w:ascii="宋体" w:hAnsi="宋体" w:cs="宋体"/>
                <w:color w:val="000000"/>
                <w:kern w:val="0"/>
                <w:sz w:val="24"/>
              </w:rPr>
              <w:t>预期指标值</w:t>
            </w:r>
            <w:r>
              <w:rPr>
                <w:rFonts w:ascii="宋体" w:hAnsi="宋体" w:cs="宋体"/>
                <w:color w:val="000000"/>
                <w:kern w:val="0"/>
                <w:sz w:val="24"/>
              </w:rPr>
              <w:t>(</w:t>
            </w:r>
            <w:r>
              <w:rPr>
                <w:rFonts w:hint="eastAsia" w:ascii="宋体" w:hAnsi="宋体" w:cs="宋体"/>
                <w:color w:val="000000"/>
                <w:kern w:val="0"/>
                <w:sz w:val="24"/>
              </w:rPr>
              <w:t>包含数字及文字描述</w:t>
            </w:r>
            <w:r>
              <w:rPr>
                <w:rFonts w:ascii="宋体" w:hAnsi="宋体" w:cs="宋体"/>
                <w:color w:val="000000"/>
                <w:kern w:val="0"/>
                <w:sz w:val="24"/>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11CF82A0">
            <w:pPr>
              <w:widowControl/>
              <w:jc w:val="center"/>
              <w:textAlignment w:val="center"/>
              <w:rPr>
                <w:rFonts w:ascii="宋体" w:cs="宋体"/>
                <w:color w:val="000000"/>
                <w:sz w:val="24"/>
              </w:rPr>
            </w:pPr>
            <w:r>
              <w:rPr>
                <w:rFonts w:hint="eastAsia" w:ascii="宋体" w:hAnsi="宋体" w:cs="宋体"/>
                <w:color w:val="000000"/>
                <w:kern w:val="0"/>
                <w:sz w:val="24"/>
              </w:rPr>
              <w:t>实际完成指标值</w:t>
            </w:r>
            <w:r>
              <w:rPr>
                <w:rFonts w:ascii="宋体" w:hAnsi="宋体" w:cs="宋体"/>
                <w:color w:val="000000"/>
                <w:kern w:val="0"/>
                <w:sz w:val="24"/>
              </w:rPr>
              <w:t>(</w:t>
            </w:r>
            <w:r>
              <w:rPr>
                <w:rFonts w:hint="eastAsia" w:ascii="宋体" w:hAnsi="宋体" w:cs="宋体"/>
                <w:color w:val="000000"/>
                <w:kern w:val="0"/>
                <w:sz w:val="24"/>
              </w:rPr>
              <w:t>包含数字及文字描述</w:t>
            </w:r>
            <w:r>
              <w:rPr>
                <w:rFonts w:ascii="宋体" w:hAnsi="宋体" w:cs="宋体"/>
                <w:color w:val="000000"/>
                <w:kern w:val="0"/>
                <w:sz w:val="24"/>
              </w:rPr>
              <w:t>)</w:t>
            </w:r>
          </w:p>
        </w:tc>
      </w:tr>
      <w:tr w14:paraId="6AD1A21A">
        <w:tblPrEx>
          <w:tblCellMar>
            <w:top w:w="0" w:type="dxa"/>
            <w:left w:w="0" w:type="dxa"/>
            <w:bottom w:w="0" w:type="dxa"/>
            <w:right w:w="0" w:type="dxa"/>
          </w:tblCellMar>
        </w:tblPrEx>
        <w:trPr>
          <w:trHeight w:val="953"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14:paraId="512BC2DC">
            <w:pPr>
              <w:widowControl/>
              <w:jc w:val="left"/>
              <w:rPr>
                <w:rFonts w:asci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2BB4BF5A">
            <w:pPr>
              <w:widowControl/>
              <w:jc w:val="center"/>
              <w:textAlignment w:val="center"/>
              <w:rPr>
                <w:rFonts w:ascii="宋体" w:cs="宋体"/>
                <w:color w:val="00000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7E132461">
            <w:pPr>
              <w:widowControl/>
              <w:jc w:val="center"/>
              <w:textAlignment w:val="center"/>
              <w:rPr>
                <w:rFonts w:ascii="宋体" w:cs="宋体"/>
                <w:color w:val="000000"/>
                <w:sz w:val="24"/>
              </w:rPr>
            </w:pPr>
            <w:r>
              <w:rPr>
                <w:rFonts w:hint="eastAsia" w:ascii="宋体" w:hAnsi="宋体" w:cs="宋体"/>
                <w:color w:val="000000"/>
                <w:kern w:val="0"/>
                <w:sz w:val="24"/>
              </w:rPr>
              <w:t>项目完成指标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5DD6742F">
            <w:pPr>
              <w:widowControl/>
              <w:jc w:val="center"/>
              <w:textAlignment w:val="center"/>
              <w:rPr>
                <w:rFonts w:ascii="宋体" w:cs="宋体"/>
                <w:color w:val="000000"/>
                <w:sz w:val="24"/>
              </w:rPr>
            </w:pPr>
            <w:r>
              <w:rPr>
                <w:rFonts w:hint="eastAsia" w:ascii="宋体" w:hAnsi="宋体" w:cs="宋体"/>
                <w:color w:val="000000"/>
                <w:kern w:val="0"/>
                <w:sz w:val="24"/>
              </w:rPr>
              <w:t>项目完成指标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46999F87">
            <w:pPr>
              <w:jc w:val="center"/>
              <w:rPr>
                <w:rFonts w:ascii="宋体" w:cs="宋体"/>
                <w:sz w:val="24"/>
              </w:rPr>
            </w:pPr>
            <w:r>
              <w:rPr>
                <w:rFonts w:hint="eastAsia"/>
                <w:sz w:val="24"/>
              </w:rPr>
              <w:t>确保约180名幼儿在幼儿园的正常教学及设备购置发展，弥补办公经费不足</w:t>
            </w:r>
          </w:p>
          <w:p w14:paraId="20507111">
            <w:pPr>
              <w:widowControl/>
              <w:jc w:val="center"/>
              <w:textAlignment w:val="center"/>
              <w:rPr>
                <w:rFonts w:asci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6F73FBBF">
            <w:pPr>
              <w:jc w:val="center"/>
              <w:rPr>
                <w:rFonts w:ascii="宋体" w:cs="宋体"/>
                <w:sz w:val="24"/>
              </w:rPr>
            </w:pPr>
            <w:r>
              <w:rPr>
                <w:rFonts w:hint="eastAsia"/>
                <w:sz w:val="24"/>
              </w:rPr>
              <w:t>确保约180名幼儿在幼儿园的正常教学及设备购置发展，弥补办公经费不足</w:t>
            </w:r>
          </w:p>
          <w:p w14:paraId="0E78A2AF">
            <w:pPr>
              <w:widowControl/>
              <w:jc w:val="center"/>
              <w:textAlignment w:val="center"/>
              <w:rPr>
                <w:rFonts w:ascii="宋体" w:cs="宋体"/>
                <w:color w:val="000000"/>
                <w:sz w:val="24"/>
              </w:rPr>
            </w:pPr>
          </w:p>
        </w:tc>
      </w:tr>
      <w:tr w14:paraId="299C7D3F">
        <w:tblPrEx>
          <w:tblCellMar>
            <w:top w:w="0" w:type="dxa"/>
            <w:left w:w="0" w:type="dxa"/>
            <w:bottom w:w="0" w:type="dxa"/>
            <w:right w:w="0" w:type="dxa"/>
          </w:tblCellMar>
        </w:tblPrEx>
        <w:trPr>
          <w:trHeight w:val="1297"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14:paraId="2C26E0C3">
            <w:pPr>
              <w:widowControl/>
              <w:jc w:val="left"/>
              <w:rPr>
                <w:rFonts w:asci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689C3609">
            <w:pPr>
              <w:widowControl/>
              <w:jc w:val="center"/>
              <w:textAlignment w:val="center"/>
              <w:rPr>
                <w:rFonts w:ascii="宋体" w:cs="宋体"/>
                <w:color w:val="00000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1AD36EF9">
            <w:pPr>
              <w:widowControl/>
              <w:jc w:val="center"/>
              <w:textAlignment w:val="center"/>
              <w:rPr>
                <w:rFonts w:ascii="宋体" w:cs="宋体"/>
                <w:color w:val="000000"/>
                <w:sz w:val="24"/>
              </w:rPr>
            </w:pPr>
            <w:r>
              <w:rPr>
                <w:rFonts w:hint="eastAsia" w:ascii="宋体" w:hAnsi="宋体" w:cs="宋体"/>
                <w:color w:val="000000"/>
                <w:kern w:val="0"/>
                <w:sz w:val="24"/>
              </w:rPr>
              <w:t>项目完成指标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30A15061">
            <w:pPr>
              <w:widowControl/>
              <w:jc w:val="center"/>
              <w:textAlignment w:val="center"/>
              <w:rPr>
                <w:rFonts w:ascii="宋体" w:cs="宋体"/>
                <w:color w:val="000000"/>
                <w:sz w:val="24"/>
              </w:rPr>
            </w:pPr>
            <w:r>
              <w:rPr>
                <w:rFonts w:hint="eastAsia" w:ascii="宋体" w:hAnsi="宋体" w:cs="宋体"/>
                <w:color w:val="000000"/>
                <w:kern w:val="0"/>
                <w:sz w:val="24"/>
              </w:rPr>
              <w:t>项目完成指标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083B46E1">
            <w:pPr>
              <w:jc w:val="center"/>
              <w:rPr>
                <w:rFonts w:ascii="宋体" w:cs="宋体"/>
                <w:sz w:val="24"/>
              </w:rPr>
            </w:pPr>
            <w:r>
              <w:rPr>
                <w:rFonts w:hint="eastAsia"/>
              </w:rPr>
              <w:t>保障正常的教育教学秩序</w:t>
            </w:r>
          </w:p>
          <w:p w14:paraId="52810C5B">
            <w:pPr>
              <w:widowControl/>
              <w:jc w:val="center"/>
              <w:textAlignment w:val="center"/>
              <w:rPr>
                <w:rFonts w:asci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326D1C1F">
            <w:pPr>
              <w:jc w:val="center"/>
              <w:rPr>
                <w:rFonts w:ascii="宋体" w:cs="宋体"/>
                <w:sz w:val="24"/>
              </w:rPr>
            </w:pPr>
            <w:r>
              <w:rPr>
                <w:rFonts w:hint="eastAsia"/>
              </w:rPr>
              <w:t>保障正常的教育教学秩序</w:t>
            </w:r>
          </w:p>
          <w:p w14:paraId="52F46611">
            <w:pPr>
              <w:widowControl/>
              <w:jc w:val="center"/>
              <w:textAlignment w:val="center"/>
              <w:rPr>
                <w:rFonts w:ascii="宋体" w:cs="宋体"/>
                <w:color w:val="000000"/>
                <w:sz w:val="24"/>
              </w:rPr>
            </w:pPr>
          </w:p>
        </w:tc>
      </w:tr>
      <w:tr w14:paraId="344736D2">
        <w:tblPrEx>
          <w:tblCellMar>
            <w:top w:w="0" w:type="dxa"/>
            <w:left w:w="0" w:type="dxa"/>
            <w:bottom w:w="0" w:type="dxa"/>
            <w:right w:w="0" w:type="dxa"/>
          </w:tblCellMar>
        </w:tblPrEx>
        <w:trPr>
          <w:trHeight w:val="1042"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14:paraId="35D4FAB8">
            <w:pPr>
              <w:widowControl/>
              <w:jc w:val="left"/>
              <w:rPr>
                <w:rFonts w:asci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7BCAABA3">
            <w:pPr>
              <w:widowControl/>
              <w:jc w:val="center"/>
              <w:textAlignment w:val="center"/>
              <w:rPr>
                <w:rFonts w:ascii="宋体" w:cs="宋体"/>
                <w:color w:val="00000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73C0AA43">
            <w:pPr>
              <w:widowControl/>
              <w:jc w:val="center"/>
              <w:textAlignment w:val="center"/>
              <w:rPr>
                <w:rFonts w:ascii="宋体" w:cs="宋体"/>
                <w:color w:val="000000"/>
                <w:sz w:val="24"/>
              </w:rPr>
            </w:pPr>
            <w:r>
              <w:rPr>
                <w:rFonts w:hint="eastAsia" w:ascii="宋体" w:hAnsi="宋体" w:cs="宋体"/>
                <w:color w:val="000000"/>
                <w:kern w:val="0"/>
                <w:sz w:val="24"/>
              </w:rPr>
              <w:t>项目完成指标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30A456E3">
            <w:pPr>
              <w:widowControl/>
              <w:jc w:val="center"/>
              <w:textAlignment w:val="center"/>
              <w:rPr>
                <w:rFonts w:ascii="宋体" w:cs="宋体"/>
                <w:color w:val="000000"/>
                <w:sz w:val="24"/>
              </w:rPr>
            </w:pPr>
            <w:r>
              <w:rPr>
                <w:rFonts w:hint="eastAsia" w:ascii="宋体" w:hAnsi="宋体" w:cs="宋体"/>
                <w:color w:val="000000"/>
                <w:kern w:val="0"/>
                <w:sz w:val="24"/>
              </w:rPr>
              <w:t>项目完成指标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66CC90C8">
            <w:pPr>
              <w:jc w:val="center"/>
              <w:rPr>
                <w:rFonts w:ascii="宋体" w:cs="宋体"/>
                <w:sz w:val="24"/>
              </w:rPr>
            </w:pPr>
            <w:r>
              <w:rPr>
                <w:rFonts w:hint="eastAsia"/>
              </w:rPr>
              <w:t>校园环境和教学设施达到质量安全指标</w:t>
            </w:r>
          </w:p>
          <w:p w14:paraId="21B7169D">
            <w:pPr>
              <w:widowControl/>
              <w:jc w:val="center"/>
              <w:textAlignment w:val="center"/>
              <w:rPr>
                <w:rFonts w:asci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4A9FAC2C">
            <w:pPr>
              <w:jc w:val="center"/>
              <w:rPr>
                <w:rFonts w:ascii="宋体" w:cs="宋体"/>
                <w:sz w:val="24"/>
              </w:rPr>
            </w:pPr>
            <w:r>
              <w:rPr>
                <w:rFonts w:hint="eastAsia"/>
              </w:rPr>
              <w:t>校园环境和教学设施达到质量安全指标</w:t>
            </w:r>
          </w:p>
          <w:p w14:paraId="5EFB0A4C">
            <w:pPr>
              <w:widowControl/>
              <w:jc w:val="center"/>
              <w:textAlignment w:val="center"/>
              <w:rPr>
                <w:rFonts w:ascii="宋体" w:cs="宋体"/>
                <w:color w:val="000000"/>
                <w:sz w:val="24"/>
              </w:rPr>
            </w:pPr>
          </w:p>
        </w:tc>
      </w:tr>
      <w:tr w14:paraId="2FF9D54C">
        <w:tblPrEx>
          <w:tblCellMar>
            <w:top w:w="0" w:type="dxa"/>
            <w:left w:w="0" w:type="dxa"/>
            <w:bottom w:w="0" w:type="dxa"/>
            <w:right w:w="0" w:type="dxa"/>
          </w:tblCellMar>
        </w:tblPrEx>
        <w:trPr>
          <w:trHeight w:val="1042"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14:paraId="24A790AC">
            <w:pPr>
              <w:widowControl/>
              <w:jc w:val="left"/>
              <w:rPr>
                <w:rFonts w:asci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455AA9C2">
            <w:pPr>
              <w:widowControl/>
              <w:jc w:val="center"/>
              <w:textAlignment w:val="center"/>
              <w:rPr>
                <w:rFonts w:ascii="宋体" w:cs="宋体"/>
                <w:color w:val="000000"/>
                <w:kern w:val="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516E6D84">
            <w:pPr>
              <w:widowControl/>
              <w:jc w:val="center"/>
              <w:textAlignment w:val="center"/>
              <w:rPr>
                <w:rFonts w:ascii="宋体" w:cs="宋体"/>
                <w:color w:val="000000"/>
                <w:kern w:val="0"/>
                <w:sz w:val="24"/>
              </w:rPr>
            </w:pPr>
            <w:r>
              <w:rPr>
                <w:rFonts w:hint="eastAsia" w:ascii="宋体" w:hAnsi="宋体" w:cs="宋体"/>
                <w:color w:val="000000"/>
                <w:kern w:val="0"/>
                <w:sz w:val="24"/>
              </w:rPr>
              <w:t>项目完成指标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6539DF50">
            <w:pPr>
              <w:widowControl/>
              <w:jc w:val="center"/>
              <w:textAlignment w:val="center"/>
              <w:rPr>
                <w:rFonts w:ascii="宋体" w:cs="宋体"/>
                <w:color w:val="000000"/>
                <w:kern w:val="0"/>
                <w:sz w:val="24"/>
              </w:rPr>
            </w:pPr>
            <w:r>
              <w:rPr>
                <w:rFonts w:hint="eastAsia" w:ascii="宋体" w:hAnsi="宋体" w:cs="宋体"/>
                <w:color w:val="000000"/>
                <w:kern w:val="0"/>
                <w:sz w:val="24"/>
              </w:rPr>
              <w:t>项目完成指标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1C563CE0">
            <w:pPr>
              <w:jc w:val="center"/>
              <w:rPr>
                <w:rFonts w:ascii="宋体" w:cs="宋体"/>
                <w:sz w:val="24"/>
              </w:rPr>
            </w:pPr>
            <w:r>
              <w:rPr>
                <w:rFonts w:hint="eastAsia"/>
              </w:rPr>
              <w:t>达到国家办学水平要求</w:t>
            </w:r>
          </w:p>
          <w:p w14:paraId="5D8E8DB1">
            <w:pPr>
              <w:widowControl/>
              <w:jc w:val="center"/>
              <w:textAlignment w:val="center"/>
              <w:rPr>
                <w:rFonts w:asci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2F254C44">
            <w:pPr>
              <w:jc w:val="center"/>
              <w:rPr>
                <w:rFonts w:ascii="宋体" w:cs="宋体"/>
                <w:sz w:val="24"/>
              </w:rPr>
            </w:pPr>
            <w:r>
              <w:rPr>
                <w:rFonts w:hint="eastAsia"/>
              </w:rPr>
              <w:t>达到国家办学水平要求</w:t>
            </w:r>
          </w:p>
          <w:p w14:paraId="56A5EF0F">
            <w:pPr>
              <w:widowControl/>
              <w:jc w:val="center"/>
              <w:textAlignment w:val="center"/>
              <w:rPr>
                <w:rFonts w:ascii="宋体" w:cs="宋体"/>
                <w:color w:val="000000"/>
                <w:sz w:val="24"/>
              </w:rPr>
            </w:pPr>
          </w:p>
        </w:tc>
      </w:tr>
      <w:tr w14:paraId="0570B999">
        <w:tblPrEx>
          <w:tblCellMar>
            <w:top w:w="0" w:type="dxa"/>
            <w:left w:w="0" w:type="dxa"/>
            <w:bottom w:w="0" w:type="dxa"/>
            <w:right w:w="0" w:type="dxa"/>
          </w:tblCellMar>
        </w:tblPrEx>
        <w:trPr>
          <w:trHeight w:val="1042"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14:paraId="7459B8D7">
            <w:pPr>
              <w:widowControl/>
              <w:jc w:val="left"/>
              <w:rPr>
                <w:rFonts w:asci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19A7088B">
            <w:pPr>
              <w:widowControl/>
              <w:jc w:val="center"/>
              <w:textAlignment w:val="center"/>
              <w:rPr>
                <w:rFonts w:ascii="宋体" w:cs="宋体"/>
                <w:color w:val="00000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1BA70C41">
            <w:pPr>
              <w:widowControl/>
              <w:jc w:val="center"/>
              <w:textAlignment w:val="center"/>
              <w:rPr>
                <w:rFonts w:ascii="宋体" w:cs="宋体"/>
                <w:color w:val="000000"/>
                <w:sz w:val="24"/>
              </w:rPr>
            </w:pPr>
            <w:r>
              <w:rPr>
                <w:rFonts w:hint="eastAsia" w:ascii="宋体" w:hAnsi="宋体" w:cs="宋体"/>
                <w:color w:val="000000"/>
                <w:kern w:val="0"/>
                <w:sz w:val="24"/>
              </w:rPr>
              <w:t>项目完成指标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680AB59C">
            <w:pPr>
              <w:widowControl/>
              <w:jc w:val="center"/>
              <w:textAlignment w:val="center"/>
              <w:rPr>
                <w:rFonts w:ascii="宋体" w:cs="宋体"/>
                <w:color w:val="000000"/>
                <w:sz w:val="24"/>
              </w:rPr>
            </w:pPr>
            <w:r>
              <w:rPr>
                <w:rFonts w:hint="eastAsia" w:ascii="宋体" w:hAnsi="宋体" w:cs="宋体"/>
                <w:color w:val="000000"/>
                <w:kern w:val="0"/>
                <w:sz w:val="24"/>
              </w:rPr>
              <w:t>项目完成指标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0C0EBC26">
            <w:pPr>
              <w:jc w:val="center"/>
              <w:rPr>
                <w:rFonts w:ascii="宋体" w:cs="宋体"/>
                <w:sz w:val="24"/>
              </w:rPr>
            </w:pPr>
            <w:r>
              <w:t>2018</w:t>
            </w:r>
            <w:r>
              <w:rPr>
                <w:rFonts w:hint="eastAsia"/>
              </w:rPr>
              <w:t>年</w:t>
            </w:r>
            <w:r>
              <w:t>12</w:t>
            </w:r>
            <w:r>
              <w:rPr>
                <w:rFonts w:hint="eastAsia"/>
              </w:rPr>
              <w:t>月前完成</w:t>
            </w:r>
          </w:p>
          <w:p w14:paraId="7BCDC263">
            <w:pPr>
              <w:widowControl/>
              <w:jc w:val="center"/>
              <w:textAlignment w:val="center"/>
              <w:rPr>
                <w:rFonts w:asci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19B5DCED">
            <w:pPr>
              <w:jc w:val="center"/>
              <w:rPr>
                <w:rFonts w:ascii="宋体" w:cs="宋体"/>
                <w:sz w:val="24"/>
              </w:rPr>
            </w:pPr>
            <w:r>
              <w:t>2018</w:t>
            </w:r>
            <w:r>
              <w:rPr>
                <w:rFonts w:hint="eastAsia"/>
              </w:rPr>
              <w:t>年</w:t>
            </w:r>
            <w:r>
              <w:t>12</w:t>
            </w:r>
            <w:r>
              <w:rPr>
                <w:rFonts w:hint="eastAsia"/>
              </w:rPr>
              <w:t>月前完成</w:t>
            </w:r>
          </w:p>
          <w:p w14:paraId="4BBEB10A">
            <w:pPr>
              <w:widowControl/>
              <w:jc w:val="center"/>
              <w:textAlignment w:val="center"/>
              <w:rPr>
                <w:rFonts w:ascii="宋体" w:cs="宋体"/>
                <w:color w:val="000000"/>
                <w:sz w:val="24"/>
              </w:rPr>
            </w:pPr>
          </w:p>
        </w:tc>
      </w:tr>
      <w:tr w14:paraId="3956AA7F">
        <w:tblPrEx>
          <w:tblCellMar>
            <w:top w:w="0" w:type="dxa"/>
            <w:left w:w="0" w:type="dxa"/>
            <w:bottom w:w="0" w:type="dxa"/>
            <w:right w:w="0" w:type="dxa"/>
          </w:tblCellMar>
        </w:tblPrEx>
        <w:trPr>
          <w:trHeight w:val="1042"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14:paraId="17D2DB4E">
            <w:pPr>
              <w:widowControl/>
              <w:jc w:val="left"/>
              <w:rPr>
                <w:rFonts w:asci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0C9ED332">
            <w:pPr>
              <w:widowControl/>
              <w:jc w:val="center"/>
              <w:textAlignment w:val="center"/>
              <w:rPr>
                <w:rFonts w:ascii="宋体" w:cs="宋体"/>
                <w:color w:val="000000"/>
                <w:sz w:val="24"/>
              </w:rPr>
            </w:pPr>
            <w:r>
              <w:rPr>
                <w:rFonts w:hint="eastAsia" w:ascii="宋体" w:hAnsi="宋体" w:cs="宋体"/>
                <w:color w:val="000000"/>
                <w:sz w:val="24"/>
              </w:rPr>
              <w:t>质量指标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7C0E8DB6">
            <w:pPr>
              <w:widowControl/>
              <w:jc w:val="center"/>
              <w:textAlignment w:val="center"/>
              <w:rPr>
                <w:rFonts w:ascii="宋体" w:cs="宋体"/>
                <w:color w:val="000000"/>
                <w:sz w:val="24"/>
              </w:rPr>
            </w:pPr>
            <w:r>
              <w:rPr>
                <w:rFonts w:hint="eastAsia" w:ascii="宋体" w:hAnsi="宋体" w:cs="宋体"/>
                <w:color w:val="000000"/>
                <w:sz w:val="24"/>
              </w:rPr>
              <w:t>质量指标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6EEFDE42">
            <w:pPr>
              <w:widowControl/>
              <w:jc w:val="center"/>
              <w:textAlignment w:val="center"/>
              <w:rPr>
                <w:rFonts w:ascii="宋体" w:cs="宋体"/>
                <w:color w:val="000000"/>
                <w:sz w:val="24"/>
              </w:rPr>
            </w:pPr>
            <w:r>
              <w:rPr>
                <w:rFonts w:hint="eastAsia" w:ascii="宋体" w:hAnsi="宋体" w:cs="宋体"/>
                <w:color w:val="000000"/>
                <w:sz w:val="24"/>
              </w:rPr>
              <w:t>质量指标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31A09F2E">
            <w:pPr>
              <w:widowControl/>
              <w:jc w:val="center"/>
              <w:textAlignment w:val="center"/>
              <w:rPr>
                <w:rFonts w:ascii="宋体" w:cs="宋体"/>
                <w:color w:val="000000"/>
                <w:sz w:val="24"/>
              </w:rPr>
            </w:pPr>
            <w:r>
              <w:rPr>
                <w:rFonts w:hint="eastAsia" w:ascii="宋体" w:cs="宋体"/>
                <w:color w:val="000000"/>
                <w:sz w:val="24"/>
              </w:rPr>
              <w:t>达标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04B3F434">
            <w:pPr>
              <w:widowControl/>
              <w:jc w:val="center"/>
              <w:textAlignment w:val="center"/>
              <w:rPr>
                <w:rFonts w:ascii="宋体" w:cs="宋体"/>
                <w:color w:val="000000"/>
                <w:sz w:val="24"/>
              </w:rPr>
            </w:pPr>
            <w:r>
              <w:rPr>
                <w:rFonts w:hint="eastAsia" w:ascii="宋体" w:cs="宋体"/>
                <w:color w:val="000000"/>
                <w:sz w:val="24"/>
              </w:rPr>
              <w:t>达标</w:t>
            </w:r>
          </w:p>
        </w:tc>
      </w:tr>
      <w:tr w14:paraId="7CB7C4CE">
        <w:tblPrEx>
          <w:tblCellMar>
            <w:top w:w="0" w:type="dxa"/>
            <w:left w:w="0" w:type="dxa"/>
            <w:bottom w:w="0" w:type="dxa"/>
            <w:right w:w="0" w:type="dxa"/>
          </w:tblCellMar>
        </w:tblPrEx>
        <w:trPr>
          <w:trHeight w:val="1042"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14:paraId="55599198">
            <w:pPr>
              <w:widowControl/>
              <w:jc w:val="left"/>
              <w:rPr>
                <w:rFonts w:asci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573742FB">
            <w:pPr>
              <w:widowControl/>
              <w:jc w:val="center"/>
              <w:textAlignment w:val="center"/>
              <w:rPr>
                <w:rFonts w:ascii="宋体" w:cs="宋体"/>
                <w:color w:val="000000"/>
                <w:sz w:val="24"/>
              </w:rPr>
            </w:pPr>
            <w:r>
              <w:rPr>
                <w:rFonts w:hint="eastAsia" w:ascii="宋体" w:hAnsi="宋体" w:cs="宋体"/>
                <w:color w:val="000000"/>
                <w:kern w:val="0"/>
                <w:sz w:val="24"/>
              </w:rPr>
              <w:t>效益指标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02030DBB">
            <w:pPr>
              <w:widowControl/>
              <w:jc w:val="center"/>
              <w:textAlignment w:val="center"/>
              <w:rPr>
                <w:rFonts w:ascii="宋体" w:cs="宋体"/>
                <w:color w:val="000000"/>
                <w:sz w:val="24"/>
              </w:rPr>
            </w:pPr>
            <w:r>
              <w:rPr>
                <w:rFonts w:hint="eastAsia" w:ascii="宋体" w:hAnsi="宋体" w:cs="宋体"/>
                <w:color w:val="000000"/>
                <w:kern w:val="0"/>
                <w:sz w:val="24"/>
              </w:rPr>
              <w:t>效益指标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5DF58D11">
            <w:pPr>
              <w:widowControl/>
              <w:jc w:val="center"/>
              <w:textAlignment w:val="center"/>
              <w:rPr>
                <w:rFonts w:ascii="宋体" w:cs="宋体"/>
                <w:color w:val="000000"/>
                <w:sz w:val="24"/>
              </w:rPr>
            </w:pPr>
            <w:r>
              <w:rPr>
                <w:rFonts w:hint="eastAsia" w:ascii="宋体" w:hAnsi="宋体" w:cs="宋体"/>
                <w:color w:val="000000"/>
                <w:kern w:val="0"/>
                <w:sz w:val="24"/>
              </w:rPr>
              <w:t>效益指标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4D070E22">
            <w:pPr>
              <w:jc w:val="center"/>
              <w:rPr>
                <w:rFonts w:ascii="宋体" w:cs="宋体"/>
                <w:sz w:val="24"/>
              </w:rPr>
            </w:pPr>
            <w:r>
              <w:rPr>
                <w:rFonts w:hint="eastAsia"/>
              </w:rPr>
              <w:t>保证幼儿园中的幼儿快乐成长</w:t>
            </w:r>
          </w:p>
          <w:p w14:paraId="778530DF">
            <w:pPr>
              <w:widowControl/>
              <w:jc w:val="center"/>
              <w:textAlignment w:val="center"/>
              <w:rPr>
                <w:rFonts w:asci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35F70817">
            <w:pPr>
              <w:jc w:val="center"/>
              <w:rPr>
                <w:rFonts w:ascii="宋体" w:cs="宋体"/>
                <w:sz w:val="24"/>
              </w:rPr>
            </w:pPr>
            <w:r>
              <w:rPr>
                <w:rFonts w:hint="eastAsia"/>
              </w:rPr>
              <w:t>保证幼儿园中的幼儿快乐成长</w:t>
            </w:r>
          </w:p>
          <w:p w14:paraId="420B8C0F">
            <w:pPr>
              <w:widowControl/>
              <w:jc w:val="center"/>
              <w:textAlignment w:val="center"/>
              <w:rPr>
                <w:rFonts w:ascii="宋体" w:cs="宋体"/>
                <w:color w:val="000000"/>
                <w:sz w:val="24"/>
              </w:rPr>
            </w:pPr>
          </w:p>
        </w:tc>
      </w:tr>
      <w:tr w14:paraId="04855B76">
        <w:tblPrEx>
          <w:tblCellMar>
            <w:top w:w="0" w:type="dxa"/>
            <w:left w:w="0" w:type="dxa"/>
            <w:bottom w:w="0" w:type="dxa"/>
            <w:right w:w="0" w:type="dxa"/>
          </w:tblCellMar>
        </w:tblPrEx>
        <w:trPr>
          <w:trHeight w:val="1297"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14:paraId="0302462E">
            <w:pPr>
              <w:widowControl/>
              <w:jc w:val="left"/>
              <w:rPr>
                <w:rFonts w:asci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41216F56">
            <w:pPr>
              <w:widowControl/>
              <w:jc w:val="center"/>
              <w:textAlignment w:val="center"/>
              <w:rPr>
                <w:rFonts w:ascii="宋体" w:cs="宋体"/>
                <w:color w:val="000000"/>
                <w:sz w:val="24"/>
              </w:rPr>
            </w:pPr>
            <w:r>
              <w:rPr>
                <w:rFonts w:hint="eastAsia" w:ascii="宋体" w:hAnsi="宋体" w:cs="宋体"/>
                <w:color w:val="000000"/>
                <w:kern w:val="0"/>
                <w:sz w:val="24"/>
              </w:rPr>
              <w:t>效益指标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45F90A79">
            <w:pPr>
              <w:widowControl/>
              <w:jc w:val="center"/>
              <w:textAlignment w:val="center"/>
              <w:rPr>
                <w:rFonts w:ascii="宋体" w:cs="宋体"/>
                <w:color w:val="000000"/>
                <w:sz w:val="24"/>
              </w:rPr>
            </w:pPr>
            <w:r>
              <w:rPr>
                <w:rFonts w:hint="eastAsia" w:ascii="宋体" w:hAnsi="宋体" w:cs="宋体"/>
                <w:color w:val="000000"/>
                <w:kern w:val="0"/>
                <w:sz w:val="24"/>
              </w:rPr>
              <w:t>效益指标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0191B7F1">
            <w:pPr>
              <w:widowControl/>
              <w:jc w:val="center"/>
              <w:textAlignment w:val="center"/>
              <w:rPr>
                <w:rFonts w:ascii="宋体" w:cs="宋体"/>
                <w:color w:val="000000"/>
                <w:sz w:val="24"/>
              </w:rPr>
            </w:pPr>
            <w:r>
              <w:rPr>
                <w:rFonts w:hint="eastAsia" w:ascii="宋体" w:hAnsi="宋体" w:cs="宋体"/>
                <w:color w:val="000000"/>
                <w:kern w:val="0"/>
                <w:sz w:val="24"/>
              </w:rPr>
              <w:t>效益指标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2EBC0AA2">
            <w:pPr>
              <w:jc w:val="center"/>
              <w:rPr>
                <w:rFonts w:ascii="宋体" w:cs="宋体"/>
                <w:sz w:val="24"/>
              </w:rPr>
            </w:pPr>
            <w:r>
              <w:rPr>
                <w:rFonts w:hint="eastAsia"/>
              </w:rPr>
              <w:t>让学生、家长、社会满意</w:t>
            </w:r>
          </w:p>
          <w:p w14:paraId="15A5C450">
            <w:pPr>
              <w:widowControl/>
              <w:jc w:val="center"/>
              <w:textAlignment w:val="center"/>
              <w:rPr>
                <w:rFonts w:asci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5A0DE316">
            <w:pPr>
              <w:jc w:val="center"/>
              <w:rPr>
                <w:rFonts w:ascii="宋体" w:cs="宋体"/>
                <w:sz w:val="24"/>
              </w:rPr>
            </w:pPr>
            <w:r>
              <w:rPr>
                <w:rFonts w:hint="eastAsia"/>
              </w:rPr>
              <w:t>让学生、家长、社会满意</w:t>
            </w:r>
          </w:p>
          <w:p w14:paraId="31CD3E6D">
            <w:pPr>
              <w:widowControl/>
              <w:jc w:val="center"/>
              <w:textAlignment w:val="center"/>
              <w:rPr>
                <w:rFonts w:ascii="宋体" w:cs="宋体"/>
                <w:color w:val="000000"/>
                <w:sz w:val="24"/>
              </w:rPr>
            </w:pPr>
          </w:p>
        </w:tc>
      </w:tr>
      <w:tr w14:paraId="3200B6D3">
        <w:tblPrEx>
          <w:tblCellMar>
            <w:top w:w="0" w:type="dxa"/>
            <w:left w:w="0" w:type="dxa"/>
            <w:bottom w:w="0" w:type="dxa"/>
            <w:right w:w="0" w:type="dxa"/>
          </w:tblCellMar>
        </w:tblPrEx>
        <w:trPr>
          <w:trHeight w:val="1297"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14:paraId="2035BDFC">
            <w:pPr>
              <w:widowControl/>
              <w:jc w:val="left"/>
              <w:rPr>
                <w:rFonts w:asci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2A4C5659">
            <w:pPr>
              <w:widowControl/>
              <w:jc w:val="center"/>
              <w:textAlignment w:val="center"/>
              <w:rPr>
                <w:rFonts w:ascii="宋体" w:cs="宋体"/>
                <w:color w:val="000000"/>
                <w:kern w:val="0"/>
                <w:sz w:val="24"/>
              </w:rPr>
            </w:pPr>
            <w:r>
              <w:rPr>
                <w:rFonts w:hint="eastAsia" w:ascii="宋体" w:hAnsi="宋体" w:cs="宋体"/>
                <w:color w:val="000000"/>
                <w:kern w:val="0"/>
                <w:sz w:val="24"/>
              </w:rPr>
              <w:t>成本指标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421C39D3">
            <w:pPr>
              <w:widowControl/>
              <w:jc w:val="center"/>
              <w:textAlignment w:val="center"/>
              <w:rPr>
                <w:rFonts w:ascii="宋体" w:cs="宋体"/>
                <w:color w:val="000000"/>
                <w:kern w:val="0"/>
                <w:sz w:val="24"/>
              </w:rPr>
            </w:pPr>
            <w:r>
              <w:rPr>
                <w:rFonts w:hint="eastAsia" w:ascii="宋体" w:hAnsi="宋体" w:cs="宋体"/>
                <w:color w:val="000000"/>
                <w:kern w:val="0"/>
                <w:sz w:val="24"/>
              </w:rPr>
              <w:t>成本指标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59315033">
            <w:pPr>
              <w:widowControl/>
              <w:jc w:val="center"/>
              <w:textAlignment w:val="center"/>
              <w:rPr>
                <w:rFonts w:ascii="宋体" w:cs="宋体"/>
                <w:color w:val="000000"/>
                <w:kern w:val="0"/>
                <w:sz w:val="24"/>
              </w:rPr>
            </w:pPr>
            <w:r>
              <w:rPr>
                <w:rFonts w:hint="eastAsia" w:ascii="宋体" w:hAnsi="宋体" w:cs="宋体"/>
                <w:color w:val="000000"/>
                <w:kern w:val="0"/>
                <w:sz w:val="24"/>
              </w:rPr>
              <w:t>成本指标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6E907BCB">
            <w:pPr>
              <w:jc w:val="center"/>
              <w:rPr>
                <w:rFonts w:ascii="宋体" w:cs="宋体"/>
                <w:sz w:val="24"/>
              </w:rPr>
            </w:pPr>
            <w:r>
              <w:rPr>
                <w:rFonts w:hint="eastAsia"/>
              </w:rPr>
              <w:t>降低能耗</w:t>
            </w:r>
          </w:p>
          <w:p w14:paraId="58EF683B">
            <w:pPr>
              <w:widowControl/>
              <w:jc w:val="center"/>
              <w:textAlignment w:val="center"/>
              <w:rPr>
                <w:rFonts w:asci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23402590">
            <w:pPr>
              <w:jc w:val="center"/>
              <w:rPr>
                <w:rFonts w:ascii="宋体" w:cs="宋体"/>
                <w:sz w:val="24"/>
              </w:rPr>
            </w:pPr>
            <w:r>
              <w:rPr>
                <w:rFonts w:hint="eastAsia"/>
              </w:rPr>
              <w:t>降低能耗</w:t>
            </w:r>
          </w:p>
          <w:p w14:paraId="3C29CE5A">
            <w:pPr>
              <w:widowControl/>
              <w:jc w:val="center"/>
              <w:textAlignment w:val="center"/>
              <w:rPr>
                <w:rFonts w:ascii="宋体" w:cs="宋体"/>
                <w:color w:val="000000"/>
                <w:sz w:val="24"/>
              </w:rPr>
            </w:pPr>
          </w:p>
        </w:tc>
      </w:tr>
      <w:tr w14:paraId="62B943EB">
        <w:tblPrEx>
          <w:tblCellMar>
            <w:top w:w="0" w:type="dxa"/>
            <w:left w:w="0" w:type="dxa"/>
            <w:bottom w:w="0" w:type="dxa"/>
            <w:right w:w="0" w:type="dxa"/>
          </w:tblCellMar>
        </w:tblPrEx>
        <w:trPr>
          <w:trHeight w:val="1050"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14:paraId="5D6C0854">
            <w:pPr>
              <w:widowControl/>
              <w:jc w:val="left"/>
              <w:rPr>
                <w:rFonts w:asci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5A3584C3">
            <w:pPr>
              <w:widowControl/>
              <w:jc w:val="center"/>
              <w:textAlignment w:val="center"/>
              <w:rPr>
                <w:rFonts w:ascii="宋体" w:cs="宋体"/>
                <w:color w:val="000000"/>
                <w:sz w:val="24"/>
              </w:rPr>
            </w:pPr>
            <w:r>
              <w:rPr>
                <w:rFonts w:hint="eastAsia" w:ascii="宋体" w:hAnsi="宋体" w:cs="宋体"/>
                <w:color w:val="000000"/>
                <w:kern w:val="0"/>
                <w:sz w:val="24"/>
              </w:rPr>
              <w:t>满意度指标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55C3E912">
            <w:pPr>
              <w:widowControl/>
              <w:jc w:val="center"/>
              <w:textAlignment w:val="center"/>
              <w:rPr>
                <w:rFonts w:ascii="宋体" w:cs="宋体"/>
                <w:color w:val="000000"/>
                <w:sz w:val="24"/>
              </w:rPr>
            </w:pPr>
            <w:r>
              <w:rPr>
                <w:rFonts w:hint="eastAsia" w:ascii="宋体" w:hAnsi="宋体" w:cs="宋体"/>
                <w:color w:val="000000"/>
                <w:kern w:val="0"/>
                <w:sz w:val="24"/>
              </w:rPr>
              <w:t>满意度指标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20127E91">
            <w:pPr>
              <w:widowControl/>
              <w:jc w:val="center"/>
              <w:textAlignment w:val="center"/>
              <w:rPr>
                <w:rFonts w:ascii="宋体" w:cs="宋体"/>
                <w:color w:val="000000"/>
                <w:sz w:val="24"/>
              </w:rPr>
            </w:pPr>
            <w:r>
              <w:rPr>
                <w:rFonts w:hint="eastAsia" w:ascii="宋体" w:hAnsi="宋体" w:cs="宋体"/>
                <w:color w:val="000000"/>
                <w:kern w:val="0"/>
                <w:sz w:val="24"/>
              </w:rPr>
              <w:t>满意度指标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1DAEEEF6">
            <w:pPr>
              <w:jc w:val="center"/>
              <w:rPr>
                <w:rFonts w:ascii="宋体" w:cs="宋体"/>
                <w:sz w:val="24"/>
              </w:rPr>
            </w:pPr>
            <w:r>
              <w:rPr>
                <w:rFonts w:hint="eastAsia"/>
              </w:rPr>
              <w:t>学生、家长、社会满意度≥</w:t>
            </w:r>
            <w:r>
              <w:t>96%</w:t>
            </w:r>
            <w:r>
              <w:rPr>
                <w:rFonts w:hint="eastAsia"/>
              </w:rPr>
              <w:t>；项目主管部门满意度≥</w:t>
            </w:r>
            <w:r>
              <w:t>90%</w:t>
            </w:r>
          </w:p>
          <w:p w14:paraId="34A5D11F">
            <w:pPr>
              <w:widowControl/>
              <w:jc w:val="center"/>
              <w:textAlignment w:val="center"/>
              <w:rPr>
                <w:rFonts w:asci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66E990DD">
            <w:pPr>
              <w:jc w:val="center"/>
              <w:rPr>
                <w:rFonts w:ascii="宋体" w:cs="宋体"/>
                <w:sz w:val="24"/>
              </w:rPr>
            </w:pPr>
            <w:r>
              <w:rPr>
                <w:rFonts w:hint="eastAsia"/>
              </w:rPr>
              <w:t>学生、家长、社会满意度≥</w:t>
            </w:r>
            <w:r>
              <w:t>96%</w:t>
            </w:r>
            <w:r>
              <w:rPr>
                <w:rFonts w:hint="eastAsia"/>
              </w:rPr>
              <w:t>；项目主管部门满意度≥</w:t>
            </w:r>
            <w:r>
              <w:t>90%</w:t>
            </w:r>
          </w:p>
          <w:p w14:paraId="588C563F">
            <w:pPr>
              <w:widowControl/>
              <w:jc w:val="center"/>
              <w:textAlignment w:val="center"/>
              <w:rPr>
                <w:rFonts w:ascii="宋体" w:cs="宋体"/>
                <w:color w:val="000000"/>
                <w:sz w:val="24"/>
              </w:rPr>
            </w:pPr>
          </w:p>
        </w:tc>
      </w:tr>
    </w:tbl>
    <w:p w14:paraId="67BC42C2">
      <w:pPr>
        <w:rPr>
          <w:rFonts w:ascii="Calibri" w:hAnsi="Calibri"/>
        </w:rPr>
      </w:pPr>
    </w:p>
    <w:p w14:paraId="1B7BBA98">
      <w:pPr>
        <w:rPr>
          <w:rFonts w:ascii="Calibri" w:hAnsi="Calibri"/>
        </w:rPr>
      </w:pPr>
    </w:p>
    <w:p w14:paraId="0EF5B5DE">
      <w:pPr>
        <w:rPr>
          <w:rFonts w:ascii="Calibri" w:hAnsi="Calibri"/>
        </w:rPr>
      </w:pPr>
    </w:p>
    <w:p w14:paraId="0D1CB051">
      <w:pPr>
        <w:rPr>
          <w:rFonts w:ascii="Calibri" w:hAnsi="Calibri"/>
        </w:rPr>
      </w:pPr>
    </w:p>
    <w:p w14:paraId="7FF940B2">
      <w:pPr>
        <w:rPr>
          <w:rFonts w:ascii="Calibri" w:hAnsi="Calibri"/>
        </w:rPr>
      </w:pPr>
    </w:p>
    <w:p w14:paraId="13BB45DA">
      <w:pPr>
        <w:rPr>
          <w:rFonts w:ascii="Calibri" w:hAnsi="Calibri"/>
        </w:rPr>
      </w:pPr>
    </w:p>
    <w:p w14:paraId="58BA2B60">
      <w:pPr>
        <w:rPr>
          <w:rFonts w:ascii="Calibri" w:hAnsi="Calibri"/>
        </w:rPr>
      </w:pPr>
    </w:p>
    <w:p w14:paraId="7CAC9ACB">
      <w:pPr>
        <w:rPr>
          <w:rFonts w:ascii="Calibri" w:hAnsi="Calibri"/>
        </w:rPr>
      </w:pPr>
    </w:p>
    <w:p w14:paraId="40F6A861">
      <w:pPr>
        <w:rPr>
          <w:rFonts w:ascii="Calibri" w:hAnsi="Calibri"/>
        </w:rPr>
      </w:pPr>
    </w:p>
    <w:p w14:paraId="16063C48">
      <w:pPr>
        <w:rPr>
          <w:rFonts w:ascii="Calibri" w:hAnsi="Calibri"/>
        </w:rPr>
      </w:pPr>
    </w:p>
    <w:p w14:paraId="2B023689">
      <w:pPr>
        <w:rPr>
          <w:rFonts w:ascii="Calibri" w:hAnsi="Calibri"/>
        </w:rPr>
      </w:pPr>
    </w:p>
    <w:p w14:paraId="3AAE7CE8">
      <w:pPr>
        <w:rPr>
          <w:rFonts w:ascii="Calibri" w:hAnsi="Calibri"/>
        </w:rPr>
      </w:pPr>
    </w:p>
    <w:p w14:paraId="4A3E4D3E">
      <w:pPr>
        <w:rPr>
          <w:rFonts w:ascii="Calibri" w:hAnsi="Calibri"/>
        </w:rPr>
      </w:pPr>
    </w:p>
    <w:p w14:paraId="5DDD2E54">
      <w:pPr>
        <w:rPr>
          <w:rFonts w:ascii="Calibri" w:hAnsi="Calibri"/>
        </w:rPr>
      </w:pPr>
    </w:p>
    <w:p w14:paraId="5420DFEB">
      <w:pPr>
        <w:rPr>
          <w:rFonts w:ascii="Calibri" w:hAnsi="Calibri"/>
        </w:rPr>
      </w:pPr>
    </w:p>
    <w:p w14:paraId="63433277">
      <w:pPr>
        <w:rPr>
          <w:rFonts w:ascii="Calibri" w:hAnsi="Calibri"/>
        </w:rPr>
      </w:pPr>
    </w:p>
    <w:p w14:paraId="22F17D23">
      <w:pPr>
        <w:rPr>
          <w:rFonts w:ascii="Calibri" w:hAnsi="Calibri"/>
        </w:rPr>
      </w:pPr>
    </w:p>
    <w:p w14:paraId="586601A4">
      <w:pPr>
        <w:rPr>
          <w:rFonts w:ascii="Calibri" w:hAnsi="Calibri"/>
        </w:rPr>
      </w:pPr>
    </w:p>
    <w:p w14:paraId="50746216">
      <w:pPr>
        <w:rPr>
          <w:rFonts w:ascii="Calibri" w:hAnsi="Calibri"/>
        </w:rPr>
      </w:pPr>
    </w:p>
    <w:tbl>
      <w:tblPr>
        <w:tblStyle w:val="13"/>
        <w:tblpPr w:leftFromText="180" w:rightFromText="180" w:vertAnchor="text" w:horzAnchor="page" w:tblpXSpec="center" w:tblpY="423"/>
        <w:tblOverlap w:val="never"/>
        <w:tblW w:w="9960" w:type="dxa"/>
        <w:tblInd w:w="0" w:type="dxa"/>
        <w:tblLayout w:type="fixed"/>
        <w:tblCellMar>
          <w:top w:w="0" w:type="dxa"/>
          <w:left w:w="0" w:type="dxa"/>
          <w:bottom w:w="0" w:type="dxa"/>
          <w:right w:w="0" w:type="dxa"/>
        </w:tblCellMar>
      </w:tblPr>
      <w:tblGrid>
        <w:gridCol w:w="390"/>
        <w:gridCol w:w="1367"/>
        <w:gridCol w:w="1025"/>
        <w:gridCol w:w="2392"/>
        <w:gridCol w:w="2394"/>
        <w:gridCol w:w="2392"/>
      </w:tblGrid>
      <w:tr w14:paraId="7CE1F95F">
        <w:tblPrEx>
          <w:tblCellMar>
            <w:top w:w="0" w:type="dxa"/>
            <w:left w:w="0" w:type="dxa"/>
            <w:bottom w:w="0" w:type="dxa"/>
            <w:right w:w="0" w:type="dxa"/>
          </w:tblCellMar>
        </w:tblPrEx>
        <w:trPr>
          <w:trHeight w:val="1034" w:hRule="atLeast"/>
        </w:trPr>
        <w:tc>
          <w:tcPr>
            <w:tcW w:w="9960" w:type="dxa"/>
            <w:gridSpan w:val="6"/>
            <w:tcMar>
              <w:top w:w="15" w:type="dxa"/>
              <w:left w:w="15" w:type="dxa"/>
              <w:bottom w:w="0" w:type="dxa"/>
              <w:right w:w="15" w:type="dxa"/>
            </w:tcMar>
            <w:vAlign w:val="center"/>
          </w:tcPr>
          <w:p w14:paraId="2CCD49A5">
            <w:pPr>
              <w:pStyle w:val="27"/>
              <w:widowControl/>
              <w:ind w:left="4173" w:leftChars="1310" w:hanging="1422" w:hangingChars="395"/>
              <w:textAlignment w:val="center"/>
              <w:rPr>
                <w:rFonts w:ascii="宋体" w:cs="宋体"/>
                <w:color w:val="000000"/>
                <w:sz w:val="36"/>
                <w:szCs w:val="36"/>
              </w:rPr>
            </w:pPr>
            <w:r>
              <w:rPr>
                <w:rFonts w:hint="eastAsia" w:ascii="黑体" w:hAnsi="黑体" w:eastAsia="黑体" w:cs="宋体"/>
                <w:bCs/>
                <w:color w:val="000000"/>
                <w:kern w:val="0"/>
                <w:sz w:val="36"/>
                <w:szCs w:val="36"/>
              </w:rPr>
              <w:t>项目支出绩效目标完成情况表</w:t>
            </w:r>
            <w:r>
              <w:rPr>
                <w:rFonts w:ascii="宋体" w:cs="宋体"/>
                <w:b/>
                <w:bCs/>
                <w:color w:val="000000"/>
                <w:kern w:val="0"/>
                <w:sz w:val="36"/>
                <w:szCs w:val="36"/>
              </w:rPr>
              <w:br w:type="textWrapping"/>
            </w:r>
            <w:r>
              <w:rPr>
                <w:rFonts w:ascii="宋体" w:hAnsi="宋体" w:cs="宋体"/>
                <w:color w:val="000000"/>
                <w:kern w:val="0"/>
                <w:sz w:val="36"/>
                <w:szCs w:val="36"/>
              </w:rPr>
              <w:t xml:space="preserve">(2018 </w:t>
            </w:r>
            <w:r>
              <w:rPr>
                <w:rFonts w:hint="eastAsia" w:ascii="宋体" w:hAnsi="宋体" w:cs="宋体"/>
                <w:color w:val="000000"/>
                <w:kern w:val="0"/>
                <w:sz w:val="36"/>
                <w:szCs w:val="36"/>
              </w:rPr>
              <w:t>年度</w:t>
            </w:r>
            <w:r>
              <w:rPr>
                <w:rFonts w:ascii="宋体" w:hAnsi="宋体" w:cs="宋体"/>
                <w:color w:val="000000"/>
                <w:kern w:val="0"/>
                <w:sz w:val="36"/>
                <w:szCs w:val="36"/>
              </w:rPr>
              <w:t>)</w:t>
            </w:r>
          </w:p>
        </w:tc>
      </w:tr>
      <w:tr w14:paraId="5B537F15">
        <w:tblPrEx>
          <w:tblCellMar>
            <w:top w:w="0" w:type="dxa"/>
            <w:left w:w="0" w:type="dxa"/>
            <w:bottom w:w="0" w:type="dxa"/>
            <w:right w:w="0" w:type="dxa"/>
          </w:tblCellMar>
        </w:tblPrEx>
        <w:trPr>
          <w:trHeight w:val="276" w:hRule="atLeast"/>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169569C7">
            <w:pPr>
              <w:widowControl/>
              <w:jc w:val="center"/>
              <w:textAlignment w:val="center"/>
              <w:rPr>
                <w:rFonts w:ascii="宋体" w:cs="宋体"/>
                <w:color w:val="000000"/>
                <w:sz w:val="24"/>
              </w:rPr>
            </w:pPr>
            <w:r>
              <w:rPr>
                <w:rFonts w:hint="eastAsia" w:ascii="宋体" w:hAnsi="宋体" w:cs="宋体"/>
                <w:color w:val="000000"/>
                <w:kern w:val="0"/>
                <w:sz w:val="24"/>
              </w:rPr>
              <w:t>项目名称</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7C014432">
            <w:pPr>
              <w:widowControl/>
              <w:jc w:val="center"/>
              <w:textAlignment w:val="center"/>
              <w:rPr>
                <w:rFonts w:ascii="宋体" w:cs="宋体"/>
                <w:color w:val="000000"/>
                <w:sz w:val="24"/>
              </w:rPr>
            </w:pPr>
            <w:r>
              <w:rPr>
                <w:rFonts w:hint="eastAsia" w:ascii="宋体" w:hAnsi="宋体" w:cs="仿宋_GB2312"/>
                <w:sz w:val="24"/>
              </w:rPr>
              <w:t>乡村少年宫运转及教学管理经费</w:t>
            </w:r>
          </w:p>
        </w:tc>
      </w:tr>
      <w:tr w14:paraId="39954655">
        <w:tblPrEx>
          <w:tblCellMar>
            <w:top w:w="0" w:type="dxa"/>
            <w:left w:w="0" w:type="dxa"/>
            <w:bottom w:w="0" w:type="dxa"/>
            <w:right w:w="0" w:type="dxa"/>
          </w:tblCellMar>
        </w:tblPrEx>
        <w:trPr>
          <w:trHeight w:val="276" w:hRule="atLeast"/>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000D5679">
            <w:pPr>
              <w:widowControl/>
              <w:jc w:val="center"/>
              <w:textAlignment w:val="center"/>
              <w:rPr>
                <w:rFonts w:ascii="宋体" w:cs="宋体"/>
                <w:color w:val="000000"/>
                <w:sz w:val="24"/>
              </w:rPr>
            </w:pPr>
            <w:r>
              <w:rPr>
                <w:rFonts w:hint="eastAsia" w:ascii="宋体" w:hAnsi="宋体" w:cs="宋体"/>
                <w:color w:val="000000"/>
                <w:kern w:val="0"/>
                <w:sz w:val="24"/>
              </w:rPr>
              <w:t>预算单位</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1A9D803C">
            <w:pPr>
              <w:widowControl/>
              <w:jc w:val="center"/>
              <w:textAlignment w:val="center"/>
              <w:rPr>
                <w:rFonts w:ascii="宋体" w:cs="宋体"/>
                <w:color w:val="000000"/>
                <w:sz w:val="24"/>
              </w:rPr>
            </w:pPr>
            <w:r>
              <w:rPr>
                <w:rFonts w:hint="eastAsia" w:ascii="宋体" w:cs="宋体"/>
                <w:color w:val="000000"/>
                <w:sz w:val="24"/>
              </w:rPr>
              <w:t>攀枝花市仁和区大龙潭乡中心学校</w:t>
            </w:r>
          </w:p>
        </w:tc>
      </w:tr>
      <w:tr w14:paraId="0F6FB0DC">
        <w:tblPrEx>
          <w:tblCellMar>
            <w:top w:w="0" w:type="dxa"/>
            <w:left w:w="0" w:type="dxa"/>
            <w:bottom w:w="0" w:type="dxa"/>
            <w:right w:w="0" w:type="dxa"/>
          </w:tblCellMar>
        </w:tblPrEx>
        <w:trPr>
          <w:trHeight w:val="276" w:hRule="atLeast"/>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5DE54998">
            <w:pPr>
              <w:widowControl/>
              <w:jc w:val="center"/>
              <w:textAlignment w:val="center"/>
              <w:rPr>
                <w:rFonts w:ascii="宋体" w:cs="宋体"/>
                <w:color w:val="000000"/>
                <w:sz w:val="24"/>
              </w:rPr>
            </w:pPr>
            <w:r>
              <w:rPr>
                <w:rFonts w:hint="eastAsia" w:ascii="宋体" w:hAnsi="宋体" w:cs="宋体"/>
                <w:color w:val="000000"/>
                <w:kern w:val="0"/>
                <w:sz w:val="24"/>
              </w:rPr>
              <w:t>预算执行情况</w:t>
            </w:r>
            <w:r>
              <w:rPr>
                <w:rFonts w:ascii="宋体" w:hAnsi="宋体" w:cs="宋体"/>
                <w:color w:val="000000"/>
                <w:kern w:val="0"/>
                <w:sz w:val="24"/>
              </w:rPr>
              <w:t>(</w:t>
            </w:r>
            <w:r>
              <w:rPr>
                <w:rFonts w:hint="eastAsia" w:ascii="宋体" w:hAnsi="宋体" w:cs="宋体"/>
                <w:color w:val="000000"/>
                <w:kern w:val="0"/>
                <w:sz w:val="24"/>
              </w:rPr>
              <w:t>万元</w:t>
            </w:r>
            <w:r>
              <w:rPr>
                <w:rFonts w:ascii="宋体" w:hAnsi="宋体" w:cs="宋体"/>
                <w:color w:val="000000"/>
                <w:kern w:val="0"/>
                <w:sz w:val="24"/>
              </w:rPr>
              <w:t>)</w:t>
            </w: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22E5C91E">
            <w:pPr>
              <w:widowControl/>
              <w:jc w:val="center"/>
              <w:textAlignment w:val="center"/>
              <w:rPr>
                <w:rFonts w:ascii="宋体" w:cs="宋体"/>
                <w:color w:val="000000"/>
                <w:sz w:val="24"/>
              </w:rPr>
            </w:pPr>
            <w:r>
              <w:rPr>
                <w:rFonts w:hint="eastAsia" w:ascii="宋体" w:hAnsi="宋体" w:cs="宋体"/>
                <w:color w:val="000000"/>
                <w:kern w:val="0"/>
                <w:sz w:val="24"/>
              </w:rPr>
              <w:t>预算数</w:t>
            </w:r>
            <w:r>
              <w:rPr>
                <w:rFonts w:ascii="宋体" w:hAnsi="宋体" w:cs="宋体"/>
                <w:color w:val="000000"/>
                <w:kern w:val="0"/>
                <w:sz w:val="24"/>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04391D7F">
            <w:pPr>
              <w:widowControl/>
              <w:jc w:val="center"/>
              <w:textAlignment w:val="center"/>
              <w:rPr>
                <w:rFonts w:ascii="宋体" w:cs="宋体"/>
                <w:color w:val="000000"/>
                <w:sz w:val="24"/>
              </w:rPr>
            </w:pPr>
            <w:r>
              <w:rPr>
                <w:rFonts w:hint="eastAsia" w:ascii="宋体" w:cs="宋体"/>
                <w:color w:val="000000"/>
                <w:sz w:val="24"/>
              </w:rPr>
              <w:t>22</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4CC35AB9">
            <w:pPr>
              <w:widowControl/>
              <w:jc w:val="center"/>
              <w:textAlignment w:val="center"/>
              <w:rPr>
                <w:rFonts w:ascii="宋体" w:cs="宋体"/>
                <w:color w:val="000000"/>
                <w:sz w:val="24"/>
              </w:rPr>
            </w:pPr>
            <w:r>
              <w:rPr>
                <w:rFonts w:hint="eastAsia" w:ascii="宋体" w:hAnsi="宋体" w:cs="宋体"/>
                <w:color w:val="000000"/>
                <w:kern w:val="0"/>
                <w:sz w:val="24"/>
              </w:rPr>
              <w:t>执行数</w:t>
            </w:r>
            <w:r>
              <w:rPr>
                <w:rFonts w:ascii="宋体" w:hAnsi="宋体" w:cs="宋体"/>
                <w:color w:val="000000"/>
                <w:kern w:val="0"/>
                <w:sz w:val="24"/>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260AED5B">
            <w:pPr>
              <w:widowControl/>
              <w:jc w:val="center"/>
              <w:textAlignment w:val="center"/>
              <w:rPr>
                <w:rFonts w:ascii="宋体" w:cs="宋体"/>
                <w:color w:val="000000"/>
                <w:sz w:val="24"/>
              </w:rPr>
            </w:pPr>
            <w:r>
              <w:rPr>
                <w:rFonts w:hint="eastAsia" w:ascii="宋体" w:cs="宋体"/>
                <w:color w:val="000000"/>
                <w:sz w:val="24"/>
              </w:rPr>
              <w:t>22</w:t>
            </w:r>
          </w:p>
        </w:tc>
      </w:tr>
      <w:tr w14:paraId="535196ED">
        <w:tblPrEx>
          <w:tblCellMar>
            <w:top w:w="0" w:type="dxa"/>
            <w:left w:w="0" w:type="dxa"/>
            <w:bottom w:w="0" w:type="dxa"/>
            <w:right w:w="0" w:type="dxa"/>
          </w:tblCellMar>
        </w:tblPrEx>
        <w:trPr>
          <w:trHeight w:val="276"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14:paraId="7337AEE8">
            <w:pPr>
              <w:widowControl/>
              <w:jc w:val="left"/>
              <w:rPr>
                <w:rFonts w:ascii="宋体" w:cs="宋体"/>
                <w:color w:val="000000"/>
                <w:sz w:val="24"/>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09120418">
            <w:pPr>
              <w:widowControl/>
              <w:jc w:val="center"/>
              <w:textAlignment w:val="center"/>
              <w:rPr>
                <w:rFonts w:ascii="宋体" w:cs="宋体"/>
                <w:color w:val="000000"/>
                <w:sz w:val="24"/>
              </w:rPr>
            </w:pPr>
            <w:r>
              <w:rPr>
                <w:rFonts w:hint="eastAsia" w:ascii="宋体" w:hAnsi="宋体" w:cs="宋体"/>
                <w:color w:val="000000"/>
                <w:kern w:val="0"/>
                <w:sz w:val="24"/>
              </w:rPr>
              <w:t>其中</w:t>
            </w:r>
            <w:r>
              <w:rPr>
                <w:rFonts w:ascii="宋体" w:cs="宋体"/>
                <w:color w:val="000000"/>
                <w:kern w:val="0"/>
                <w:sz w:val="24"/>
              </w:rPr>
              <w:t>-</w:t>
            </w:r>
            <w:r>
              <w:rPr>
                <w:rFonts w:hint="eastAsia" w:ascii="宋体" w:hAnsi="宋体" w:cs="宋体"/>
                <w:color w:val="000000"/>
                <w:kern w:val="0"/>
                <w:sz w:val="24"/>
              </w:rPr>
              <w:t>财政拨款</w:t>
            </w:r>
            <w:r>
              <w:rPr>
                <w:rFonts w:ascii="宋体" w:hAnsi="宋体" w:cs="宋体"/>
                <w:color w:val="000000"/>
                <w:kern w:val="0"/>
                <w:sz w:val="24"/>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594E1AE5">
            <w:pPr>
              <w:widowControl/>
              <w:jc w:val="center"/>
              <w:textAlignment w:val="center"/>
              <w:rPr>
                <w:rFonts w:ascii="宋体" w:cs="宋体"/>
                <w:color w:val="000000"/>
                <w:sz w:val="24"/>
              </w:rPr>
            </w:pPr>
            <w:r>
              <w:rPr>
                <w:rFonts w:hint="eastAsia" w:ascii="宋体" w:cs="宋体"/>
                <w:color w:val="000000"/>
                <w:sz w:val="24"/>
              </w:rPr>
              <w:t>22</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489AF5BD">
            <w:pPr>
              <w:widowControl/>
              <w:jc w:val="center"/>
              <w:textAlignment w:val="center"/>
              <w:rPr>
                <w:rFonts w:ascii="宋体" w:cs="宋体"/>
                <w:color w:val="000000"/>
                <w:sz w:val="24"/>
              </w:rPr>
            </w:pPr>
            <w:r>
              <w:rPr>
                <w:rFonts w:hint="eastAsia" w:ascii="宋体" w:hAnsi="宋体" w:cs="宋体"/>
                <w:color w:val="000000"/>
                <w:kern w:val="0"/>
                <w:sz w:val="24"/>
              </w:rPr>
              <w:t>其中</w:t>
            </w:r>
            <w:r>
              <w:rPr>
                <w:rFonts w:ascii="宋体" w:cs="宋体"/>
                <w:color w:val="000000"/>
                <w:kern w:val="0"/>
                <w:sz w:val="24"/>
              </w:rPr>
              <w:t>-</w:t>
            </w:r>
            <w:r>
              <w:rPr>
                <w:rFonts w:hint="eastAsia" w:ascii="宋体" w:hAnsi="宋体" w:cs="宋体"/>
                <w:color w:val="000000"/>
                <w:kern w:val="0"/>
                <w:sz w:val="24"/>
              </w:rPr>
              <w:t>财政拨款</w:t>
            </w:r>
            <w:r>
              <w:rPr>
                <w:rFonts w:ascii="宋体" w:hAnsi="宋体" w:cs="宋体"/>
                <w:color w:val="000000"/>
                <w:kern w:val="0"/>
                <w:sz w:val="24"/>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2DD8D116">
            <w:pPr>
              <w:widowControl/>
              <w:jc w:val="center"/>
              <w:textAlignment w:val="center"/>
              <w:rPr>
                <w:rFonts w:ascii="宋体" w:cs="宋体"/>
                <w:color w:val="000000"/>
                <w:sz w:val="24"/>
              </w:rPr>
            </w:pPr>
            <w:r>
              <w:rPr>
                <w:rFonts w:hint="eastAsia" w:ascii="宋体" w:cs="宋体"/>
                <w:color w:val="000000"/>
                <w:sz w:val="24"/>
              </w:rPr>
              <w:t>22</w:t>
            </w:r>
          </w:p>
        </w:tc>
      </w:tr>
      <w:tr w14:paraId="5EA686FF">
        <w:tblPrEx>
          <w:tblCellMar>
            <w:top w:w="0" w:type="dxa"/>
            <w:left w:w="0" w:type="dxa"/>
            <w:bottom w:w="0" w:type="dxa"/>
            <w:right w:w="0" w:type="dxa"/>
          </w:tblCellMar>
        </w:tblPrEx>
        <w:trPr>
          <w:trHeight w:val="1511"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14:paraId="71D2D0BE">
            <w:pPr>
              <w:widowControl/>
              <w:jc w:val="left"/>
              <w:rPr>
                <w:rFonts w:ascii="宋体" w:cs="宋体"/>
                <w:color w:val="000000"/>
                <w:sz w:val="24"/>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322029B4">
            <w:pPr>
              <w:widowControl/>
              <w:jc w:val="center"/>
              <w:textAlignment w:val="center"/>
              <w:rPr>
                <w:rFonts w:ascii="宋体" w:cs="宋体"/>
                <w:color w:val="000000"/>
                <w:sz w:val="24"/>
              </w:rPr>
            </w:pPr>
            <w:r>
              <w:rPr>
                <w:rFonts w:hint="eastAsia" w:ascii="宋体" w:hAnsi="宋体" w:cs="宋体"/>
                <w:color w:val="000000"/>
                <w:kern w:val="0"/>
                <w:sz w:val="24"/>
              </w:rPr>
              <w:t>其它资金</w:t>
            </w:r>
            <w:r>
              <w:rPr>
                <w:rFonts w:ascii="宋体" w:hAnsi="宋体" w:cs="宋体"/>
                <w:color w:val="000000"/>
                <w:kern w:val="0"/>
                <w:sz w:val="24"/>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32179DFD">
            <w:pPr>
              <w:widowControl/>
              <w:jc w:val="center"/>
              <w:textAlignment w:val="center"/>
              <w:rPr>
                <w:rFonts w:ascii="宋体" w:cs="宋体"/>
                <w:color w:val="000000"/>
                <w:sz w:val="24"/>
              </w:rPr>
            </w:pPr>
            <w:r>
              <w:rPr>
                <w:rFonts w:ascii="宋体" w:cs="宋体"/>
                <w:color w:val="000000"/>
                <w:kern w:val="0"/>
                <w:sz w:val="24"/>
              </w:rPr>
              <w:t>0</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60308BBA">
            <w:pPr>
              <w:widowControl/>
              <w:jc w:val="center"/>
              <w:textAlignment w:val="center"/>
              <w:rPr>
                <w:rFonts w:ascii="宋体" w:cs="宋体"/>
                <w:color w:val="000000"/>
                <w:sz w:val="24"/>
              </w:rPr>
            </w:pPr>
            <w:r>
              <w:rPr>
                <w:rFonts w:hint="eastAsia" w:ascii="宋体" w:hAnsi="宋体" w:cs="宋体"/>
                <w:color w:val="000000"/>
                <w:kern w:val="0"/>
                <w:sz w:val="24"/>
              </w:rPr>
              <w:t>其它资金</w:t>
            </w:r>
            <w:r>
              <w:rPr>
                <w:rFonts w:ascii="宋体" w:hAnsi="宋体" w:cs="宋体"/>
                <w:color w:val="000000"/>
                <w:kern w:val="0"/>
                <w:sz w:val="24"/>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09BD1F67">
            <w:pPr>
              <w:jc w:val="center"/>
              <w:rPr>
                <w:rFonts w:ascii="宋体" w:cs="宋体"/>
                <w:color w:val="000000"/>
                <w:sz w:val="24"/>
              </w:rPr>
            </w:pPr>
            <w:r>
              <w:rPr>
                <w:rFonts w:ascii="宋体" w:cs="宋体"/>
                <w:color w:val="000000"/>
                <w:sz w:val="24"/>
              </w:rPr>
              <w:t>0</w:t>
            </w:r>
          </w:p>
        </w:tc>
      </w:tr>
      <w:tr w14:paraId="1F1FDD26">
        <w:tblPrEx>
          <w:tblCellMar>
            <w:top w:w="0" w:type="dxa"/>
            <w:left w:w="0" w:type="dxa"/>
            <w:bottom w:w="0" w:type="dxa"/>
            <w:right w:w="0" w:type="dxa"/>
          </w:tblCellMar>
        </w:tblPrEx>
        <w:trPr>
          <w:trHeight w:val="276" w:hRule="atLeast"/>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5B141BCB">
            <w:pPr>
              <w:widowControl/>
              <w:jc w:val="center"/>
              <w:textAlignment w:val="center"/>
              <w:rPr>
                <w:rFonts w:ascii="宋体" w:cs="宋体"/>
                <w:color w:val="000000"/>
                <w:sz w:val="24"/>
              </w:rPr>
            </w:pPr>
            <w:r>
              <w:rPr>
                <w:rFonts w:hint="eastAsia" w:ascii="宋体" w:hAnsi="宋体" w:cs="宋体"/>
                <w:color w:val="000000"/>
                <w:kern w:val="0"/>
                <w:sz w:val="24"/>
              </w:rPr>
              <w:t>年度目标完成情况</w:t>
            </w:r>
          </w:p>
        </w:tc>
        <w:tc>
          <w:tcPr>
            <w:tcW w:w="4784"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5F23CAFB">
            <w:pPr>
              <w:widowControl/>
              <w:jc w:val="center"/>
              <w:textAlignment w:val="center"/>
              <w:rPr>
                <w:rFonts w:ascii="宋体" w:cs="宋体"/>
                <w:color w:val="000000"/>
                <w:sz w:val="24"/>
              </w:rPr>
            </w:pPr>
            <w:r>
              <w:rPr>
                <w:rFonts w:hint="eastAsia" w:ascii="宋体" w:hAnsi="宋体" w:cs="宋体"/>
                <w:color w:val="000000"/>
                <w:kern w:val="0"/>
                <w:sz w:val="24"/>
              </w:rPr>
              <w:t>预期目标</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088201CE">
            <w:pPr>
              <w:widowControl/>
              <w:jc w:val="center"/>
              <w:textAlignment w:val="center"/>
              <w:rPr>
                <w:rFonts w:ascii="宋体" w:cs="宋体"/>
                <w:color w:val="000000"/>
                <w:sz w:val="24"/>
              </w:rPr>
            </w:pPr>
            <w:r>
              <w:rPr>
                <w:rFonts w:hint="eastAsia" w:ascii="宋体" w:hAnsi="宋体" w:cs="宋体"/>
                <w:color w:val="000000"/>
                <w:kern w:val="0"/>
                <w:sz w:val="24"/>
              </w:rPr>
              <w:t>实际完成目标</w:t>
            </w:r>
          </w:p>
        </w:tc>
      </w:tr>
      <w:tr w14:paraId="7EE8F264">
        <w:tblPrEx>
          <w:tblCellMar>
            <w:top w:w="0" w:type="dxa"/>
            <w:left w:w="0" w:type="dxa"/>
            <w:bottom w:w="0" w:type="dxa"/>
            <w:right w:w="0" w:type="dxa"/>
          </w:tblCellMar>
        </w:tblPrEx>
        <w:trPr>
          <w:trHeight w:val="1159"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14:paraId="48DED8E1">
            <w:pPr>
              <w:widowControl/>
              <w:jc w:val="left"/>
              <w:rPr>
                <w:rFonts w:ascii="宋体" w:cs="宋体"/>
                <w:color w:val="000000"/>
                <w:sz w:val="24"/>
              </w:rPr>
            </w:pPr>
          </w:p>
        </w:tc>
        <w:tc>
          <w:tcPr>
            <w:tcW w:w="4784"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1B5187A1">
            <w:pPr>
              <w:widowControl/>
              <w:jc w:val="center"/>
              <w:textAlignment w:val="center"/>
              <w:rPr>
                <w:rFonts w:ascii="宋体" w:cs="宋体"/>
                <w:color w:val="000000"/>
                <w:szCs w:val="21"/>
              </w:rPr>
            </w:pPr>
            <w:r>
              <w:rPr>
                <w:rFonts w:hint="eastAsia" w:ascii="宋体" w:hAnsi="宋体" w:cs="仿宋_GB2312"/>
                <w:szCs w:val="21"/>
              </w:rPr>
              <w:t>通过项目实施，</w:t>
            </w:r>
            <w:r>
              <w:rPr>
                <w:rFonts w:hint="eastAsia" w:ascii="宋体" w:hAnsi="宋体"/>
                <w:szCs w:val="21"/>
              </w:rPr>
              <w:t>学校及少年宫运转资金能有力的保障学校的运转，对少年宫的活动开展进行了保障</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3399394A">
            <w:pPr>
              <w:widowControl/>
              <w:jc w:val="center"/>
              <w:textAlignment w:val="center"/>
              <w:rPr>
                <w:rFonts w:ascii="宋体" w:cs="宋体"/>
                <w:color w:val="000000"/>
                <w:szCs w:val="21"/>
              </w:rPr>
            </w:pPr>
            <w:r>
              <w:rPr>
                <w:rFonts w:hint="eastAsia" w:ascii="宋体" w:hAnsi="宋体"/>
                <w:szCs w:val="21"/>
              </w:rPr>
              <w:t>学校的教育和课外兴趣活动取得了很大的成绩，家长的满意度达到预定目标。学校乡村少年宫也添置了活动所需的一些设备设施。极大的满足了农村未成年人对优质教育资源的渴望。</w:t>
            </w:r>
          </w:p>
        </w:tc>
      </w:tr>
      <w:tr w14:paraId="65A641AC">
        <w:tblPrEx>
          <w:tblCellMar>
            <w:top w:w="0" w:type="dxa"/>
            <w:left w:w="0" w:type="dxa"/>
            <w:bottom w:w="0" w:type="dxa"/>
            <w:right w:w="0" w:type="dxa"/>
          </w:tblCellMar>
        </w:tblPrEx>
        <w:trPr>
          <w:trHeight w:val="1042" w:hRule="atLeast"/>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06E70782">
            <w:pPr>
              <w:widowControl/>
              <w:jc w:val="center"/>
              <w:textAlignment w:val="center"/>
              <w:rPr>
                <w:rFonts w:ascii="宋体" w:cs="宋体"/>
                <w:color w:val="000000"/>
                <w:sz w:val="24"/>
              </w:rPr>
            </w:pPr>
            <w:r>
              <w:rPr>
                <w:rFonts w:hint="eastAsia" w:ascii="宋体" w:hAnsi="宋体" w:cs="宋体"/>
                <w:color w:val="000000"/>
                <w:sz w:val="24"/>
              </w:rPr>
              <w:t>绩效指标完成情况</w:t>
            </w: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613E2F5D">
            <w:pPr>
              <w:widowControl/>
              <w:jc w:val="center"/>
              <w:textAlignment w:val="center"/>
              <w:rPr>
                <w:rFonts w:ascii="宋体" w:cs="宋体"/>
                <w:color w:val="000000"/>
                <w:sz w:val="24"/>
              </w:rPr>
            </w:pPr>
            <w:r>
              <w:rPr>
                <w:rFonts w:hint="eastAsia" w:ascii="宋体" w:hAnsi="宋体" w:cs="宋体"/>
                <w:color w:val="000000"/>
                <w:kern w:val="0"/>
                <w:sz w:val="24"/>
              </w:rPr>
              <w:t>一级指标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68CDC757">
            <w:pPr>
              <w:widowControl/>
              <w:jc w:val="center"/>
              <w:textAlignment w:val="center"/>
              <w:rPr>
                <w:rFonts w:ascii="宋体" w:cs="宋体"/>
                <w:color w:val="000000"/>
                <w:sz w:val="24"/>
              </w:rPr>
            </w:pPr>
            <w:r>
              <w:rPr>
                <w:rFonts w:hint="eastAsia" w:ascii="宋体" w:hAnsi="宋体" w:cs="宋体"/>
                <w:color w:val="000000"/>
                <w:kern w:val="0"/>
                <w:sz w:val="24"/>
              </w:rPr>
              <w:t>二级指标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4B8FE106">
            <w:pPr>
              <w:widowControl/>
              <w:jc w:val="center"/>
              <w:textAlignment w:val="center"/>
              <w:rPr>
                <w:rFonts w:ascii="宋体" w:cs="宋体"/>
                <w:color w:val="000000"/>
                <w:sz w:val="24"/>
              </w:rPr>
            </w:pPr>
            <w:r>
              <w:rPr>
                <w:rFonts w:hint="eastAsia" w:ascii="宋体" w:hAnsi="宋体" w:cs="宋体"/>
                <w:color w:val="000000"/>
                <w:kern w:val="0"/>
                <w:sz w:val="24"/>
              </w:rPr>
              <w:t>三级指标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2B8A18B5">
            <w:pPr>
              <w:widowControl/>
              <w:jc w:val="center"/>
              <w:textAlignment w:val="center"/>
              <w:rPr>
                <w:rFonts w:ascii="宋体" w:cs="宋体"/>
                <w:color w:val="000000"/>
                <w:sz w:val="24"/>
              </w:rPr>
            </w:pPr>
            <w:r>
              <w:rPr>
                <w:rFonts w:hint="eastAsia" w:ascii="宋体" w:hAnsi="宋体" w:cs="宋体"/>
                <w:color w:val="000000"/>
                <w:kern w:val="0"/>
                <w:sz w:val="24"/>
              </w:rPr>
              <w:t>预期指标值</w:t>
            </w:r>
            <w:r>
              <w:rPr>
                <w:rFonts w:ascii="宋体" w:hAnsi="宋体" w:cs="宋体"/>
                <w:color w:val="000000"/>
                <w:kern w:val="0"/>
                <w:sz w:val="24"/>
              </w:rPr>
              <w:t>(</w:t>
            </w:r>
            <w:r>
              <w:rPr>
                <w:rFonts w:hint="eastAsia" w:ascii="宋体" w:hAnsi="宋体" w:cs="宋体"/>
                <w:color w:val="000000"/>
                <w:kern w:val="0"/>
                <w:sz w:val="24"/>
              </w:rPr>
              <w:t>包含数字及文字描述</w:t>
            </w:r>
            <w:r>
              <w:rPr>
                <w:rFonts w:ascii="宋体" w:hAnsi="宋体" w:cs="宋体"/>
                <w:color w:val="000000"/>
                <w:kern w:val="0"/>
                <w:sz w:val="24"/>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798376BF">
            <w:pPr>
              <w:widowControl/>
              <w:jc w:val="center"/>
              <w:textAlignment w:val="center"/>
              <w:rPr>
                <w:rFonts w:ascii="宋体" w:cs="宋体"/>
                <w:color w:val="000000"/>
                <w:sz w:val="24"/>
              </w:rPr>
            </w:pPr>
            <w:r>
              <w:rPr>
                <w:rFonts w:hint="eastAsia" w:ascii="宋体" w:hAnsi="宋体" w:cs="宋体"/>
                <w:color w:val="000000"/>
                <w:kern w:val="0"/>
                <w:sz w:val="24"/>
              </w:rPr>
              <w:t>实际完成指标值</w:t>
            </w:r>
            <w:r>
              <w:rPr>
                <w:rFonts w:ascii="宋体" w:hAnsi="宋体" w:cs="宋体"/>
                <w:color w:val="000000"/>
                <w:kern w:val="0"/>
                <w:sz w:val="24"/>
              </w:rPr>
              <w:t>(</w:t>
            </w:r>
            <w:r>
              <w:rPr>
                <w:rFonts w:hint="eastAsia" w:ascii="宋体" w:hAnsi="宋体" w:cs="宋体"/>
                <w:color w:val="000000"/>
                <w:kern w:val="0"/>
                <w:sz w:val="24"/>
              </w:rPr>
              <w:t>包含数字及文字描述</w:t>
            </w:r>
            <w:r>
              <w:rPr>
                <w:rFonts w:ascii="宋体" w:hAnsi="宋体" w:cs="宋体"/>
                <w:color w:val="000000"/>
                <w:kern w:val="0"/>
                <w:sz w:val="24"/>
              </w:rPr>
              <w:t>)</w:t>
            </w:r>
          </w:p>
        </w:tc>
      </w:tr>
      <w:tr w14:paraId="6A11E7BE">
        <w:tblPrEx>
          <w:tblCellMar>
            <w:top w:w="0" w:type="dxa"/>
            <w:left w:w="0" w:type="dxa"/>
            <w:bottom w:w="0" w:type="dxa"/>
            <w:right w:w="0" w:type="dxa"/>
          </w:tblCellMar>
        </w:tblPrEx>
        <w:trPr>
          <w:trHeight w:val="953"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14:paraId="4D55CC24">
            <w:pPr>
              <w:widowControl/>
              <w:jc w:val="left"/>
              <w:rPr>
                <w:rFonts w:asci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03775E61">
            <w:pPr>
              <w:widowControl/>
              <w:jc w:val="center"/>
              <w:textAlignment w:val="center"/>
              <w:rPr>
                <w:rFonts w:ascii="宋体" w:cs="宋体"/>
                <w:color w:val="00000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7D085B66">
            <w:pPr>
              <w:widowControl/>
              <w:jc w:val="center"/>
              <w:textAlignment w:val="center"/>
              <w:rPr>
                <w:rFonts w:ascii="宋体" w:cs="宋体"/>
                <w:color w:val="000000"/>
                <w:sz w:val="24"/>
              </w:rPr>
            </w:pPr>
            <w:r>
              <w:rPr>
                <w:rFonts w:hint="eastAsia" w:ascii="宋体" w:hAnsi="宋体" w:cs="宋体"/>
                <w:color w:val="000000"/>
                <w:kern w:val="0"/>
                <w:sz w:val="24"/>
              </w:rPr>
              <w:t>项目完成指标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0CBA8A82">
            <w:pPr>
              <w:widowControl/>
              <w:jc w:val="center"/>
              <w:textAlignment w:val="center"/>
              <w:rPr>
                <w:rFonts w:ascii="宋体" w:cs="宋体"/>
                <w:color w:val="000000"/>
                <w:sz w:val="24"/>
              </w:rPr>
            </w:pPr>
            <w:r>
              <w:rPr>
                <w:rFonts w:hint="eastAsia" w:ascii="宋体" w:hAnsi="宋体" w:cs="宋体"/>
                <w:color w:val="000000"/>
                <w:kern w:val="0"/>
                <w:sz w:val="24"/>
              </w:rPr>
              <w:t>项目完成指标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1E807B06">
            <w:pPr>
              <w:jc w:val="center"/>
              <w:rPr>
                <w:rFonts w:ascii="宋体" w:cs="宋体"/>
                <w:sz w:val="24"/>
              </w:rPr>
            </w:pPr>
            <w:r>
              <w:rPr>
                <w:rFonts w:hint="eastAsia"/>
                <w:sz w:val="24"/>
              </w:rPr>
              <w:t>确保约580名学生在校学生的正常教学及教学设施购置发展，弥补办公经费不足</w:t>
            </w:r>
          </w:p>
          <w:p w14:paraId="093A76A6">
            <w:pPr>
              <w:widowControl/>
              <w:jc w:val="center"/>
              <w:textAlignment w:val="center"/>
              <w:rPr>
                <w:rFonts w:asci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66812776">
            <w:pPr>
              <w:jc w:val="center"/>
              <w:rPr>
                <w:rFonts w:ascii="宋体" w:cs="宋体"/>
                <w:sz w:val="24"/>
              </w:rPr>
            </w:pPr>
            <w:r>
              <w:rPr>
                <w:rFonts w:hint="eastAsia"/>
                <w:sz w:val="24"/>
              </w:rPr>
              <w:t>确保约580名学生在校学生的正常教学及教学设施购置发展，弥补办公经费不足</w:t>
            </w:r>
          </w:p>
          <w:p w14:paraId="21396A88">
            <w:pPr>
              <w:widowControl/>
              <w:jc w:val="center"/>
              <w:textAlignment w:val="center"/>
              <w:rPr>
                <w:rFonts w:ascii="宋体" w:cs="宋体"/>
                <w:color w:val="000000"/>
                <w:sz w:val="24"/>
              </w:rPr>
            </w:pPr>
          </w:p>
        </w:tc>
      </w:tr>
      <w:tr w14:paraId="264EC55B">
        <w:tblPrEx>
          <w:tblCellMar>
            <w:top w:w="0" w:type="dxa"/>
            <w:left w:w="0" w:type="dxa"/>
            <w:bottom w:w="0" w:type="dxa"/>
            <w:right w:w="0" w:type="dxa"/>
          </w:tblCellMar>
        </w:tblPrEx>
        <w:trPr>
          <w:trHeight w:val="1297"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14:paraId="3775E274">
            <w:pPr>
              <w:widowControl/>
              <w:jc w:val="left"/>
              <w:rPr>
                <w:rFonts w:asci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069D6A88">
            <w:pPr>
              <w:widowControl/>
              <w:jc w:val="center"/>
              <w:textAlignment w:val="center"/>
              <w:rPr>
                <w:rFonts w:ascii="宋体" w:cs="宋体"/>
                <w:color w:val="00000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6AE88225">
            <w:pPr>
              <w:widowControl/>
              <w:jc w:val="center"/>
              <w:textAlignment w:val="center"/>
              <w:rPr>
                <w:rFonts w:ascii="宋体" w:cs="宋体"/>
                <w:color w:val="000000"/>
                <w:sz w:val="24"/>
              </w:rPr>
            </w:pPr>
            <w:r>
              <w:rPr>
                <w:rFonts w:hint="eastAsia" w:ascii="宋体" w:hAnsi="宋体" w:cs="宋体"/>
                <w:color w:val="000000"/>
                <w:kern w:val="0"/>
                <w:sz w:val="24"/>
              </w:rPr>
              <w:t>项目完成指标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34C0DC0A">
            <w:pPr>
              <w:widowControl/>
              <w:jc w:val="center"/>
              <w:textAlignment w:val="center"/>
              <w:rPr>
                <w:rFonts w:ascii="宋体" w:cs="宋体"/>
                <w:color w:val="000000"/>
                <w:sz w:val="24"/>
              </w:rPr>
            </w:pPr>
            <w:r>
              <w:rPr>
                <w:rFonts w:hint="eastAsia" w:ascii="宋体" w:hAnsi="宋体" w:cs="宋体"/>
                <w:color w:val="000000"/>
                <w:kern w:val="0"/>
                <w:sz w:val="24"/>
              </w:rPr>
              <w:t>项目完成指标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17E26BDD">
            <w:pPr>
              <w:jc w:val="center"/>
              <w:rPr>
                <w:rFonts w:ascii="宋体" w:cs="宋体"/>
                <w:sz w:val="24"/>
              </w:rPr>
            </w:pPr>
            <w:r>
              <w:rPr>
                <w:rFonts w:hint="eastAsia"/>
              </w:rPr>
              <w:t>保障正常的教育教学秩序</w:t>
            </w:r>
          </w:p>
          <w:p w14:paraId="45D172EF">
            <w:pPr>
              <w:widowControl/>
              <w:jc w:val="center"/>
              <w:textAlignment w:val="center"/>
              <w:rPr>
                <w:rFonts w:asci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0BF17379">
            <w:pPr>
              <w:jc w:val="center"/>
              <w:rPr>
                <w:rFonts w:ascii="宋体" w:cs="宋体"/>
                <w:sz w:val="24"/>
              </w:rPr>
            </w:pPr>
            <w:r>
              <w:rPr>
                <w:rFonts w:hint="eastAsia"/>
              </w:rPr>
              <w:t>保障正常的教育教学秩序</w:t>
            </w:r>
          </w:p>
          <w:p w14:paraId="010BF6B6">
            <w:pPr>
              <w:widowControl/>
              <w:jc w:val="center"/>
              <w:textAlignment w:val="center"/>
              <w:rPr>
                <w:rFonts w:ascii="宋体" w:cs="宋体"/>
                <w:color w:val="000000"/>
                <w:sz w:val="24"/>
              </w:rPr>
            </w:pPr>
          </w:p>
        </w:tc>
      </w:tr>
      <w:tr w14:paraId="5B986926">
        <w:tblPrEx>
          <w:tblCellMar>
            <w:top w:w="0" w:type="dxa"/>
            <w:left w:w="0" w:type="dxa"/>
            <w:bottom w:w="0" w:type="dxa"/>
            <w:right w:w="0" w:type="dxa"/>
          </w:tblCellMar>
        </w:tblPrEx>
        <w:trPr>
          <w:trHeight w:val="1042"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14:paraId="75920911">
            <w:pPr>
              <w:widowControl/>
              <w:jc w:val="left"/>
              <w:rPr>
                <w:rFonts w:asci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4200E39D">
            <w:pPr>
              <w:widowControl/>
              <w:jc w:val="center"/>
              <w:textAlignment w:val="center"/>
              <w:rPr>
                <w:rFonts w:ascii="宋体" w:cs="宋体"/>
                <w:color w:val="00000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733236CE">
            <w:pPr>
              <w:widowControl/>
              <w:jc w:val="center"/>
              <w:textAlignment w:val="center"/>
              <w:rPr>
                <w:rFonts w:ascii="宋体" w:cs="宋体"/>
                <w:color w:val="000000"/>
                <w:sz w:val="24"/>
              </w:rPr>
            </w:pPr>
            <w:r>
              <w:rPr>
                <w:rFonts w:hint="eastAsia" w:ascii="宋体" w:hAnsi="宋体" w:cs="宋体"/>
                <w:color w:val="000000"/>
                <w:kern w:val="0"/>
                <w:sz w:val="24"/>
              </w:rPr>
              <w:t>项目完成指标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55329F5A">
            <w:pPr>
              <w:widowControl/>
              <w:jc w:val="center"/>
              <w:textAlignment w:val="center"/>
              <w:rPr>
                <w:rFonts w:ascii="宋体" w:cs="宋体"/>
                <w:color w:val="000000"/>
                <w:sz w:val="24"/>
              </w:rPr>
            </w:pPr>
            <w:r>
              <w:rPr>
                <w:rFonts w:hint="eastAsia" w:ascii="宋体" w:hAnsi="宋体" w:cs="宋体"/>
                <w:color w:val="000000"/>
                <w:kern w:val="0"/>
                <w:sz w:val="24"/>
              </w:rPr>
              <w:t>项目完成指标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360A033F">
            <w:pPr>
              <w:jc w:val="center"/>
              <w:rPr>
                <w:rFonts w:ascii="宋体" w:cs="宋体"/>
                <w:sz w:val="24"/>
              </w:rPr>
            </w:pPr>
            <w:r>
              <w:rPr>
                <w:rFonts w:hint="eastAsia"/>
              </w:rPr>
              <w:t>校园环境和教学设施达到质量安全指标</w:t>
            </w:r>
          </w:p>
          <w:p w14:paraId="44A09D14">
            <w:pPr>
              <w:widowControl/>
              <w:jc w:val="center"/>
              <w:textAlignment w:val="center"/>
              <w:rPr>
                <w:rFonts w:asci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16BDE71F">
            <w:pPr>
              <w:jc w:val="center"/>
              <w:rPr>
                <w:rFonts w:ascii="宋体" w:cs="宋体"/>
                <w:sz w:val="24"/>
              </w:rPr>
            </w:pPr>
            <w:r>
              <w:rPr>
                <w:rFonts w:hint="eastAsia"/>
              </w:rPr>
              <w:t>校园环境和教学设施达到质量安全指标</w:t>
            </w:r>
          </w:p>
          <w:p w14:paraId="34D69217">
            <w:pPr>
              <w:widowControl/>
              <w:jc w:val="center"/>
              <w:textAlignment w:val="center"/>
              <w:rPr>
                <w:rFonts w:ascii="宋体" w:cs="宋体"/>
                <w:color w:val="000000"/>
                <w:sz w:val="24"/>
              </w:rPr>
            </w:pPr>
          </w:p>
        </w:tc>
      </w:tr>
      <w:tr w14:paraId="042C5DA5">
        <w:tblPrEx>
          <w:tblCellMar>
            <w:top w:w="0" w:type="dxa"/>
            <w:left w:w="0" w:type="dxa"/>
            <w:bottom w:w="0" w:type="dxa"/>
            <w:right w:w="0" w:type="dxa"/>
          </w:tblCellMar>
        </w:tblPrEx>
        <w:trPr>
          <w:trHeight w:val="1042"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14:paraId="5EA0E621">
            <w:pPr>
              <w:widowControl/>
              <w:jc w:val="left"/>
              <w:rPr>
                <w:rFonts w:asci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60F0AFD2">
            <w:pPr>
              <w:widowControl/>
              <w:jc w:val="center"/>
              <w:textAlignment w:val="center"/>
              <w:rPr>
                <w:rFonts w:ascii="宋体" w:cs="宋体"/>
                <w:color w:val="000000"/>
                <w:kern w:val="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0EF7FBEF">
            <w:pPr>
              <w:widowControl/>
              <w:jc w:val="center"/>
              <w:textAlignment w:val="center"/>
              <w:rPr>
                <w:rFonts w:ascii="宋体" w:cs="宋体"/>
                <w:color w:val="000000"/>
                <w:kern w:val="0"/>
                <w:sz w:val="24"/>
              </w:rPr>
            </w:pPr>
            <w:r>
              <w:rPr>
                <w:rFonts w:hint="eastAsia" w:ascii="宋体" w:hAnsi="宋体" w:cs="宋体"/>
                <w:color w:val="000000"/>
                <w:kern w:val="0"/>
                <w:sz w:val="24"/>
              </w:rPr>
              <w:t>项目完成指标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53CBE4DC">
            <w:pPr>
              <w:widowControl/>
              <w:jc w:val="center"/>
              <w:textAlignment w:val="center"/>
              <w:rPr>
                <w:rFonts w:ascii="宋体" w:cs="宋体"/>
                <w:color w:val="000000"/>
                <w:kern w:val="0"/>
                <w:sz w:val="24"/>
              </w:rPr>
            </w:pPr>
            <w:r>
              <w:rPr>
                <w:rFonts w:hint="eastAsia" w:ascii="宋体" w:hAnsi="宋体" w:cs="宋体"/>
                <w:color w:val="000000"/>
                <w:kern w:val="0"/>
                <w:sz w:val="24"/>
              </w:rPr>
              <w:t>项目完成指标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23931501">
            <w:pPr>
              <w:jc w:val="center"/>
              <w:rPr>
                <w:rFonts w:ascii="宋体" w:cs="宋体"/>
                <w:sz w:val="24"/>
              </w:rPr>
            </w:pPr>
            <w:r>
              <w:rPr>
                <w:rFonts w:hint="eastAsia"/>
              </w:rPr>
              <w:t>达到国家办学水平要求</w:t>
            </w:r>
          </w:p>
          <w:p w14:paraId="6D12369D">
            <w:pPr>
              <w:widowControl/>
              <w:jc w:val="center"/>
              <w:textAlignment w:val="center"/>
              <w:rPr>
                <w:rFonts w:asci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49055940">
            <w:pPr>
              <w:jc w:val="center"/>
              <w:rPr>
                <w:rFonts w:ascii="宋体" w:cs="宋体"/>
                <w:sz w:val="24"/>
              </w:rPr>
            </w:pPr>
            <w:r>
              <w:rPr>
                <w:rFonts w:hint="eastAsia"/>
              </w:rPr>
              <w:t>达到国家办学水平要求</w:t>
            </w:r>
          </w:p>
          <w:p w14:paraId="2F5F2B20">
            <w:pPr>
              <w:widowControl/>
              <w:jc w:val="center"/>
              <w:textAlignment w:val="center"/>
              <w:rPr>
                <w:rFonts w:ascii="宋体" w:cs="宋体"/>
                <w:color w:val="000000"/>
                <w:sz w:val="24"/>
              </w:rPr>
            </w:pPr>
          </w:p>
        </w:tc>
      </w:tr>
      <w:tr w14:paraId="15105E84">
        <w:tblPrEx>
          <w:tblCellMar>
            <w:top w:w="0" w:type="dxa"/>
            <w:left w:w="0" w:type="dxa"/>
            <w:bottom w:w="0" w:type="dxa"/>
            <w:right w:w="0" w:type="dxa"/>
          </w:tblCellMar>
        </w:tblPrEx>
        <w:trPr>
          <w:trHeight w:val="1042"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14:paraId="6896EC06">
            <w:pPr>
              <w:widowControl/>
              <w:jc w:val="left"/>
              <w:rPr>
                <w:rFonts w:asci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078B5AA9">
            <w:pPr>
              <w:widowControl/>
              <w:jc w:val="center"/>
              <w:textAlignment w:val="center"/>
              <w:rPr>
                <w:rFonts w:ascii="宋体" w:cs="宋体"/>
                <w:color w:val="00000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6C6858EE">
            <w:pPr>
              <w:widowControl/>
              <w:jc w:val="center"/>
              <w:textAlignment w:val="center"/>
              <w:rPr>
                <w:rFonts w:ascii="宋体" w:cs="宋体"/>
                <w:color w:val="000000"/>
                <w:sz w:val="24"/>
              </w:rPr>
            </w:pPr>
            <w:r>
              <w:rPr>
                <w:rFonts w:hint="eastAsia" w:ascii="宋体" w:hAnsi="宋体" w:cs="宋体"/>
                <w:color w:val="000000"/>
                <w:kern w:val="0"/>
                <w:sz w:val="24"/>
              </w:rPr>
              <w:t>项目完成指标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0960BD55">
            <w:pPr>
              <w:widowControl/>
              <w:jc w:val="center"/>
              <w:textAlignment w:val="center"/>
              <w:rPr>
                <w:rFonts w:ascii="宋体" w:cs="宋体"/>
                <w:color w:val="000000"/>
                <w:sz w:val="24"/>
              </w:rPr>
            </w:pPr>
            <w:r>
              <w:rPr>
                <w:rFonts w:hint="eastAsia" w:ascii="宋体" w:hAnsi="宋体" w:cs="宋体"/>
                <w:color w:val="000000"/>
                <w:kern w:val="0"/>
                <w:sz w:val="24"/>
              </w:rPr>
              <w:t>项目完成指标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73515CEF">
            <w:pPr>
              <w:jc w:val="center"/>
              <w:rPr>
                <w:rFonts w:ascii="宋体" w:cs="宋体"/>
                <w:sz w:val="24"/>
              </w:rPr>
            </w:pPr>
            <w:r>
              <w:t>2018</w:t>
            </w:r>
            <w:r>
              <w:rPr>
                <w:rFonts w:hint="eastAsia"/>
              </w:rPr>
              <w:t>年</w:t>
            </w:r>
            <w:r>
              <w:t>12</w:t>
            </w:r>
            <w:r>
              <w:rPr>
                <w:rFonts w:hint="eastAsia"/>
              </w:rPr>
              <w:t>月前完成</w:t>
            </w:r>
          </w:p>
          <w:p w14:paraId="79F97113">
            <w:pPr>
              <w:widowControl/>
              <w:jc w:val="center"/>
              <w:textAlignment w:val="center"/>
              <w:rPr>
                <w:rFonts w:asci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3C94BD9F">
            <w:pPr>
              <w:jc w:val="center"/>
              <w:rPr>
                <w:rFonts w:ascii="宋体" w:cs="宋体"/>
                <w:sz w:val="24"/>
              </w:rPr>
            </w:pPr>
            <w:r>
              <w:t>2018</w:t>
            </w:r>
            <w:r>
              <w:rPr>
                <w:rFonts w:hint="eastAsia"/>
              </w:rPr>
              <w:t>年</w:t>
            </w:r>
            <w:r>
              <w:t>12</w:t>
            </w:r>
            <w:r>
              <w:rPr>
                <w:rFonts w:hint="eastAsia"/>
              </w:rPr>
              <w:t>月前完成</w:t>
            </w:r>
          </w:p>
          <w:p w14:paraId="7B9F3887">
            <w:pPr>
              <w:widowControl/>
              <w:jc w:val="center"/>
              <w:textAlignment w:val="center"/>
              <w:rPr>
                <w:rFonts w:ascii="宋体" w:cs="宋体"/>
                <w:color w:val="000000"/>
                <w:sz w:val="24"/>
              </w:rPr>
            </w:pPr>
          </w:p>
        </w:tc>
      </w:tr>
      <w:tr w14:paraId="0F41CC18">
        <w:tblPrEx>
          <w:tblCellMar>
            <w:top w:w="0" w:type="dxa"/>
            <w:left w:w="0" w:type="dxa"/>
            <w:bottom w:w="0" w:type="dxa"/>
            <w:right w:w="0" w:type="dxa"/>
          </w:tblCellMar>
        </w:tblPrEx>
        <w:trPr>
          <w:trHeight w:val="1042"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14:paraId="34414E72">
            <w:pPr>
              <w:widowControl/>
              <w:jc w:val="left"/>
              <w:rPr>
                <w:rFonts w:asci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3CC5A35C">
            <w:pPr>
              <w:widowControl/>
              <w:jc w:val="center"/>
              <w:textAlignment w:val="center"/>
              <w:rPr>
                <w:rFonts w:ascii="宋体" w:cs="宋体"/>
                <w:color w:val="000000"/>
                <w:sz w:val="24"/>
              </w:rPr>
            </w:pPr>
            <w:r>
              <w:rPr>
                <w:rFonts w:hint="eastAsia" w:ascii="宋体" w:hAnsi="宋体" w:cs="宋体"/>
                <w:color w:val="000000"/>
                <w:sz w:val="24"/>
              </w:rPr>
              <w:t>质量指标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30F11065">
            <w:pPr>
              <w:widowControl/>
              <w:jc w:val="center"/>
              <w:textAlignment w:val="center"/>
              <w:rPr>
                <w:rFonts w:ascii="宋体" w:cs="宋体"/>
                <w:color w:val="000000"/>
                <w:sz w:val="24"/>
              </w:rPr>
            </w:pPr>
            <w:r>
              <w:rPr>
                <w:rFonts w:hint="eastAsia" w:ascii="宋体" w:hAnsi="宋体" w:cs="宋体"/>
                <w:color w:val="000000"/>
                <w:sz w:val="24"/>
              </w:rPr>
              <w:t>质量指标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1CD391F2">
            <w:pPr>
              <w:widowControl/>
              <w:jc w:val="center"/>
              <w:textAlignment w:val="center"/>
              <w:rPr>
                <w:rFonts w:ascii="宋体" w:cs="宋体"/>
                <w:color w:val="000000"/>
                <w:sz w:val="24"/>
              </w:rPr>
            </w:pPr>
            <w:r>
              <w:rPr>
                <w:rFonts w:hint="eastAsia" w:ascii="宋体" w:hAnsi="宋体" w:cs="宋体"/>
                <w:color w:val="000000"/>
                <w:sz w:val="24"/>
              </w:rPr>
              <w:t>质量指标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4C09F4B2">
            <w:pPr>
              <w:widowControl/>
              <w:jc w:val="center"/>
              <w:textAlignment w:val="center"/>
              <w:rPr>
                <w:rFonts w:ascii="宋体" w:cs="宋体"/>
                <w:color w:val="000000"/>
                <w:sz w:val="24"/>
              </w:rPr>
            </w:pPr>
            <w:r>
              <w:rPr>
                <w:rFonts w:hint="eastAsia" w:ascii="宋体" w:cs="宋体"/>
                <w:color w:val="000000"/>
                <w:sz w:val="24"/>
              </w:rPr>
              <w:t>达标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1515F9CC">
            <w:pPr>
              <w:widowControl/>
              <w:jc w:val="center"/>
              <w:textAlignment w:val="center"/>
              <w:rPr>
                <w:rFonts w:ascii="宋体" w:cs="宋体"/>
                <w:color w:val="000000"/>
                <w:sz w:val="24"/>
              </w:rPr>
            </w:pPr>
            <w:r>
              <w:rPr>
                <w:rFonts w:hint="eastAsia" w:ascii="宋体" w:cs="宋体"/>
                <w:color w:val="000000"/>
                <w:sz w:val="24"/>
              </w:rPr>
              <w:t>达标</w:t>
            </w:r>
          </w:p>
        </w:tc>
      </w:tr>
      <w:tr w14:paraId="2C63374C">
        <w:tblPrEx>
          <w:tblCellMar>
            <w:top w:w="0" w:type="dxa"/>
            <w:left w:w="0" w:type="dxa"/>
            <w:bottom w:w="0" w:type="dxa"/>
            <w:right w:w="0" w:type="dxa"/>
          </w:tblCellMar>
        </w:tblPrEx>
        <w:trPr>
          <w:trHeight w:val="1042"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14:paraId="0B86322E">
            <w:pPr>
              <w:widowControl/>
              <w:jc w:val="left"/>
              <w:rPr>
                <w:rFonts w:asci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49FE5E8A">
            <w:pPr>
              <w:widowControl/>
              <w:jc w:val="center"/>
              <w:textAlignment w:val="center"/>
              <w:rPr>
                <w:rFonts w:ascii="宋体" w:cs="宋体"/>
                <w:color w:val="000000"/>
                <w:sz w:val="24"/>
              </w:rPr>
            </w:pPr>
            <w:r>
              <w:rPr>
                <w:rFonts w:hint="eastAsia" w:ascii="宋体" w:hAnsi="宋体" w:cs="宋体"/>
                <w:color w:val="000000"/>
                <w:kern w:val="0"/>
                <w:sz w:val="24"/>
              </w:rPr>
              <w:t>效益指标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3C8BAF8D">
            <w:pPr>
              <w:widowControl/>
              <w:jc w:val="center"/>
              <w:textAlignment w:val="center"/>
              <w:rPr>
                <w:rFonts w:ascii="宋体" w:cs="宋体"/>
                <w:color w:val="000000"/>
                <w:sz w:val="24"/>
              </w:rPr>
            </w:pPr>
            <w:r>
              <w:rPr>
                <w:rFonts w:hint="eastAsia" w:ascii="宋体" w:hAnsi="宋体" w:cs="宋体"/>
                <w:color w:val="000000"/>
                <w:kern w:val="0"/>
                <w:sz w:val="24"/>
              </w:rPr>
              <w:t>效益指标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4845E076">
            <w:pPr>
              <w:widowControl/>
              <w:jc w:val="center"/>
              <w:textAlignment w:val="center"/>
              <w:rPr>
                <w:rFonts w:ascii="宋体" w:cs="宋体"/>
                <w:color w:val="000000"/>
                <w:sz w:val="24"/>
              </w:rPr>
            </w:pPr>
            <w:r>
              <w:rPr>
                <w:rFonts w:hint="eastAsia" w:ascii="宋体" w:hAnsi="宋体" w:cs="宋体"/>
                <w:color w:val="000000"/>
                <w:kern w:val="0"/>
                <w:sz w:val="24"/>
              </w:rPr>
              <w:t>效益指标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6E6876FE">
            <w:pPr>
              <w:jc w:val="center"/>
              <w:rPr>
                <w:rFonts w:ascii="宋体" w:cs="宋体"/>
                <w:sz w:val="24"/>
              </w:rPr>
            </w:pPr>
            <w:r>
              <w:rPr>
                <w:rFonts w:hint="eastAsia"/>
              </w:rPr>
              <w:t>不断完善设施设备</w:t>
            </w:r>
          </w:p>
          <w:p w14:paraId="52841445">
            <w:pPr>
              <w:jc w:val="center"/>
              <w:rPr>
                <w:rFonts w:asci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264D6302">
            <w:pPr>
              <w:jc w:val="center"/>
              <w:rPr>
                <w:rFonts w:ascii="宋体" w:cs="宋体"/>
                <w:sz w:val="24"/>
              </w:rPr>
            </w:pPr>
            <w:r>
              <w:rPr>
                <w:rFonts w:hint="eastAsia"/>
              </w:rPr>
              <w:t>不断完善设施设备</w:t>
            </w:r>
          </w:p>
          <w:p w14:paraId="24634065">
            <w:pPr>
              <w:jc w:val="center"/>
              <w:rPr>
                <w:rFonts w:ascii="宋体" w:cs="宋体"/>
                <w:color w:val="000000"/>
                <w:sz w:val="24"/>
              </w:rPr>
            </w:pPr>
          </w:p>
        </w:tc>
      </w:tr>
      <w:tr w14:paraId="650CA37C">
        <w:tblPrEx>
          <w:tblCellMar>
            <w:top w:w="0" w:type="dxa"/>
            <w:left w:w="0" w:type="dxa"/>
            <w:bottom w:w="0" w:type="dxa"/>
            <w:right w:w="0" w:type="dxa"/>
          </w:tblCellMar>
        </w:tblPrEx>
        <w:trPr>
          <w:trHeight w:val="1297"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14:paraId="0CEBC585">
            <w:pPr>
              <w:widowControl/>
              <w:jc w:val="left"/>
              <w:rPr>
                <w:rFonts w:asci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1D94B5BC">
            <w:pPr>
              <w:widowControl/>
              <w:jc w:val="center"/>
              <w:textAlignment w:val="center"/>
              <w:rPr>
                <w:rFonts w:ascii="宋体" w:cs="宋体"/>
                <w:color w:val="000000"/>
                <w:sz w:val="24"/>
              </w:rPr>
            </w:pPr>
            <w:r>
              <w:rPr>
                <w:rFonts w:hint="eastAsia" w:ascii="宋体" w:hAnsi="宋体" w:cs="宋体"/>
                <w:color w:val="000000"/>
                <w:kern w:val="0"/>
                <w:sz w:val="24"/>
              </w:rPr>
              <w:t>效益指标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0F412160">
            <w:pPr>
              <w:widowControl/>
              <w:jc w:val="center"/>
              <w:textAlignment w:val="center"/>
              <w:rPr>
                <w:rFonts w:ascii="宋体" w:cs="宋体"/>
                <w:color w:val="000000"/>
                <w:sz w:val="24"/>
              </w:rPr>
            </w:pPr>
            <w:r>
              <w:rPr>
                <w:rFonts w:hint="eastAsia" w:ascii="宋体" w:hAnsi="宋体" w:cs="宋体"/>
                <w:color w:val="000000"/>
                <w:kern w:val="0"/>
                <w:sz w:val="24"/>
              </w:rPr>
              <w:t>效益指标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6518D518">
            <w:pPr>
              <w:widowControl/>
              <w:jc w:val="center"/>
              <w:textAlignment w:val="center"/>
              <w:rPr>
                <w:rFonts w:ascii="宋体" w:cs="宋体"/>
                <w:color w:val="000000"/>
                <w:sz w:val="24"/>
              </w:rPr>
            </w:pPr>
            <w:r>
              <w:rPr>
                <w:rFonts w:hint="eastAsia" w:ascii="宋体" w:hAnsi="宋体" w:cs="宋体"/>
                <w:color w:val="000000"/>
                <w:kern w:val="0"/>
                <w:sz w:val="24"/>
              </w:rPr>
              <w:t>效益指标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1C8EFFDA">
            <w:pPr>
              <w:jc w:val="center"/>
              <w:rPr>
                <w:rFonts w:ascii="宋体" w:cs="宋体"/>
                <w:sz w:val="24"/>
              </w:rPr>
            </w:pPr>
            <w:r>
              <w:rPr>
                <w:rFonts w:hint="eastAsia"/>
              </w:rPr>
              <w:t>让学生、家长、社会满意</w:t>
            </w:r>
          </w:p>
          <w:p w14:paraId="751C54E5">
            <w:pPr>
              <w:widowControl/>
              <w:jc w:val="center"/>
              <w:textAlignment w:val="center"/>
              <w:rPr>
                <w:rFonts w:asci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0E36B77F">
            <w:pPr>
              <w:jc w:val="center"/>
              <w:rPr>
                <w:rFonts w:ascii="宋体" w:cs="宋体"/>
                <w:sz w:val="24"/>
              </w:rPr>
            </w:pPr>
            <w:r>
              <w:rPr>
                <w:rFonts w:hint="eastAsia"/>
              </w:rPr>
              <w:t>让学生、家长、社会满意</w:t>
            </w:r>
          </w:p>
          <w:p w14:paraId="1AA2E46D">
            <w:pPr>
              <w:widowControl/>
              <w:jc w:val="center"/>
              <w:textAlignment w:val="center"/>
              <w:rPr>
                <w:rFonts w:ascii="宋体" w:cs="宋体"/>
                <w:color w:val="000000"/>
                <w:sz w:val="24"/>
              </w:rPr>
            </w:pPr>
          </w:p>
        </w:tc>
      </w:tr>
      <w:tr w14:paraId="5D2CA314">
        <w:tblPrEx>
          <w:tblCellMar>
            <w:top w:w="0" w:type="dxa"/>
            <w:left w:w="0" w:type="dxa"/>
            <w:bottom w:w="0" w:type="dxa"/>
            <w:right w:w="0" w:type="dxa"/>
          </w:tblCellMar>
        </w:tblPrEx>
        <w:trPr>
          <w:trHeight w:val="1297"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14:paraId="5665F986">
            <w:pPr>
              <w:widowControl/>
              <w:jc w:val="left"/>
              <w:rPr>
                <w:rFonts w:asci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21310F55">
            <w:pPr>
              <w:widowControl/>
              <w:jc w:val="center"/>
              <w:textAlignment w:val="center"/>
              <w:rPr>
                <w:rFonts w:ascii="宋体" w:cs="宋体"/>
                <w:color w:val="000000"/>
                <w:kern w:val="0"/>
                <w:sz w:val="24"/>
              </w:rPr>
            </w:pPr>
            <w:r>
              <w:rPr>
                <w:rFonts w:hint="eastAsia" w:ascii="宋体" w:hAnsi="宋体" w:cs="宋体"/>
                <w:color w:val="000000"/>
                <w:kern w:val="0"/>
                <w:sz w:val="24"/>
              </w:rPr>
              <w:t>成本指标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0D88A95E">
            <w:pPr>
              <w:widowControl/>
              <w:jc w:val="center"/>
              <w:textAlignment w:val="center"/>
              <w:rPr>
                <w:rFonts w:ascii="宋体" w:cs="宋体"/>
                <w:color w:val="000000"/>
                <w:kern w:val="0"/>
                <w:sz w:val="24"/>
              </w:rPr>
            </w:pPr>
            <w:r>
              <w:rPr>
                <w:rFonts w:hint="eastAsia" w:ascii="宋体" w:hAnsi="宋体" w:cs="宋体"/>
                <w:color w:val="000000"/>
                <w:kern w:val="0"/>
                <w:sz w:val="24"/>
              </w:rPr>
              <w:t>成本指标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46455FF7">
            <w:pPr>
              <w:widowControl/>
              <w:jc w:val="center"/>
              <w:textAlignment w:val="center"/>
              <w:rPr>
                <w:rFonts w:ascii="宋体" w:cs="宋体"/>
                <w:color w:val="000000"/>
                <w:kern w:val="0"/>
                <w:sz w:val="24"/>
              </w:rPr>
            </w:pPr>
            <w:r>
              <w:rPr>
                <w:rFonts w:hint="eastAsia" w:ascii="宋体" w:hAnsi="宋体" w:cs="宋体"/>
                <w:color w:val="000000"/>
                <w:kern w:val="0"/>
                <w:sz w:val="24"/>
              </w:rPr>
              <w:t>成本指标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624D7F48">
            <w:pPr>
              <w:jc w:val="center"/>
              <w:rPr>
                <w:rFonts w:ascii="宋体" w:cs="宋体"/>
                <w:sz w:val="24"/>
              </w:rPr>
            </w:pPr>
            <w:r>
              <w:rPr>
                <w:rFonts w:hint="eastAsia"/>
              </w:rPr>
              <w:t>降低能耗</w:t>
            </w:r>
          </w:p>
          <w:p w14:paraId="44B3DC14">
            <w:pPr>
              <w:widowControl/>
              <w:jc w:val="center"/>
              <w:textAlignment w:val="center"/>
              <w:rPr>
                <w:rFonts w:asci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4FAAC5B9">
            <w:pPr>
              <w:jc w:val="center"/>
              <w:rPr>
                <w:rFonts w:ascii="宋体" w:cs="宋体"/>
                <w:sz w:val="24"/>
              </w:rPr>
            </w:pPr>
            <w:r>
              <w:rPr>
                <w:rFonts w:hint="eastAsia"/>
              </w:rPr>
              <w:t>降低能耗</w:t>
            </w:r>
          </w:p>
          <w:p w14:paraId="54B14EBC">
            <w:pPr>
              <w:widowControl/>
              <w:jc w:val="center"/>
              <w:textAlignment w:val="center"/>
              <w:rPr>
                <w:rFonts w:ascii="宋体" w:cs="宋体"/>
                <w:color w:val="000000"/>
                <w:sz w:val="24"/>
              </w:rPr>
            </w:pPr>
          </w:p>
        </w:tc>
      </w:tr>
      <w:tr w14:paraId="3951C930">
        <w:tblPrEx>
          <w:tblCellMar>
            <w:top w:w="0" w:type="dxa"/>
            <w:left w:w="0" w:type="dxa"/>
            <w:bottom w:w="0" w:type="dxa"/>
            <w:right w:w="0" w:type="dxa"/>
          </w:tblCellMar>
        </w:tblPrEx>
        <w:trPr>
          <w:trHeight w:val="1050"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14:paraId="2BD957F5">
            <w:pPr>
              <w:widowControl/>
              <w:jc w:val="left"/>
              <w:rPr>
                <w:rFonts w:asci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472C1BBD">
            <w:pPr>
              <w:widowControl/>
              <w:jc w:val="center"/>
              <w:textAlignment w:val="center"/>
              <w:rPr>
                <w:rFonts w:ascii="宋体" w:cs="宋体"/>
                <w:color w:val="000000"/>
                <w:sz w:val="24"/>
              </w:rPr>
            </w:pPr>
            <w:r>
              <w:rPr>
                <w:rFonts w:hint="eastAsia" w:ascii="宋体" w:hAnsi="宋体" w:cs="宋体"/>
                <w:color w:val="000000"/>
                <w:kern w:val="0"/>
                <w:sz w:val="24"/>
              </w:rPr>
              <w:t>满意度指标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26B89254">
            <w:pPr>
              <w:widowControl/>
              <w:jc w:val="center"/>
              <w:textAlignment w:val="center"/>
              <w:rPr>
                <w:rFonts w:ascii="宋体" w:cs="宋体"/>
                <w:color w:val="000000"/>
                <w:sz w:val="24"/>
              </w:rPr>
            </w:pPr>
            <w:r>
              <w:rPr>
                <w:rFonts w:hint="eastAsia" w:ascii="宋体" w:hAnsi="宋体" w:cs="宋体"/>
                <w:color w:val="000000"/>
                <w:kern w:val="0"/>
                <w:sz w:val="24"/>
              </w:rPr>
              <w:t>满意度指标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037010AB">
            <w:pPr>
              <w:widowControl/>
              <w:jc w:val="center"/>
              <w:textAlignment w:val="center"/>
              <w:rPr>
                <w:rFonts w:ascii="宋体" w:cs="宋体"/>
                <w:color w:val="000000"/>
                <w:sz w:val="24"/>
              </w:rPr>
            </w:pPr>
            <w:r>
              <w:rPr>
                <w:rFonts w:hint="eastAsia" w:ascii="宋体" w:hAnsi="宋体" w:cs="宋体"/>
                <w:color w:val="000000"/>
                <w:kern w:val="0"/>
                <w:sz w:val="24"/>
              </w:rPr>
              <w:t>满意度指标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6BA4BA71">
            <w:pPr>
              <w:jc w:val="center"/>
              <w:rPr>
                <w:rFonts w:ascii="宋体" w:cs="宋体"/>
                <w:sz w:val="24"/>
              </w:rPr>
            </w:pPr>
            <w:r>
              <w:rPr>
                <w:rFonts w:hint="eastAsia"/>
              </w:rPr>
              <w:t>学生、家长、社会满意度≥</w:t>
            </w:r>
            <w:r>
              <w:t>96%</w:t>
            </w:r>
            <w:r>
              <w:rPr>
                <w:rFonts w:hint="eastAsia"/>
              </w:rPr>
              <w:t>；项目主管部门满意度≥</w:t>
            </w:r>
            <w:r>
              <w:t>90%</w:t>
            </w:r>
          </w:p>
          <w:p w14:paraId="492FCD23">
            <w:pPr>
              <w:widowControl/>
              <w:jc w:val="center"/>
              <w:textAlignment w:val="center"/>
              <w:rPr>
                <w:rFonts w:asci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32312C04">
            <w:pPr>
              <w:jc w:val="center"/>
              <w:rPr>
                <w:rFonts w:ascii="宋体" w:cs="宋体"/>
                <w:sz w:val="24"/>
              </w:rPr>
            </w:pPr>
            <w:r>
              <w:rPr>
                <w:rFonts w:hint="eastAsia"/>
              </w:rPr>
              <w:t>学生、家长、社会满意度≥</w:t>
            </w:r>
            <w:r>
              <w:t>96%</w:t>
            </w:r>
            <w:r>
              <w:rPr>
                <w:rFonts w:hint="eastAsia"/>
              </w:rPr>
              <w:t>；项目主管部门满意度≥</w:t>
            </w:r>
            <w:r>
              <w:t>90%</w:t>
            </w:r>
          </w:p>
          <w:p w14:paraId="0D8963D0">
            <w:pPr>
              <w:widowControl/>
              <w:jc w:val="center"/>
              <w:textAlignment w:val="center"/>
              <w:rPr>
                <w:rFonts w:ascii="宋体" w:cs="宋体"/>
                <w:color w:val="000000"/>
                <w:sz w:val="24"/>
              </w:rPr>
            </w:pPr>
          </w:p>
        </w:tc>
      </w:tr>
    </w:tbl>
    <w:p w14:paraId="408772FD">
      <w:pPr>
        <w:spacing w:line="580" w:lineRule="exact"/>
        <w:rPr>
          <w:rFonts w:ascii="仿宋_GB2312" w:hAnsi="仿宋_GB2312" w:eastAsia="仿宋_GB2312" w:cs="仿宋_GB2312"/>
          <w:sz w:val="32"/>
          <w:szCs w:val="32"/>
        </w:rPr>
      </w:pPr>
    </w:p>
    <w:p w14:paraId="343265F1">
      <w:pPr>
        <w:numPr>
          <w:ilvl w:val="0"/>
          <w:numId w:val="3"/>
        </w:numPr>
        <w:spacing w:line="580" w:lineRule="exact"/>
        <w:ind w:firstLine="562" w:firstLineChars="200"/>
        <w:rPr>
          <w:rFonts w:ascii="宋体" w:cs="仿宋_GB2312"/>
          <w:sz w:val="28"/>
          <w:szCs w:val="28"/>
        </w:rPr>
      </w:pPr>
      <w:r>
        <w:rPr>
          <w:rFonts w:hint="eastAsia" w:ascii="宋体" w:hAnsi="宋体" w:cs="楷体_GB2312"/>
          <w:b/>
          <w:bCs/>
          <w:sz w:val="28"/>
          <w:szCs w:val="28"/>
        </w:rPr>
        <w:t>部门开展绩效评价结果。</w:t>
      </w:r>
    </w:p>
    <w:p w14:paraId="6D87184D">
      <w:pPr>
        <w:pStyle w:val="12"/>
        <w:spacing w:before="0" w:beforeAutospacing="0" w:after="0" w:afterAutospacing="0"/>
        <w:ind w:left="640" w:right="-105" w:rightChars="-50" w:firstLine="560" w:firstLineChars="200"/>
        <w:jc w:val="both"/>
        <w:rPr>
          <w:rFonts w:cs="Times New Roman"/>
          <w:color w:val="000000"/>
          <w:sz w:val="28"/>
          <w:szCs w:val="28"/>
        </w:rPr>
      </w:pPr>
      <w:r>
        <w:rPr>
          <w:rFonts w:hint="eastAsia" w:cs="仿宋_GB2312"/>
          <w:sz w:val="28"/>
          <w:szCs w:val="28"/>
        </w:rPr>
        <w:t>本部门按要求对</w:t>
      </w:r>
      <w:r>
        <w:rPr>
          <w:rFonts w:cs="仿宋_GB2312"/>
          <w:sz w:val="28"/>
          <w:szCs w:val="28"/>
        </w:rPr>
        <w:t>2018</w:t>
      </w:r>
      <w:r>
        <w:rPr>
          <w:rFonts w:hint="eastAsia" w:cs="仿宋_GB2312"/>
          <w:sz w:val="28"/>
          <w:szCs w:val="28"/>
        </w:rPr>
        <w:t>年部门整体支出绩效评价情况开展自评，</w:t>
      </w:r>
      <w:r>
        <w:rPr>
          <w:rFonts w:hint="eastAsia" w:cs="Times New Roman"/>
          <w:color w:val="000000"/>
          <w:sz w:val="28"/>
          <w:szCs w:val="28"/>
        </w:rPr>
        <w:t>教育基本经费的使用，力保学校教育教学工作的有效开展以及学校工作的正常运行。学校的教育发展信息技术经费、教育发展校方责任经费、教学仪器设备经费的使用，给学校教育教学设备设施得到充实，学校办学条件得到很大改善，大力推动了学校办学条件达标建设。</w:t>
      </w:r>
    </w:p>
    <w:p w14:paraId="43BEB982">
      <w:pPr>
        <w:spacing w:line="580" w:lineRule="exact"/>
        <w:jc w:val="center"/>
        <w:rPr>
          <w:rFonts w:ascii="宋体" w:cs="方正小标宋简体"/>
          <w:sz w:val="28"/>
          <w:szCs w:val="28"/>
        </w:rPr>
      </w:pPr>
    </w:p>
    <w:p w14:paraId="2417F2CA">
      <w:pPr>
        <w:spacing w:line="600" w:lineRule="exact"/>
        <w:ind w:firstLine="700" w:firstLineChars="250"/>
        <w:outlineLvl w:val="1"/>
        <w:rPr>
          <w:rStyle w:val="18"/>
          <w:rFonts w:ascii="宋体" w:hAnsi="Times New Roman"/>
          <w:sz w:val="28"/>
          <w:szCs w:val="28"/>
        </w:rPr>
      </w:pPr>
      <w:bookmarkStart w:id="44" w:name="_Toc15396612"/>
      <w:bookmarkStart w:id="45" w:name="_Toc15377221"/>
      <w:r>
        <w:rPr>
          <w:rFonts w:hint="eastAsia" w:ascii="宋体" w:hAnsi="宋体"/>
          <w:color w:val="000000"/>
          <w:sz w:val="28"/>
          <w:szCs w:val="28"/>
        </w:rPr>
        <w:t>十</w:t>
      </w:r>
      <w:r>
        <w:rPr>
          <w:rStyle w:val="18"/>
          <w:rFonts w:hint="eastAsia" w:ascii="宋体" w:hAnsi="宋体"/>
          <w:sz w:val="28"/>
          <w:szCs w:val="28"/>
        </w:rPr>
        <w:t>一、</w:t>
      </w:r>
      <w:r>
        <w:rPr>
          <w:rStyle w:val="18"/>
          <w:rFonts w:hint="eastAsia" w:ascii="宋体" w:hAnsi="宋体"/>
          <w:b w:val="0"/>
          <w:sz w:val="28"/>
          <w:szCs w:val="28"/>
        </w:rPr>
        <w:t>其他重要事项的情况说明</w:t>
      </w:r>
      <w:bookmarkEnd w:id="44"/>
      <w:bookmarkEnd w:id="45"/>
    </w:p>
    <w:p w14:paraId="0D611C83">
      <w:pPr>
        <w:spacing w:line="600" w:lineRule="exact"/>
        <w:ind w:firstLine="562" w:firstLineChars="200"/>
        <w:outlineLvl w:val="2"/>
        <w:rPr>
          <w:rFonts w:ascii="宋体"/>
          <w:color w:val="000000"/>
          <w:sz w:val="28"/>
          <w:szCs w:val="28"/>
        </w:rPr>
      </w:pPr>
      <w:bookmarkStart w:id="46" w:name="_Toc15377222"/>
      <w:r>
        <w:rPr>
          <w:rFonts w:hint="eastAsia" w:ascii="宋体" w:hAnsi="宋体"/>
          <w:b/>
          <w:color w:val="000000"/>
          <w:sz w:val="28"/>
          <w:szCs w:val="28"/>
        </w:rPr>
        <w:t>（一）机关运行经费支出情况</w:t>
      </w:r>
      <w:bookmarkEnd w:id="46"/>
    </w:p>
    <w:p w14:paraId="2B2D1A7C">
      <w:pPr>
        <w:spacing w:line="600" w:lineRule="exact"/>
        <w:ind w:firstLine="560" w:firstLineChars="200"/>
        <w:rPr>
          <w:rFonts w:ascii="宋体"/>
          <w:color w:val="000000"/>
          <w:sz w:val="28"/>
          <w:szCs w:val="28"/>
        </w:rPr>
      </w:pPr>
      <w:r>
        <w:rPr>
          <w:rFonts w:ascii="宋体" w:hAnsi="宋体"/>
          <w:color w:val="000000"/>
          <w:sz w:val="28"/>
          <w:szCs w:val="28"/>
        </w:rPr>
        <w:t>2018</w:t>
      </w:r>
      <w:r>
        <w:rPr>
          <w:rFonts w:hint="eastAsia" w:ascii="宋体" w:hAnsi="宋体"/>
          <w:color w:val="000000"/>
          <w:sz w:val="28"/>
          <w:szCs w:val="28"/>
        </w:rPr>
        <w:t>年，攀枝花市仁和区大龙潭乡中心学校机关运行经费支出</w:t>
      </w:r>
      <w:r>
        <w:rPr>
          <w:rFonts w:ascii="宋体"/>
          <w:color w:val="000000"/>
          <w:sz w:val="28"/>
          <w:szCs w:val="28"/>
        </w:rPr>
        <w:t>0</w:t>
      </w:r>
      <w:r>
        <w:rPr>
          <w:rFonts w:hint="eastAsia" w:ascii="宋体" w:hAnsi="宋体"/>
          <w:color w:val="000000"/>
          <w:sz w:val="28"/>
          <w:szCs w:val="28"/>
        </w:rPr>
        <w:t>万元。</w:t>
      </w:r>
    </w:p>
    <w:p w14:paraId="1645EB68">
      <w:pPr>
        <w:autoSpaceDE w:val="0"/>
        <w:autoSpaceDN w:val="0"/>
        <w:adjustRightInd w:val="0"/>
        <w:spacing w:line="600" w:lineRule="exact"/>
        <w:ind w:firstLine="562" w:firstLineChars="200"/>
        <w:jc w:val="left"/>
        <w:outlineLvl w:val="2"/>
        <w:rPr>
          <w:rFonts w:ascii="宋体"/>
          <w:b/>
          <w:color w:val="000000"/>
          <w:sz w:val="28"/>
          <w:szCs w:val="28"/>
        </w:rPr>
      </w:pPr>
      <w:bookmarkStart w:id="47" w:name="_Toc15377223"/>
      <w:r>
        <w:rPr>
          <w:rFonts w:hint="eastAsia" w:ascii="宋体" w:hAnsi="宋体"/>
          <w:b/>
          <w:color w:val="000000"/>
          <w:sz w:val="28"/>
          <w:szCs w:val="28"/>
        </w:rPr>
        <w:t>（二）政府采购支出情况</w:t>
      </w:r>
      <w:bookmarkEnd w:id="47"/>
    </w:p>
    <w:p w14:paraId="766660A2">
      <w:pPr>
        <w:spacing w:line="480" w:lineRule="auto"/>
        <w:ind w:firstLine="560" w:firstLineChars="200"/>
        <w:rPr>
          <w:rFonts w:ascii="宋体"/>
          <w:sz w:val="28"/>
          <w:szCs w:val="28"/>
        </w:rPr>
      </w:pPr>
      <w:bookmarkStart w:id="48" w:name="_Toc15377224"/>
      <w:r>
        <w:rPr>
          <w:rFonts w:ascii="宋体" w:hAnsi="宋体"/>
          <w:sz w:val="28"/>
          <w:szCs w:val="28"/>
        </w:rPr>
        <w:t>201</w:t>
      </w:r>
      <w:r>
        <w:rPr>
          <w:rFonts w:hint="eastAsia" w:ascii="宋体" w:hAnsi="宋体"/>
          <w:sz w:val="28"/>
          <w:szCs w:val="28"/>
        </w:rPr>
        <w:t>8年度，攀枝花市仁和区大龙潭乡中心学校政府采购支出总额30.34万元，其中：政府采购货物支出0万元、政府采购工程支出</w:t>
      </w:r>
      <w:r>
        <w:rPr>
          <w:rFonts w:hint="eastAsia" w:ascii="宋体"/>
          <w:sz w:val="28"/>
          <w:szCs w:val="28"/>
        </w:rPr>
        <w:t>30.34</w:t>
      </w:r>
      <w:r>
        <w:rPr>
          <w:rFonts w:hint="eastAsia" w:ascii="宋体" w:hAnsi="宋体"/>
          <w:sz w:val="28"/>
          <w:szCs w:val="28"/>
        </w:rPr>
        <w:t>万元、政府采购服务支出</w:t>
      </w:r>
      <w:r>
        <w:rPr>
          <w:rFonts w:ascii="宋体"/>
          <w:sz w:val="28"/>
          <w:szCs w:val="28"/>
        </w:rPr>
        <w:t>0</w:t>
      </w:r>
      <w:r>
        <w:rPr>
          <w:rFonts w:hint="eastAsia" w:ascii="宋体" w:hAnsi="宋体"/>
          <w:sz w:val="28"/>
          <w:szCs w:val="28"/>
        </w:rPr>
        <w:t>万元。主要用于中心学校及各教学点安装校园监控全覆盖工程。</w:t>
      </w:r>
    </w:p>
    <w:p w14:paraId="565848FA">
      <w:pPr>
        <w:autoSpaceDE w:val="0"/>
        <w:autoSpaceDN w:val="0"/>
        <w:adjustRightInd w:val="0"/>
        <w:spacing w:line="600" w:lineRule="exact"/>
        <w:ind w:firstLine="562" w:firstLineChars="200"/>
        <w:jc w:val="left"/>
        <w:outlineLvl w:val="2"/>
        <w:rPr>
          <w:rFonts w:ascii="宋体"/>
          <w:b/>
          <w:color w:val="000000"/>
          <w:sz w:val="28"/>
          <w:szCs w:val="28"/>
        </w:rPr>
      </w:pPr>
      <w:r>
        <w:rPr>
          <w:rFonts w:hint="eastAsia" w:ascii="宋体" w:hAnsi="宋体"/>
          <w:b/>
          <w:color w:val="000000"/>
          <w:sz w:val="28"/>
          <w:szCs w:val="28"/>
        </w:rPr>
        <w:t>（三）国有资产占有使用情况</w:t>
      </w:r>
      <w:bookmarkEnd w:id="48"/>
    </w:p>
    <w:p w14:paraId="15256B30">
      <w:pPr>
        <w:autoSpaceDE w:val="0"/>
        <w:autoSpaceDN w:val="0"/>
        <w:adjustRightInd w:val="0"/>
        <w:spacing w:line="480" w:lineRule="auto"/>
        <w:ind w:firstLine="560" w:firstLineChars="200"/>
        <w:jc w:val="left"/>
        <w:rPr>
          <w:rFonts w:ascii="宋体"/>
          <w:color w:val="000000"/>
          <w:sz w:val="28"/>
          <w:szCs w:val="28"/>
        </w:rPr>
      </w:pPr>
      <w:r>
        <w:rPr>
          <w:rFonts w:hint="eastAsia" w:ascii="宋体" w:hAnsi="宋体"/>
          <w:color w:val="000000"/>
          <w:sz w:val="28"/>
          <w:szCs w:val="28"/>
        </w:rPr>
        <w:t>截至</w:t>
      </w:r>
      <w:r>
        <w:rPr>
          <w:rFonts w:ascii="宋体" w:hAnsi="宋体"/>
          <w:color w:val="000000"/>
          <w:sz w:val="28"/>
          <w:szCs w:val="28"/>
        </w:rPr>
        <w:t>2018</w:t>
      </w:r>
      <w:r>
        <w:rPr>
          <w:rFonts w:hint="eastAsia" w:ascii="宋体" w:hAnsi="宋体"/>
          <w:color w:val="000000"/>
          <w:sz w:val="28"/>
          <w:szCs w:val="28"/>
        </w:rPr>
        <w:t>年</w:t>
      </w:r>
      <w:r>
        <w:rPr>
          <w:rFonts w:ascii="宋体" w:hAnsi="宋体"/>
          <w:color w:val="000000"/>
          <w:sz w:val="28"/>
          <w:szCs w:val="28"/>
        </w:rPr>
        <w:t>12</w:t>
      </w:r>
      <w:r>
        <w:rPr>
          <w:rFonts w:hint="eastAsia" w:ascii="宋体" w:hAnsi="宋体"/>
          <w:color w:val="000000"/>
          <w:sz w:val="28"/>
          <w:szCs w:val="28"/>
        </w:rPr>
        <w:t>月</w:t>
      </w:r>
      <w:r>
        <w:rPr>
          <w:rFonts w:ascii="宋体" w:hAnsi="宋体"/>
          <w:color w:val="000000"/>
          <w:sz w:val="28"/>
          <w:szCs w:val="28"/>
        </w:rPr>
        <w:t>31</w:t>
      </w:r>
      <w:r>
        <w:rPr>
          <w:rFonts w:hint="eastAsia" w:ascii="宋体" w:hAnsi="宋体"/>
          <w:color w:val="000000"/>
          <w:sz w:val="28"/>
          <w:szCs w:val="28"/>
        </w:rPr>
        <w:t>日，攀枝花市仁和区大龙潭乡中心学校共有车辆</w:t>
      </w:r>
      <w:r>
        <w:rPr>
          <w:rFonts w:ascii="宋体" w:hAnsi="宋体"/>
          <w:color w:val="000000"/>
          <w:sz w:val="28"/>
          <w:szCs w:val="28"/>
        </w:rPr>
        <w:t>1</w:t>
      </w:r>
      <w:r>
        <w:rPr>
          <w:rFonts w:hint="eastAsia" w:ascii="宋体" w:hAnsi="宋体"/>
          <w:color w:val="000000"/>
          <w:sz w:val="28"/>
          <w:szCs w:val="28"/>
        </w:rPr>
        <w:t>辆，其中：省部级领导干部用车</w:t>
      </w:r>
      <w:r>
        <w:rPr>
          <w:rFonts w:ascii="宋体"/>
          <w:color w:val="000000"/>
          <w:sz w:val="28"/>
          <w:szCs w:val="28"/>
        </w:rPr>
        <w:t>0</w:t>
      </w:r>
      <w:r>
        <w:rPr>
          <w:rFonts w:hint="eastAsia" w:ascii="宋体" w:hAnsi="宋体"/>
          <w:color w:val="000000"/>
          <w:sz w:val="28"/>
          <w:szCs w:val="28"/>
        </w:rPr>
        <w:t>辆、一般公务用车</w:t>
      </w:r>
      <w:r>
        <w:rPr>
          <w:rFonts w:ascii="宋体" w:hAnsi="宋体"/>
          <w:color w:val="000000"/>
          <w:sz w:val="28"/>
          <w:szCs w:val="28"/>
        </w:rPr>
        <w:t>1</w:t>
      </w:r>
      <w:r>
        <w:rPr>
          <w:rFonts w:hint="eastAsia" w:ascii="宋体" w:hAnsi="宋体"/>
          <w:color w:val="000000"/>
          <w:sz w:val="28"/>
          <w:szCs w:val="28"/>
        </w:rPr>
        <w:t>辆；单价</w:t>
      </w:r>
      <w:r>
        <w:rPr>
          <w:rFonts w:ascii="宋体" w:hAnsi="宋体"/>
          <w:color w:val="000000"/>
          <w:sz w:val="28"/>
          <w:szCs w:val="28"/>
        </w:rPr>
        <w:t>50</w:t>
      </w:r>
      <w:r>
        <w:rPr>
          <w:rFonts w:hint="eastAsia" w:ascii="宋体" w:hAnsi="宋体"/>
          <w:color w:val="000000"/>
          <w:sz w:val="28"/>
          <w:szCs w:val="28"/>
        </w:rPr>
        <w:t>万元以上通用设备</w:t>
      </w:r>
      <w:r>
        <w:rPr>
          <w:rFonts w:ascii="宋体"/>
          <w:color w:val="000000"/>
          <w:sz w:val="28"/>
          <w:szCs w:val="28"/>
        </w:rPr>
        <w:t>0</w:t>
      </w:r>
      <w:r>
        <w:rPr>
          <w:rFonts w:hint="eastAsia" w:ascii="宋体" w:hAnsi="宋体"/>
          <w:color w:val="000000"/>
          <w:sz w:val="28"/>
          <w:szCs w:val="28"/>
        </w:rPr>
        <w:t>台（套），单价</w:t>
      </w:r>
      <w:r>
        <w:rPr>
          <w:rFonts w:ascii="宋体" w:hAnsi="宋体"/>
          <w:color w:val="000000"/>
          <w:sz w:val="28"/>
          <w:szCs w:val="28"/>
        </w:rPr>
        <w:t>100</w:t>
      </w:r>
      <w:r>
        <w:rPr>
          <w:rFonts w:hint="eastAsia" w:ascii="宋体" w:hAnsi="宋体"/>
          <w:color w:val="000000"/>
          <w:sz w:val="28"/>
          <w:szCs w:val="28"/>
        </w:rPr>
        <w:t>万元以上专用设备</w:t>
      </w:r>
      <w:r>
        <w:rPr>
          <w:rFonts w:ascii="宋体"/>
          <w:color w:val="000000"/>
          <w:sz w:val="28"/>
          <w:szCs w:val="28"/>
        </w:rPr>
        <w:t>0</w:t>
      </w:r>
      <w:r>
        <w:rPr>
          <w:rFonts w:hint="eastAsia" w:ascii="宋体" w:hAnsi="宋体"/>
          <w:color w:val="000000"/>
          <w:sz w:val="28"/>
          <w:szCs w:val="28"/>
        </w:rPr>
        <w:t>台（套）。</w:t>
      </w:r>
    </w:p>
    <w:p w14:paraId="7FF7F530">
      <w:pPr>
        <w:spacing w:line="600" w:lineRule="atLeast"/>
        <w:ind w:firstLine="562" w:firstLineChars="200"/>
        <w:rPr>
          <w:rFonts w:ascii="宋体"/>
          <w:b/>
          <w:color w:val="000000"/>
          <w:sz w:val="28"/>
          <w:szCs w:val="28"/>
        </w:rPr>
      </w:pPr>
    </w:p>
    <w:p w14:paraId="62EA4E76">
      <w:pPr>
        <w:widowControl/>
        <w:jc w:val="left"/>
        <w:rPr>
          <w:rFonts w:ascii="仿宋_GB2312" w:eastAsia="仿宋_GB2312"/>
          <w:b/>
          <w:color w:val="000000"/>
          <w:sz w:val="32"/>
          <w:szCs w:val="32"/>
        </w:rPr>
      </w:pPr>
      <w:r>
        <w:rPr>
          <w:rFonts w:ascii="宋体"/>
          <w:b/>
          <w:color w:val="000000"/>
          <w:sz w:val="30"/>
          <w:szCs w:val="30"/>
        </w:rPr>
        <w:br w:type="page"/>
      </w:r>
    </w:p>
    <w:p w14:paraId="2C41705C">
      <w:pPr>
        <w:numPr>
          <w:ilvl w:val="0"/>
          <w:numId w:val="4"/>
        </w:numPr>
        <w:spacing w:line="600" w:lineRule="exact"/>
        <w:ind w:firstLine="663" w:firstLineChars="150"/>
        <w:jc w:val="center"/>
        <w:outlineLvl w:val="0"/>
        <w:rPr>
          <w:rStyle w:val="17"/>
          <w:rFonts w:ascii="黑体" w:hAnsi="黑体" w:eastAsia="黑体"/>
          <w:b w:val="0"/>
        </w:rPr>
      </w:pPr>
      <w:bookmarkStart w:id="49" w:name="_Toc15377225"/>
      <w:bookmarkStart w:id="50" w:name="_Toc15396613"/>
      <w:r>
        <w:rPr>
          <w:rFonts w:hint="eastAsia" w:ascii="黑体" w:hAnsi="黑体" w:eastAsia="黑体"/>
          <w:b/>
          <w:color w:val="000000"/>
          <w:sz w:val="44"/>
          <w:szCs w:val="44"/>
        </w:rPr>
        <w:t>名</w:t>
      </w:r>
      <w:r>
        <w:rPr>
          <w:rStyle w:val="17"/>
          <w:rFonts w:hint="eastAsia" w:ascii="黑体" w:hAnsi="黑体" w:eastAsia="黑体"/>
          <w:b w:val="0"/>
        </w:rPr>
        <w:t>词解释</w:t>
      </w:r>
      <w:bookmarkEnd w:id="49"/>
      <w:bookmarkEnd w:id="50"/>
    </w:p>
    <w:p w14:paraId="254FA1A0">
      <w:pPr>
        <w:spacing w:line="600" w:lineRule="exact"/>
        <w:jc w:val="left"/>
        <w:rPr>
          <w:rFonts w:ascii="宋体"/>
          <w:b/>
          <w:color w:val="000000"/>
          <w:sz w:val="44"/>
          <w:szCs w:val="44"/>
        </w:rPr>
      </w:pPr>
    </w:p>
    <w:p w14:paraId="4DB04BAB">
      <w:pPr>
        <w:pStyle w:val="26"/>
        <w:spacing w:line="560" w:lineRule="exact"/>
        <w:ind w:firstLine="640" w:firstLineChars="200"/>
        <w:rPr>
          <w:rFonts w:ascii="仿宋_GB2312" w:eastAsia="仿宋_GB2312"/>
          <w:sz w:val="32"/>
          <w:szCs w:val="32"/>
        </w:rPr>
      </w:pPr>
      <w:r>
        <w:rPr>
          <w:rFonts w:ascii="仿宋_GB2312" w:eastAsia="仿宋_GB2312"/>
          <w:sz w:val="32"/>
          <w:szCs w:val="32"/>
        </w:rPr>
        <w:t>1.</w:t>
      </w:r>
      <w:r>
        <w:rPr>
          <w:rFonts w:hint="eastAsia" w:ascii="仿宋_GB2312" w:eastAsia="仿宋_GB2312"/>
          <w:sz w:val="32"/>
          <w:szCs w:val="32"/>
        </w:rPr>
        <w:t>财政拨款收入：指单位从同级财政部门取得的财政预算资金。</w:t>
      </w:r>
    </w:p>
    <w:p w14:paraId="1695EBC7">
      <w:pPr>
        <w:pStyle w:val="26"/>
        <w:spacing w:line="560" w:lineRule="exact"/>
        <w:ind w:firstLine="640" w:firstLineChars="200"/>
        <w:rPr>
          <w:rFonts w:ascii="仿宋_GB2312" w:eastAsia="仿宋_GB2312"/>
          <w:sz w:val="32"/>
          <w:szCs w:val="32"/>
        </w:rPr>
      </w:pPr>
      <w:r>
        <w:rPr>
          <w:rFonts w:ascii="仿宋_GB2312" w:eastAsia="仿宋_GB2312"/>
          <w:sz w:val="32"/>
          <w:szCs w:val="32"/>
        </w:rPr>
        <w:t>2.</w:t>
      </w:r>
      <w:r>
        <w:rPr>
          <w:rFonts w:hint="eastAsia" w:ascii="仿宋_GB2312" w:eastAsia="仿宋_GB2312"/>
          <w:sz w:val="32"/>
          <w:szCs w:val="32"/>
        </w:rPr>
        <w:t>事业收入：指事业单位开展专业业务活动及辅助活动取得的收入。如…（二级预算单位事业收入情况）等。</w:t>
      </w:r>
    </w:p>
    <w:p w14:paraId="15724785">
      <w:pPr>
        <w:pStyle w:val="26"/>
        <w:spacing w:line="560" w:lineRule="exact"/>
        <w:ind w:firstLine="640" w:firstLineChars="200"/>
        <w:rPr>
          <w:rFonts w:ascii="仿宋_GB2312" w:eastAsia="仿宋_GB2312"/>
          <w:sz w:val="32"/>
          <w:szCs w:val="32"/>
        </w:rPr>
      </w:pPr>
      <w:r>
        <w:rPr>
          <w:rFonts w:ascii="仿宋_GB2312" w:eastAsia="仿宋_GB2312"/>
          <w:sz w:val="32"/>
          <w:szCs w:val="32"/>
        </w:rPr>
        <w:t>3.</w:t>
      </w:r>
      <w:r>
        <w:rPr>
          <w:rFonts w:hint="eastAsia" w:ascii="仿宋_GB2312" w:eastAsia="仿宋_GB2312"/>
          <w:sz w:val="32"/>
          <w:szCs w:val="32"/>
        </w:rPr>
        <w:t>经营收入：指事业单位在专业业务活动及其辅助活动之外开展非独立核算经营活动取得的收入。如…（二级预算单位经营收入情况）等。</w:t>
      </w:r>
    </w:p>
    <w:p w14:paraId="3B93CA44">
      <w:pPr>
        <w:pStyle w:val="26"/>
        <w:spacing w:line="560" w:lineRule="exact"/>
        <w:ind w:firstLine="640" w:firstLineChars="200"/>
        <w:rPr>
          <w:rFonts w:ascii="仿宋_GB2312" w:eastAsia="仿宋_GB2312"/>
          <w:sz w:val="32"/>
          <w:szCs w:val="32"/>
        </w:rPr>
      </w:pPr>
      <w:r>
        <w:rPr>
          <w:rFonts w:ascii="仿宋_GB2312" w:eastAsia="仿宋_GB2312"/>
          <w:sz w:val="32"/>
          <w:szCs w:val="32"/>
        </w:rPr>
        <w:t>4.</w:t>
      </w:r>
      <w:r>
        <w:rPr>
          <w:rFonts w:hint="eastAsia" w:ascii="仿宋_GB2312" w:eastAsia="仿宋_GB2312"/>
          <w:sz w:val="32"/>
          <w:szCs w:val="32"/>
        </w:rPr>
        <w:t>其他收入：指单位取得的除上述收入以外的各项收入。主要是…（收入类型）等。</w:t>
      </w:r>
    </w:p>
    <w:p w14:paraId="7DA3FACF">
      <w:pPr>
        <w:pStyle w:val="26"/>
        <w:spacing w:line="560" w:lineRule="exact"/>
        <w:ind w:firstLine="640" w:firstLineChars="200"/>
        <w:rPr>
          <w:rFonts w:ascii="仿宋_GB2312" w:eastAsia="仿宋_GB2312"/>
          <w:sz w:val="32"/>
          <w:szCs w:val="32"/>
        </w:rPr>
      </w:pPr>
      <w:r>
        <w:rPr>
          <w:rFonts w:ascii="仿宋_GB2312" w:eastAsia="仿宋_GB2312"/>
          <w:sz w:val="32"/>
          <w:szCs w:val="32"/>
        </w:rPr>
        <w:t>5.</w:t>
      </w:r>
      <w:r>
        <w:rPr>
          <w:rFonts w:hint="eastAsia" w:ascii="仿宋_GB2312" w:eastAsia="仿宋_GB2312"/>
          <w:sz w:val="32"/>
          <w:szCs w:val="32"/>
        </w:rPr>
        <w:t>用事业基金弥补收支差额：指事业单位在当年的财政拨款收入、事业收入、经营收入、其他收入不足以安排当年支出的情况下，使用以前年度积累的事业基金（事业单位当年收支相抵后按国家规定提取、用于弥补以后年度收支差额的基金）弥补本年度收支缺口的资金。</w:t>
      </w:r>
    </w:p>
    <w:p w14:paraId="1511105D">
      <w:pPr>
        <w:pStyle w:val="26"/>
        <w:spacing w:line="560" w:lineRule="exact"/>
        <w:ind w:firstLine="640" w:firstLineChars="200"/>
        <w:rPr>
          <w:rFonts w:ascii="仿宋_GB2312" w:eastAsia="仿宋_GB2312"/>
          <w:sz w:val="32"/>
          <w:szCs w:val="32"/>
        </w:rPr>
      </w:pPr>
      <w:r>
        <w:rPr>
          <w:rFonts w:ascii="仿宋_GB2312" w:eastAsia="仿宋_GB2312"/>
          <w:sz w:val="32"/>
          <w:szCs w:val="32"/>
        </w:rPr>
        <w:t>6.</w:t>
      </w:r>
      <w:r>
        <w:rPr>
          <w:rFonts w:hint="eastAsia" w:ascii="仿宋_GB2312" w:eastAsia="仿宋_GB2312"/>
          <w:sz w:val="32"/>
          <w:szCs w:val="32"/>
        </w:rPr>
        <w:t>年初结转和结余：指以前年度尚未完成、结转到本年按有关规定继续使用的资金。</w:t>
      </w:r>
    </w:p>
    <w:p w14:paraId="438BD86A">
      <w:pPr>
        <w:pStyle w:val="26"/>
        <w:spacing w:line="560" w:lineRule="exact"/>
        <w:ind w:firstLine="640" w:firstLineChars="200"/>
        <w:rPr>
          <w:rFonts w:ascii="仿宋_GB2312" w:eastAsia="仿宋_GB2312"/>
          <w:sz w:val="32"/>
          <w:szCs w:val="32"/>
        </w:rPr>
      </w:pPr>
      <w:r>
        <w:rPr>
          <w:rFonts w:ascii="仿宋_GB2312" w:eastAsia="仿宋_GB2312"/>
          <w:sz w:val="32"/>
          <w:szCs w:val="32"/>
        </w:rPr>
        <w:t>7.</w:t>
      </w:r>
      <w:r>
        <w:rPr>
          <w:rFonts w:hint="eastAsia" w:ascii="仿宋_GB2312" w:eastAsia="仿宋_GB2312"/>
          <w:sz w:val="32"/>
          <w:szCs w:val="32"/>
        </w:rPr>
        <w:t>结余分配：指事业单位按照事业单位会计制度的规定从非财政补助结余中分配的事业基金和职工福利基金等。</w:t>
      </w:r>
    </w:p>
    <w:p w14:paraId="14C30101">
      <w:pPr>
        <w:pStyle w:val="26"/>
        <w:spacing w:line="560" w:lineRule="exact"/>
        <w:ind w:firstLine="640" w:firstLineChars="200"/>
        <w:rPr>
          <w:rFonts w:ascii="仿宋_GB2312" w:eastAsia="仿宋_GB2312"/>
          <w:sz w:val="32"/>
          <w:szCs w:val="32"/>
        </w:rPr>
      </w:pPr>
      <w:r>
        <w:rPr>
          <w:rFonts w:ascii="仿宋_GB2312" w:eastAsia="仿宋_GB2312"/>
          <w:sz w:val="32"/>
          <w:szCs w:val="32"/>
        </w:rPr>
        <w:t>8</w:t>
      </w:r>
      <w:r>
        <w:rPr>
          <w:rFonts w:hint="eastAsia" w:ascii="仿宋_GB2312" w:eastAsia="仿宋_GB2312"/>
          <w:sz w:val="32"/>
          <w:szCs w:val="32"/>
        </w:rPr>
        <w:t>、年末结转和结余：指单位按有关规定结转到下年或以后年度继续使用的资金。</w:t>
      </w:r>
    </w:p>
    <w:p w14:paraId="41FEC389">
      <w:pPr>
        <w:ind w:firstLine="640" w:firstLineChars="200"/>
        <w:rPr>
          <w:rFonts w:ascii="仿宋_GB2312" w:eastAsia="仿宋_GB2312"/>
          <w:color w:val="000000"/>
          <w:sz w:val="32"/>
          <w:szCs w:val="32"/>
        </w:rPr>
      </w:pPr>
      <w:r>
        <w:rPr>
          <w:rFonts w:hint="eastAsia" w:ascii="仿宋_GB2312" w:eastAsia="仿宋_GB2312"/>
          <w:color w:val="000000"/>
          <w:sz w:val="32"/>
          <w:szCs w:val="32"/>
          <w:lang w:val="en-US" w:eastAsia="zh-CN"/>
        </w:rPr>
        <w:t>9</w:t>
      </w:r>
      <w:r>
        <w:rPr>
          <w:rFonts w:ascii="仿宋_GB2312" w:eastAsia="仿宋_GB2312"/>
          <w:color w:val="000000"/>
          <w:sz w:val="32"/>
          <w:szCs w:val="32"/>
        </w:rPr>
        <w:t>.</w:t>
      </w:r>
      <w:r>
        <w:rPr>
          <w:rFonts w:hint="eastAsia" w:ascii="仿宋_GB2312" w:eastAsia="仿宋_GB2312"/>
          <w:color w:val="000000"/>
          <w:sz w:val="32"/>
          <w:szCs w:val="32"/>
        </w:rPr>
        <w:t>基本支出：指为保障机构正常运转、完成日常工作任务而发生的人员支出和公用支出。</w:t>
      </w:r>
    </w:p>
    <w:p w14:paraId="78F87908">
      <w:pPr>
        <w:ind w:firstLine="640" w:firstLineChars="200"/>
        <w:rPr>
          <w:rFonts w:ascii="仿宋_GB2312" w:eastAsia="仿宋_GB2312"/>
          <w:color w:val="000000"/>
          <w:sz w:val="32"/>
          <w:szCs w:val="32"/>
        </w:rPr>
      </w:pPr>
      <w:r>
        <w:rPr>
          <w:rFonts w:hint="eastAsia" w:ascii="仿宋_GB2312" w:eastAsia="仿宋_GB2312"/>
          <w:color w:val="000000"/>
          <w:sz w:val="32"/>
          <w:szCs w:val="32"/>
          <w:lang w:val="en-US" w:eastAsia="zh-CN"/>
        </w:rPr>
        <w:t>10</w:t>
      </w:r>
      <w:r>
        <w:rPr>
          <w:rFonts w:ascii="仿宋_GB2312" w:eastAsia="仿宋_GB2312"/>
          <w:color w:val="000000"/>
          <w:sz w:val="32"/>
          <w:szCs w:val="32"/>
        </w:rPr>
        <w:t>.</w:t>
      </w:r>
      <w:r>
        <w:rPr>
          <w:rFonts w:hint="eastAsia" w:ascii="仿宋_GB2312" w:eastAsia="仿宋_GB2312"/>
          <w:color w:val="000000"/>
          <w:sz w:val="32"/>
          <w:szCs w:val="32"/>
        </w:rPr>
        <w:t>项目支出：指在基本支出之外为完成特定行政任务和事业发展目标所发生的支出。</w:t>
      </w:r>
    </w:p>
    <w:p w14:paraId="241C6184">
      <w:pPr>
        <w:ind w:firstLine="640" w:firstLineChars="200"/>
        <w:rPr>
          <w:rFonts w:ascii="仿宋_GB2312" w:eastAsia="仿宋_GB2312"/>
          <w:color w:val="000000"/>
          <w:sz w:val="32"/>
          <w:szCs w:val="32"/>
        </w:rPr>
      </w:pPr>
      <w:r>
        <w:rPr>
          <w:rFonts w:hint="eastAsia" w:ascii="仿宋_GB2312" w:eastAsia="仿宋_GB2312"/>
          <w:color w:val="000000"/>
          <w:sz w:val="32"/>
          <w:szCs w:val="32"/>
          <w:lang w:val="en-US" w:eastAsia="zh-CN"/>
        </w:rPr>
        <w:t>11</w:t>
      </w:r>
      <w:r>
        <w:rPr>
          <w:rFonts w:ascii="仿宋_GB2312" w:eastAsia="仿宋_GB2312"/>
          <w:color w:val="000000"/>
          <w:sz w:val="32"/>
          <w:szCs w:val="32"/>
        </w:rPr>
        <w:t>.</w:t>
      </w:r>
      <w:r>
        <w:rPr>
          <w:rFonts w:hint="eastAsia" w:ascii="仿宋_GB2312" w:eastAsia="仿宋_GB2312"/>
          <w:color w:val="000000"/>
          <w:sz w:val="32"/>
          <w:szCs w:val="32"/>
        </w:rPr>
        <w:t>经营支出：指事业单位在专业业务活动及其辅助活动之外开展非独立核算经营活动发生的支出。</w:t>
      </w:r>
    </w:p>
    <w:p w14:paraId="6F93A86D">
      <w:pPr>
        <w:pStyle w:val="26"/>
        <w:spacing w:line="560" w:lineRule="exact"/>
        <w:ind w:firstLine="640" w:firstLineChars="200"/>
        <w:rPr>
          <w:rFonts w:ascii="仿宋_GB2312" w:eastAsia="仿宋_GB2312"/>
          <w:sz w:val="32"/>
          <w:szCs w:val="32"/>
        </w:rPr>
      </w:pPr>
      <w:r>
        <w:rPr>
          <w:rFonts w:hint="eastAsia" w:ascii="仿宋_GB2312" w:eastAsia="仿宋_GB2312"/>
          <w:sz w:val="32"/>
          <w:szCs w:val="32"/>
          <w:lang w:val="en-US" w:eastAsia="zh-CN"/>
        </w:rPr>
        <w:t>12</w:t>
      </w:r>
      <w:r>
        <w:rPr>
          <w:rFonts w:ascii="仿宋_GB2312" w:eastAsia="仿宋_GB2312"/>
          <w:sz w:val="32"/>
          <w:szCs w:val="32"/>
        </w:rPr>
        <w:t>.</w:t>
      </w:r>
      <w:r>
        <w:rPr>
          <w:rFonts w:hint="eastAsia" w:ascii="仿宋_GB2312" w:eastAsia="仿宋_GB2312"/>
          <w:sz w:val="32"/>
          <w:szCs w:val="32"/>
        </w:rPr>
        <w:t>“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14:paraId="3223CE0A">
      <w:pPr>
        <w:pStyle w:val="26"/>
        <w:spacing w:line="560" w:lineRule="exact"/>
        <w:ind w:firstLine="640" w:firstLineChars="200"/>
        <w:rPr>
          <w:rFonts w:ascii="仿宋_GB2312" w:eastAsia="仿宋_GB2312"/>
          <w:sz w:val="32"/>
          <w:szCs w:val="32"/>
        </w:rPr>
      </w:pPr>
      <w:r>
        <w:rPr>
          <w:rFonts w:hint="eastAsia" w:ascii="仿宋_GB2312" w:eastAsia="仿宋_GB2312"/>
          <w:sz w:val="32"/>
          <w:szCs w:val="32"/>
          <w:lang w:val="en-US" w:eastAsia="zh-CN"/>
        </w:rPr>
        <w:t>13</w:t>
      </w:r>
      <w:r>
        <w:rPr>
          <w:rFonts w:ascii="仿宋_GB2312" w:eastAsia="仿宋_GB2312"/>
          <w:sz w:val="32"/>
          <w:szCs w:val="32"/>
        </w:rPr>
        <w:t>.</w:t>
      </w:r>
      <w:r>
        <w:rPr>
          <w:rFonts w:hint="eastAsia" w:ascii="仿宋_GB2312" w:eastAsia="仿宋_GB2312"/>
          <w:sz w:val="32"/>
          <w:szCs w:val="32"/>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74E32C09">
      <w:pPr>
        <w:spacing w:line="600" w:lineRule="exact"/>
        <w:jc w:val="center"/>
        <w:outlineLvl w:val="0"/>
        <w:rPr>
          <w:rStyle w:val="17"/>
          <w:rFonts w:ascii="黑体" w:hAnsi="黑体" w:eastAsia="黑体"/>
          <w:b w:val="0"/>
        </w:rPr>
      </w:pPr>
      <w:bookmarkStart w:id="51" w:name="_Toc15377226"/>
      <w:r>
        <w:rPr>
          <w:rFonts w:ascii="宋体"/>
          <w:b/>
          <w:color w:val="000000"/>
          <w:sz w:val="44"/>
          <w:szCs w:val="44"/>
        </w:rPr>
        <w:br w:type="page"/>
      </w:r>
      <w:bookmarkStart w:id="52" w:name="_Toc15396614"/>
      <w:r>
        <w:rPr>
          <w:rFonts w:hint="eastAsia" w:ascii="黑体" w:hAnsi="黑体" w:eastAsia="黑体"/>
          <w:color w:val="000000"/>
          <w:sz w:val="44"/>
          <w:szCs w:val="44"/>
        </w:rPr>
        <w:t>第</w:t>
      </w:r>
      <w:r>
        <w:rPr>
          <w:rStyle w:val="17"/>
          <w:rFonts w:hint="eastAsia" w:ascii="黑体" w:hAnsi="黑体" w:eastAsia="黑体"/>
          <w:b w:val="0"/>
        </w:rPr>
        <w:t>四部分</w:t>
      </w:r>
      <w:r>
        <w:rPr>
          <w:rStyle w:val="17"/>
          <w:rFonts w:ascii="黑体" w:hAnsi="黑体" w:eastAsia="黑体"/>
          <w:b w:val="0"/>
        </w:rPr>
        <w:t xml:space="preserve"> </w:t>
      </w:r>
      <w:r>
        <w:rPr>
          <w:rStyle w:val="17"/>
          <w:rFonts w:hint="eastAsia" w:ascii="黑体" w:hAnsi="黑体" w:eastAsia="黑体"/>
          <w:b w:val="0"/>
        </w:rPr>
        <w:t>附件</w:t>
      </w:r>
      <w:bookmarkEnd w:id="52"/>
    </w:p>
    <w:p w14:paraId="589E26AC">
      <w:pPr>
        <w:spacing w:line="600" w:lineRule="exact"/>
        <w:jc w:val="center"/>
        <w:outlineLvl w:val="0"/>
        <w:rPr>
          <w:rStyle w:val="17"/>
        </w:rPr>
      </w:pPr>
    </w:p>
    <w:p w14:paraId="6A03108C">
      <w:pPr>
        <w:pStyle w:val="3"/>
        <w:rPr>
          <w:rStyle w:val="17"/>
          <w:rFonts w:ascii="仿宋" w:hAnsi="仿宋" w:eastAsia="仿宋"/>
          <w:b w:val="0"/>
          <w:bCs w:val="0"/>
          <w:sz w:val="32"/>
          <w:szCs w:val="32"/>
        </w:rPr>
      </w:pPr>
      <w:bookmarkStart w:id="53" w:name="_Toc15396615"/>
      <w:r>
        <w:rPr>
          <w:rStyle w:val="17"/>
          <w:rFonts w:hint="eastAsia" w:ascii="仿宋" w:hAnsi="仿宋" w:eastAsia="仿宋"/>
          <w:b w:val="0"/>
          <w:bCs w:val="0"/>
          <w:sz w:val="32"/>
          <w:szCs w:val="32"/>
        </w:rPr>
        <w:t>附件</w:t>
      </w:r>
      <w:r>
        <w:rPr>
          <w:rStyle w:val="17"/>
          <w:rFonts w:ascii="仿宋" w:hAnsi="仿宋" w:eastAsia="仿宋"/>
          <w:b w:val="0"/>
          <w:bCs w:val="0"/>
          <w:sz w:val="32"/>
          <w:szCs w:val="32"/>
        </w:rPr>
        <w:t>1</w:t>
      </w:r>
      <w:bookmarkEnd w:id="53"/>
    </w:p>
    <w:p w14:paraId="0AB0B69C">
      <w:pPr>
        <w:widowControl/>
        <w:shd w:val="clear" w:color="auto" w:fill="FFFFFF"/>
        <w:spacing w:line="600" w:lineRule="atLeast"/>
        <w:ind w:firstLine="640"/>
        <w:jc w:val="center"/>
        <w:rPr>
          <w:rFonts w:hint="eastAsia" w:ascii="楷体" w:hAnsi="楷体" w:eastAsia="楷体"/>
          <w:color w:val="333333"/>
          <w:spacing w:val="-2"/>
          <w:kern w:val="0"/>
          <w:sz w:val="44"/>
          <w:szCs w:val="44"/>
        </w:rPr>
      </w:pPr>
      <w:bookmarkStart w:id="54" w:name="_Toc15396616"/>
      <w:r>
        <w:rPr>
          <w:rFonts w:hint="eastAsia" w:ascii="楷体" w:hAnsi="楷体" w:eastAsia="楷体"/>
          <w:color w:val="333333"/>
          <w:spacing w:val="-2"/>
          <w:kern w:val="0"/>
          <w:sz w:val="44"/>
          <w:szCs w:val="44"/>
        </w:rPr>
        <w:t>攀枝花市仁和区大龙潭乡中心学校</w:t>
      </w:r>
    </w:p>
    <w:p w14:paraId="73395F84">
      <w:pPr>
        <w:widowControl/>
        <w:shd w:val="clear" w:color="auto" w:fill="FFFFFF"/>
        <w:spacing w:line="600" w:lineRule="atLeast"/>
        <w:ind w:firstLine="640"/>
        <w:jc w:val="center"/>
        <w:rPr>
          <w:rFonts w:hint="eastAsia" w:ascii="楷体" w:hAnsi="楷体" w:eastAsia="楷体"/>
          <w:color w:val="333333"/>
          <w:spacing w:val="-2"/>
          <w:kern w:val="0"/>
          <w:sz w:val="44"/>
          <w:szCs w:val="44"/>
        </w:rPr>
      </w:pPr>
      <w:r>
        <w:rPr>
          <w:rFonts w:hint="eastAsia" w:ascii="楷体" w:hAnsi="楷体" w:eastAsia="楷体"/>
          <w:color w:val="333333"/>
          <w:spacing w:val="-2"/>
          <w:kern w:val="0"/>
          <w:sz w:val="44"/>
          <w:szCs w:val="44"/>
        </w:rPr>
        <w:t>2018年度部门支出绩效评价自评报告</w:t>
      </w:r>
    </w:p>
    <w:p w14:paraId="50686F7A">
      <w:pPr>
        <w:widowControl/>
        <w:numPr>
          <w:ilvl w:val="0"/>
          <w:numId w:val="5"/>
        </w:numPr>
        <w:shd w:val="clear" w:color="auto" w:fill="FFFFFF"/>
        <w:spacing w:line="600" w:lineRule="atLeast"/>
        <w:ind w:right="-105" w:rightChars="-50"/>
        <w:rPr>
          <w:rFonts w:hint="eastAsia" w:ascii="宋体" w:hAnsi="宋体"/>
          <w:b/>
          <w:color w:val="333333"/>
          <w:spacing w:val="-2"/>
          <w:kern w:val="0"/>
          <w:sz w:val="28"/>
          <w:szCs w:val="28"/>
        </w:rPr>
      </w:pPr>
      <w:r>
        <w:rPr>
          <w:rFonts w:hint="eastAsia" w:ascii="宋体" w:hAnsi="宋体"/>
          <w:b/>
          <w:color w:val="333333"/>
          <w:spacing w:val="-2"/>
          <w:kern w:val="0"/>
          <w:sz w:val="28"/>
          <w:szCs w:val="28"/>
        </w:rPr>
        <w:t>部门概况</w:t>
      </w:r>
    </w:p>
    <w:p w14:paraId="59724A02">
      <w:pPr>
        <w:widowControl/>
        <w:shd w:val="clear" w:color="auto" w:fill="FFFFFF"/>
        <w:spacing w:line="600" w:lineRule="atLeast"/>
        <w:ind w:left="660" w:right="-105" w:rightChars="-50"/>
        <w:rPr>
          <w:rFonts w:ascii="宋体" w:hAnsi="宋体"/>
          <w:color w:val="333333"/>
          <w:spacing w:val="-2"/>
          <w:kern w:val="0"/>
          <w:sz w:val="28"/>
          <w:szCs w:val="28"/>
        </w:rPr>
      </w:pPr>
      <w:r>
        <w:rPr>
          <w:rFonts w:hint="eastAsia" w:ascii="宋体" w:hAnsi="宋体"/>
          <w:color w:val="333333"/>
          <w:spacing w:val="-2"/>
          <w:kern w:val="0"/>
          <w:sz w:val="28"/>
          <w:szCs w:val="28"/>
        </w:rPr>
        <w:t>（一）基本情况</w:t>
      </w:r>
    </w:p>
    <w:p w14:paraId="7B1CD518">
      <w:pPr>
        <w:ind w:right="-105" w:rightChars="-50" w:firstLine="560" w:firstLineChars="200"/>
        <w:rPr>
          <w:rFonts w:hint="eastAsia" w:ascii="宋体" w:hAnsi="宋体"/>
          <w:sz w:val="28"/>
          <w:szCs w:val="28"/>
        </w:rPr>
      </w:pPr>
      <w:r>
        <w:rPr>
          <w:rFonts w:hint="eastAsia" w:ascii="宋体" w:hAnsi="宋体"/>
          <w:sz w:val="28"/>
          <w:szCs w:val="28"/>
        </w:rPr>
        <w:t>攀枝花市仁和区大龙潭乡中心学校是一所全日制公办农村小学，隶属于攀枝花市仁和区教育和体育局，学校总编制67人，现有在岗在职教职工61人，其中：事业人员60人，工勤人员1人；离退休人员42人；义务教育阶段在校学生725人，学前教育学生180人。</w:t>
      </w:r>
    </w:p>
    <w:p w14:paraId="44353F59">
      <w:pPr>
        <w:ind w:right="-105" w:rightChars="-50" w:firstLine="560" w:firstLineChars="200"/>
        <w:rPr>
          <w:rFonts w:ascii="宋体" w:hAnsi="宋体"/>
          <w:sz w:val="28"/>
          <w:szCs w:val="28"/>
        </w:rPr>
      </w:pPr>
      <w:r>
        <w:rPr>
          <w:rFonts w:hint="eastAsia" w:ascii="宋体" w:hAnsi="宋体"/>
          <w:sz w:val="28"/>
          <w:szCs w:val="28"/>
        </w:rPr>
        <w:t>（二）基本职能：认真贯彻落实党和国家的教育方针、政策，正确执行上级主管部门的决议和指示，全面实施素质教育，促进基础教育发展，完成小学学历教育及相关社会公益服务。</w:t>
      </w:r>
    </w:p>
    <w:p w14:paraId="476476CC">
      <w:pPr>
        <w:ind w:right="-105" w:rightChars="-50"/>
        <w:rPr>
          <w:rFonts w:hint="eastAsia" w:ascii="宋体" w:hAnsi="宋体"/>
          <w:b/>
          <w:sz w:val="28"/>
          <w:szCs w:val="28"/>
        </w:rPr>
      </w:pPr>
      <w:r>
        <w:rPr>
          <w:rFonts w:hint="eastAsia" w:ascii="宋体" w:hAnsi="宋体"/>
          <w:b/>
          <w:sz w:val="28"/>
          <w:szCs w:val="28"/>
        </w:rPr>
        <w:t>二、部门财政资金收支情况</w:t>
      </w:r>
    </w:p>
    <w:p w14:paraId="3B60614B">
      <w:pPr>
        <w:ind w:left="420" w:right="-105" w:rightChars="-50"/>
        <w:rPr>
          <w:rFonts w:hint="eastAsia" w:ascii="宋体" w:hAnsi="宋体"/>
          <w:sz w:val="28"/>
          <w:szCs w:val="28"/>
        </w:rPr>
      </w:pPr>
      <w:r>
        <w:rPr>
          <w:rFonts w:hint="eastAsia" w:ascii="宋体" w:hAnsi="宋体"/>
          <w:sz w:val="28"/>
          <w:szCs w:val="28"/>
        </w:rPr>
        <w:t>（一）部门财政资金收入情况。</w:t>
      </w:r>
    </w:p>
    <w:p w14:paraId="7254053F">
      <w:pPr>
        <w:ind w:left="420" w:right="-105" w:rightChars="-50"/>
        <w:rPr>
          <w:rFonts w:hint="eastAsia" w:ascii="宋体" w:hAnsi="宋体"/>
          <w:sz w:val="28"/>
          <w:szCs w:val="28"/>
        </w:rPr>
      </w:pPr>
      <w:r>
        <w:rPr>
          <w:rFonts w:hint="eastAsia" w:ascii="宋体" w:hAnsi="宋体"/>
          <w:sz w:val="28"/>
          <w:szCs w:val="28"/>
        </w:rPr>
        <w:t>1、一般公共预算财政拨款收入1180.12万元。</w:t>
      </w:r>
    </w:p>
    <w:p w14:paraId="5677D5A7">
      <w:pPr>
        <w:ind w:left="420" w:right="-105" w:rightChars="-50"/>
        <w:rPr>
          <w:rFonts w:hint="eastAsia" w:ascii="宋体" w:hAnsi="宋体"/>
          <w:sz w:val="28"/>
          <w:szCs w:val="28"/>
        </w:rPr>
      </w:pPr>
      <w:r>
        <w:rPr>
          <w:rFonts w:hint="eastAsia" w:ascii="宋体" w:hAnsi="宋体"/>
          <w:sz w:val="28"/>
          <w:szCs w:val="28"/>
        </w:rPr>
        <w:t>2、政府性基金预算财政拨款收入3.2万元。</w:t>
      </w:r>
    </w:p>
    <w:p w14:paraId="330676AA">
      <w:pPr>
        <w:ind w:left="420" w:right="-105" w:rightChars="-50"/>
        <w:rPr>
          <w:rFonts w:hint="eastAsia" w:ascii="宋体" w:hAnsi="宋体"/>
          <w:sz w:val="28"/>
          <w:szCs w:val="28"/>
        </w:rPr>
      </w:pPr>
      <w:r>
        <w:rPr>
          <w:rFonts w:hint="eastAsia" w:ascii="宋体" w:hAnsi="宋体"/>
          <w:sz w:val="28"/>
          <w:szCs w:val="28"/>
        </w:rPr>
        <w:t>3、年初结转和结余158.93万元。</w:t>
      </w:r>
    </w:p>
    <w:p w14:paraId="2C725ECC">
      <w:pPr>
        <w:ind w:left="420" w:right="-105" w:rightChars="-50"/>
        <w:rPr>
          <w:rFonts w:hint="eastAsia" w:ascii="宋体" w:hAnsi="宋体"/>
          <w:sz w:val="28"/>
          <w:szCs w:val="28"/>
        </w:rPr>
      </w:pPr>
      <w:r>
        <w:rPr>
          <w:rFonts w:hint="eastAsia" w:ascii="宋体" w:hAnsi="宋体"/>
          <w:sz w:val="28"/>
          <w:szCs w:val="28"/>
        </w:rPr>
        <w:t>合计收入1342.25万元。</w:t>
      </w:r>
    </w:p>
    <w:p w14:paraId="27D55D08">
      <w:pPr>
        <w:ind w:left="420" w:right="-105" w:rightChars="-50"/>
        <w:rPr>
          <w:rFonts w:hint="eastAsia" w:ascii="宋体" w:hAnsi="宋体"/>
          <w:sz w:val="28"/>
          <w:szCs w:val="28"/>
        </w:rPr>
      </w:pPr>
      <w:r>
        <w:rPr>
          <w:rFonts w:hint="eastAsia" w:ascii="宋体" w:hAnsi="宋体"/>
          <w:sz w:val="28"/>
          <w:szCs w:val="28"/>
        </w:rPr>
        <w:t>（二）部门财政资金支出情况。</w:t>
      </w:r>
    </w:p>
    <w:p w14:paraId="597E1039">
      <w:pPr>
        <w:pStyle w:val="12"/>
        <w:spacing w:before="0" w:beforeAutospacing="0" w:after="0" w:afterAutospacing="0"/>
        <w:ind w:right="-105" w:rightChars="-50" w:firstLine="560" w:firstLineChars="200"/>
        <w:jc w:val="both"/>
        <w:rPr>
          <w:rFonts w:cs="Times New Roman"/>
          <w:color w:val="000000"/>
          <w:sz w:val="28"/>
          <w:szCs w:val="28"/>
        </w:rPr>
      </w:pPr>
      <w:r>
        <w:rPr>
          <w:rFonts w:hint="eastAsia" w:cs="Times New Roman"/>
          <w:color w:val="000000"/>
          <w:sz w:val="28"/>
          <w:szCs w:val="28"/>
        </w:rPr>
        <w:t>本年度经费支出合计1240.33万元。其中工资福利支出823.35万元；商品和服务支出173.27万元；对个人和家庭补助支出172.01万元；其他资本性支出65.78万元；项目支出结转和结余101.91万元。</w:t>
      </w:r>
    </w:p>
    <w:p w14:paraId="7A0F2B3E">
      <w:pPr>
        <w:widowControl/>
        <w:spacing w:line="480" w:lineRule="auto"/>
        <w:ind w:right="-105" w:rightChars="-50" w:firstLine="480"/>
        <w:rPr>
          <w:rFonts w:hint="eastAsia" w:ascii="宋体" w:hAnsi="宋体" w:cs="宋体"/>
          <w:color w:val="333333"/>
          <w:kern w:val="0"/>
          <w:sz w:val="28"/>
          <w:szCs w:val="28"/>
        </w:rPr>
      </w:pPr>
      <w:r>
        <w:rPr>
          <w:rFonts w:hint="eastAsia" w:ascii="宋体" w:hAnsi="宋体"/>
          <w:color w:val="000000"/>
          <w:sz w:val="28"/>
          <w:szCs w:val="28"/>
        </w:rPr>
        <w:t>区教育和体育局建立健全了资金分配规程和各项财务管理制度，成立了教育财务审核中心，制定了财务报账审批制度，修订完善了会议费、公务接待费、差旅报销管理办法。严格执行因公出国（境）、公务接待和公务用车购置及运行维护政策规定，学校“三公”经费得到有效控制，2018年没有因公出国（境）费支出；没有公务接待费支出。</w:t>
      </w:r>
    </w:p>
    <w:p w14:paraId="609A4A78">
      <w:pPr>
        <w:ind w:right="-105" w:rightChars="-50"/>
        <w:rPr>
          <w:rFonts w:hint="eastAsia" w:ascii="宋体" w:hAnsi="宋体"/>
          <w:b/>
          <w:sz w:val="28"/>
          <w:szCs w:val="28"/>
        </w:rPr>
      </w:pPr>
      <w:r>
        <w:rPr>
          <w:rFonts w:hint="eastAsia" w:ascii="宋体" w:hAnsi="宋体"/>
          <w:b/>
          <w:sz w:val="28"/>
          <w:szCs w:val="28"/>
        </w:rPr>
        <w:t>三、部门财政支出管理情况</w:t>
      </w:r>
      <w:bookmarkStart w:id="70" w:name="_GoBack"/>
      <w:bookmarkEnd w:id="70"/>
    </w:p>
    <w:p w14:paraId="12653907">
      <w:pPr>
        <w:ind w:left="420" w:right="-105" w:rightChars="-50"/>
        <w:rPr>
          <w:rFonts w:hint="eastAsia" w:ascii="宋体" w:hAnsi="宋体"/>
          <w:sz w:val="28"/>
          <w:szCs w:val="28"/>
        </w:rPr>
      </w:pPr>
      <w:r>
        <w:rPr>
          <w:rFonts w:hint="eastAsia" w:ascii="宋体" w:hAnsi="宋体"/>
          <w:sz w:val="28"/>
          <w:szCs w:val="28"/>
        </w:rPr>
        <w:t>（一）预算编制情况。</w:t>
      </w:r>
    </w:p>
    <w:p w14:paraId="5BA011D7">
      <w:pPr>
        <w:ind w:right="-105" w:rightChars="-50" w:firstLine="560" w:firstLineChars="200"/>
        <w:jc w:val="left"/>
        <w:rPr>
          <w:rFonts w:hint="eastAsia" w:ascii="宋体" w:hAnsi="宋体"/>
          <w:sz w:val="28"/>
          <w:szCs w:val="28"/>
        </w:rPr>
      </w:pPr>
      <w:r>
        <w:rPr>
          <w:rFonts w:hint="eastAsia" w:ascii="宋体" w:hAnsi="宋体"/>
          <w:sz w:val="28"/>
          <w:szCs w:val="28"/>
        </w:rPr>
        <w:t>部门预算按照区级部门预算编制通知要求编制，编制规范、科目使用正确、公用经费按照区级部门预算编制标准计算，并且细化经济科目。</w:t>
      </w:r>
    </w:p>
    <w:p w14:paraId="505BC714">
      <w:pPr>
        <w:ind w:left="420" w:right="-105" w:rightChars="-50"/>
        <w:rPr>
          <w:rFonts w:hint="eastAsia" w:ascii="宋体" w:hAnsi="宋体"/>
          <w:sz w:val="28"/>
          <w:szCs w:val="28"/>
        </w:rPr>
      </w:pPr>
      <w:r>
        <w:rPr>
          <w:rFonts w:hint="eastAsia" w:ascii="宋体" w:hAnsi="宋体"/>
          <w:sz w:val="28"/>
          <w:szCs w:val="28"/>
        </w:rPr>
        <w:t xml:space="preserve">（二）执行管理情况。 </w:t>
      </w:r>
    </w:p>
    <w:p w14:paraId="4FFB5F25">
      <w:pPr>
        <w:ind w:left="420" w:right="-105" w:rightChars="-50" w:firstLine="420" w:firstLineChars="150"/>
        <w:rPr>
          <w:rFonts w:hint="eastAsia" w:ascii="宋体" w:hAnsi="宋体"/>
          <w:sz w:val="28"/>
          <w:szCs w:val="28"/>
        </w:rPr>
      </w:pPr>
      <w:r>
        <w:rPr>
          <w:rFonts w:hint="eastAsia" w:ascii="宋体" w:hAnsi="宋体"/>
          <w:sz w:val="28"/>
          <w:szCs w:val="28"/>
        </w:rPr>
        <w:t>根据部门预算，严格执行预算数。</w:t>
      </w:r>
      <w:r>
        <w:rPr>
          <w:rFonts w:hint="eastAsia" w:ascii="宋体" w:hAnsi="宋体"/>
          <w:color w:val="333333"/>
          <w:spacing w:val="-2"/>
          <w:kern w:val="0"/>
          <w:sz w:val="28"/>
          <w:szCs w:val="28"/>
        </w:rPr>
        <w:t>严格按照资金管理要求，加强资金管理，严格遵守中央和省里各项财经规章制度，严格支出标准和范围，切实提高资金使用效益，确保专款专用，无截留、挤占或挪用。</w:t>
      </w:r>
    </w:p>
    <w:p w14:paraId="73023576">
      <w:pPr>
        <w:ind w:left="420" w:right="-105" w:rightChars="-50"/>
        <w:rPr>
          <w:rFonts w:hint="eastAsia" w:ascii="宋体" w:hAnsi="宋体"/>
          <w:sz w:val="28"/>
          <w:szCs w:val="28"/>
        </w:rPr>
      </w:pPr>
      <w:r>
        <w:rPr>
          <w:rFonts w:hint="eastAsia" w:ascii="宋体" w:hAnsi="宋体"/>
          <w:sz w:val="28"/>
          <w:szCs w:val="28"/>
        </w:rPr>
        <w:t>（三）决算编制情况。</w:t>
      </w:r>
    </w:p>
    <w:p w14:paraId="51024759">
      <w:pPr>
        <w:ind w:right="-105" w:rightChars="-50" w:firstLine="560" w:firstLineChars="200"/>
        <w:rPr>
          <w:rFonts w:hint="eastAsia" w:ascii="宋体" w:hAnsi="宋体"/>
          <w:sz w:val="28"/>
          <w:szCs w:val="28"/>
        </w:rPr>
      </w:pPr>
      <w:r>
        <w:rPr>
          <w:rFonts w:hint="eastAsia" w:ascii="宋体" w:hAnsi="宋体"/>
          <w:sz w:val="28"/>
          <w:szCs w:val="28"/>
        </w:rPr>
        <w:t>根据区级部门决算编制通知的有关要求规范编制，无应编未编、错误列编、虚假混编等问题。</w:t>
      </w:r>
    </w:p>
    <w:p w14:paraId="203C480A">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15" w:after="115" w:line="334" w:lineRule="atLeast"/>
        <w:ind w:right="-105" w:rightChars="-50" w:firstLine="480"/>
        <w:jc w:val="left"/>
        <w:rPr>
          <w:rFonts w:hint="eastAsia" w:ascii="宋体" w:hAnsi="宋体"/>
          <w:sz w:val="28"/>
          <w:szCs w:val="28"/>
        </w:rPr>
      </w:pPr>
      <w:r>
        <w:rPr>
          <w:rFonts w:hint="eastAsia" w:ascii="宋体" w:hAnsi="宋体"/>
          <w:sz w:val="28"/>
          <w:szCs w:val="28"/>
        </w:rPr>
        <w:t>（四）支出绩效情况。</w:t>
      </w:r>
    </w:p>
    <w:p w14:paraId="382982FC">
      <w:pPr>
        <w:pStyle w:val="12"/>
        <w:spacing w:before="0" w:beforeAutospacing="0" w:after="0" w:afterAutospacing="0"/>
        <w:ind w:right="-105" w:rightChars="-50" w:firstLine="640"/>
        <w:jc w:val="both"/>
        <w:rPr>
          <w:rFonts w:cs="Times New Roman"/>
          <w:color w:val="000000"/>
          <w:sz w:val="28"/>
          <w:szCs w:val="28"/>
        </w:rPr>
      </w:pPr>
      <w:r>
        <w:rPr>
          <w:rFonts w:hint="eastAsia" w:cs="Times New Roman"/>
          <w:color w:val="000000"/>
          <w:sz w:val="28"/>
          <w:szCs w:val="28"/>
        </w:rPr>
        <w:t>教育基本经费的使用，力保学校教育教学工作的有效开展以及学校工作的正常运行。学校的教育发展信息技术经费、教育发展校方责任经费、教学仪器设备经费的使用，给学校教育教学设备设施得到充实，学校办学条件得到很大改善，大力推动了学校办学条件达标建设。</w:t>
      </w:r>
    </w:p>
    <w:p w14:paraId="0ED12864">
      <w:pPr>
        <w:ind w:right="-105" w:rightChars="-50"/>
        <w:rPr>
          <w:rFonts w:hint="eastAsia" w:ascii="宋体" w:hAnsi="宋体"/>
          <w:b/>
          <w:sz w:val="28"/>
          <w:szCs w:val="28"/>
        </w:rPr>
      </w:pPr>
      <w:r>
        <w:rPr>
          <w:rFonts w:hint="eastAsia" w:ascii="宋体" w:hAnsi="宋体"/>
          <w:b/>
          <w:sz w:val="28"/>
          <w:szCs w:val="28"/>
        </w:rPr>
        <w:t>四、评价结论及建议</w:t>
      </w:r>
    </w:p>
    <w:p w14:paraId="2783DA79">
      <w:pPr>
        <w:ind w:left="420" w:right="-105" w:rightChars="-50"/>
        <w:rPr>
          <w:rFonts w:hint="eastAsia" w:ascii="宋体" w:hAnsi="宋体"/>
          <w:sz w:val="28"/>
          <w:szCs w:val="28"/>
        </w:rPr>
      </w:pPr>
      <w:r>
        <w:rPr>
          <w:rFonts w:hint="eastAsia" w:ascii="宋体" w:hAnsi="宋体"/>
          <w:sz w:val="28"/>
          <w:szCs w:val="28"/>
        </w:rPr>
        <w:t>（一）评价结论。</w:t>
      </w:r>
    </w:p>
    <w:p w14:paraId="77E3642A">
      <w:pPr>
        <w:pStyle w:val="12"/>
        <w:spacing w:before="0" w:beforeAutospacing="0" w:after="0" w:afterAutospacing="0"/>
        <w:ind w:right="-105" w:rightChars="-50" w:firstLine="640"/>
        <w:jc w:val="both"/>
        <w:rPr>
          <w:rFonts w:hint="eastAsia" w:cs="Times New Roman"/>
          <w:color w:val="000000"/>
          <w:sz w:val="28"/>
          <w:szCs w:val="28"/>
        </w:rPr>
      </w:pPr>
      <w:r>
        <w:rPr>
          <w:rFonts w:hint="eastAsia" w:cs="Times New Roman"/>
          <w:color w:val="000000"/>
          <w:sz w:val="28"/>
          <w:szCs w:val="28"/>
        </w:rPr>
        <w:t>部门支出绩效自评情况：优良,自评得分：92分</w:t>
      </w:r>
    </w:p>
    <w:p w14:paraId="3AE52B34">
      <w:pPr>
        <w:ind w:left="420" w:right="-105" w:rightChars="-50"/>
        <w:rPr>
          <w:rFonts w:hint="eastAsia" w:ascii="宋体" w:hAnsi="宋体"/>
          <w:sz w:val="28"/>
          <w:szCs w:val="28"/>
        </w:rPr>
      </w:pPr>
      <w:r>
        <w:rPr>
          <w:rFonts w:hint="eastAsia" w:ascii="宋体" w:hAnsi="宋体"/>
          <w:sz w:val="28"/>
          <w:szCs w:val="28"/>
        </w:rPr>
        <w:t>（二）存在问题。</w:t>
      </w:r>
    </w:p>
    <w:p w14:paraId="797F1832">
      <w:pPr>
        <w:pStyle w:val="12"/>
        <w:spacing w:before="0" w:beforeAutospacing="0" w:after="0" w:afterAutospacing="0"/>
        <w:ind w:right="-105" w:rightChars="-50" w:firstLine="640"/>
        <w:jc w:val="both"/>
        <w:rPr>
          <w:rFonts w:cs="Times New Roman"/>
          <w:color w:val="000000"/>
          <w:sz w:val="28"/>
          <w:szCs w:val="28"/>
        </w:rPr>
      </w:pPr>
      <w:r>
        <w:rPr>
          <w:rFonts w:hint="eastAsia" w:cs="Times New Roman"/>
          <w:color w:val="000000"/>
          <w:sz w:val="28"/>
          <w:szCs w:val="28"/>
        </w:rPr>
        <w:t>学校项目预算编制前期调研、论证不充分，资金需求测算不够仔细，导致预算有偏差，有部分资金结余。</w:t>
      </w:r>
    </w:p>
    <w:p w14:paraId="34303BD3">
      <w:pPr>
        <w:pStyle w:val="12"/>
        <w:spacing w:before="0" w:beforeAutospacing="0" w:after="0" w:afterAutospacing="0"/>
        <w:ind w:right="-105" w:rightChars="-50" w:firstLine="420" w:firstLineChars="150"/>
        <w:jc w:val="both"/>
        <w:rPr>
          <w:rFonts w:cs="Times New Roman"/>
          <w:color w:val="000000"/>
          <w:sz w:val="28"/>
          <w:szCs w:val="28"/>
        </w:rPr>
      </w:pPr>
      <w:r>
        <w:rPr>
          <w:rFonts w:hint="eastAsia" w:cs="Times New Roman"/>
          <w:color w:val="000000"/>
          <w:sz w:val="28"/>
          <w:szCs w:val="28"/>
        </w:rPr>
        <w:t>（三）改进措施和有关建议：</w:t>
      </w:r>
    </w:p>
    <w:p w14:paraId="427F469B">
      <w:pPr>
        <w:pStyle w:val="12"/>
        <w:spacing w:before="0" w:beforeAutospacing="0" w:after="0" w:afterAutospacing="0"/>
        <w:ind w:right="-105" w:rightChars="-50" w:firstLine="640"/>
        <w:jc w:val="both"/>
        <w:rPr>
          <w:rFonts w:cs="Times New Roman"/>
          <w:color w:val="000000"/>
          <w:sz w:val="28"/>
          <w:szCs w:val="28"/>
        </w:rPr>
      </w:pPr>
      <w:r>
        <w:rPr>
          <w:rFonts w:hint="eastAsia" w:cs="Times New Roman"/>
          <w:color w:val="000000"/>
          <w:sz w:val="28"/>
          <w:szCs w:val="28"/>
        </w:rPr>
        <w:t>1、加强学习，</w:t>
      </w:r>
      <w:r>
        <w:rPr>
          <w:rFonts w:hint="eastAsia"/>
          <w:color w:val="333333"/>
          <w:spacing w:val="-2"/>
          <w:sz w:val="28"/>
          <w:szCs w:val="28"/>
        </w:rPr>
        <w:t>提升观念，认识预算工作的重要性，规范部门预算收支核算</w:t>
      </w:r>
      <w:r>
        <w:rPr>
          <w:rFonts w:hint="eastAsia" w:cs="Times New Roman"/>
          <w:color w:val="000000"/>
          <w:sz w:val="28"/>
          <w:szCs w:val="28"/>
        </w:rPr>
        <w:t>，切实做好预算编制工作，做好本单位情况调查，仔细测算部门资金需求，努力使预算资金合理，防止资金完成后出现结余，减少部门资金结转。</w:t>
      </w:r>
    </w:p>
    <w:p w14:paraId="6587183E">
      <w:pPr>
        <w:ind w:right="-105" w:rightChars="-50" w:firstLine="640"/>
        <w:rPr>
          <w:rFonts w:hint="eastAsia" w:ascii="宋体" w:hAnsi="宋体"/>
          <w:color w:val="000000"/>
          <w:sz w:val="28"/>
          <w:szCs w:val="28"/>
        </w:rPr>
      </w:pPr>
      <w:r>
        <w:rPr>
          <w:rFonts w:hint="eastAsia" w:ascii="宋体" w:hAnsi="宋体"/>
          <w:color w:val="000000"/>
          <w:sz w:val="28"/>
          <w:szCs w:val="28"/>
        </w:rPr>
        <w:t>2、进一步建立健全财务制度，规范财务管理，规范教育教学行为；提高教育教学质量，加强校园文化建设，加强学校廉政建设。</w:t>
      </w:r>
    </w:p>
    <w:bookmarkEnd w:id="54"/>
    <w:p w14:paraId="015B2386">
      <w:pPr>
        <w:widowControl/>
        <w:jc w:val="left"/>
        <w:rPr>
          <w:rStyle w:val="17"/>
          <w:rFonts w:hint="eastAsia" w:ascii="宋体" w:hAnsi="宋体"/>
          <w:sz w:val="30"/>
          <w:szCs w:val="30"/>
        </w:rPr>
      </w:pPr>
      <w:bookmarkStart w:id="55" w:name="_Toc15396617"/>
    </w:p>
    <w:p w14:paraId="3B6444FA">
      <w:pPr>
        <w:widowControl/>
        <w:jc w:val="left"/>
        <w:rPr>
          <w:rStyle w:val="17"/>
          <w:rFonts w:hint="eastAsia" w:ascii="宋体" w:hAnsi="宋体"/>
          <w:sz w:val="30"/>
          <w:szCs w:val="30"/>
        </w:rPr>
      </w:pPr>
    </w:p>
    <w:p w14:paraId="7B083F35">
      <w:pPr>
        <w:widowControl/>
        <w:jc w:val="left"/>
        <w:rPr>
          <w:rStyle w:val="17"/>
          <w:rFonts w:hint="eastAsia" w:ascii="宋体" w:hAnsi="宋体"/>
          <w:sz w:val="30"/>
          <w:szCs w:val="30"/>
        </w:rPr>
      </w:pPr>
    </w:p>
    <w:p w14:paraId="3383767E">
      <w:pPr>
        <w:widowControl/>
        <w:jc w:val="left"/>
        <w:rPr>
          <w:rStyle w:val="17"/>
          <w:rFonts w:hint="eastAsia" w:ascii="宋体" w:hAnsi="宋体"/>
          <w:sz w:val="30"/>
          <w:szCs w:val="30"/>
        </w:rPr>
      </w:pPr>
    </w:p>
    <w:p w14:paraId="16D7B482">
      <w:pPr>
        <w:widowControl/>
        <w:jc w:val="left"/>
        <w:rPr>
          <w:rStyle w:val="17"/>
          <w:rFonts w:hint="eastAsia" w:ascii="宋体" w:hAnsi="宋体"/>
          <w:sz w:val="30"/>
          <w:szCs w:val="30"/>
        </w:rPr>
      </w:pPr>
    </w:p>
    <w:p w14:paraId="45B110BC">
      <w:pPr>
        <w:widowControl/>
        <w:jc w:val="left"/>
        <w:rPr>
          <w:rStyle w:val="17"/>
          <w:rFonts w:ascii="宋体" w:hAnsi="宋体"/>
          <w:sz w:val="28"/>
          <w:szCs w:val="28"/>
        </w:rPr>
      </w:pPr>
      <w:r>
        <w:rPr>
          <w:rStyle w:val="17"/>
          <w:rFonts w:hint="eastAsia" w:ascii="宋体" w:hAnsi="宋体"/>
          <w:sz w:val="28"/>
          <w:szCs w:val="28"/>
        </w:rPr>
        <w:t>附件</w:t>
      </w:r>
      <w:r>
        <w:rPr>
          <w:rStyle w:val="17"/>
          <w:rFonts w:ascii="宋体" w:hAnsi="宋体"/>
          <w:sz w:val="28"/>
          <w:szCs w:val="28"/>
        </w:rPr>
        <w:t>2</w:t>
      </w:r>
      <w:bookmarkEnd w:id="55"/>
    </w:p>
    <w:p w14:paraId="7C0A83A6">
      <w:pPr>
        <w:spacing w:line="580" w:lineRule="exact"/>
        <w:jc w:val="center"/>
        <w:rPr>
          <w:rFonts w:ascii="宋体" w:cs="方正小标宋简体"/>
          <w:sz w:val="28"/>
          <w:szCs w:val="28"/>
        </w:rPr>
      </w:pPr>
      <w:r>
        <w:rPr>
          <w:rFonts w:ascii="宋体" w:hAnsi="宋体" w:cs="方正小标宋简体"/>
          <w:sz w:val="28"/>
          <w:szCs w:val="28"/>
        </w:rPr>
        <w:t>2018</w:t>
      </w:r>
      <w:r>
        <w:rPr>
          <w:rFonts w:hint="eastAsia" w:ascii="宋体" w:hAnsi="宋体" w:cs="方正小标宋简体"/>
          <w:sz w:val="28"/>
          <w:szCs w:val="28"/>
        </w:rPr>
        <w:t>年学前教育管理经费项目支出绩效</w:t>
      </w:r>
    </w:p>
    <w:p w14:paraId="11B4B6C7">
      <w:pPr>
        <w:spacing w:line="580" w:lineRule="exact"/>
        <w:jc w:val="center"/>
        <w:rPr>
          <w:rFonts w:ascii="宋体" w:cs="方正小标宋简体"/>
          <w:sz w:val="28"/>
          <w:szCs w:val="28"/>
        </w:rPr>
      </w:pPr>
      <w:r>
        <w:rPr>
          <w:rFonts w:hint="eastAsia" w:ascii="宋体" w:hAnsi="宋体" w:cs="方正小标宋简体"/>
          <w:sz w:val="28"/>
          <w:szCs w:val="28"/>
        </w:rPr>
        <w:t>评价报告</w:t>
      </w:r>
    </w:p>
    <w:p w14:paraId="057EB831">
      <w:pPr>
        <w:spacing w:line="580" w:lineRule="exact"/>
        <w:ind w:firstLine="560" w:firstLineChars="200"/>
        <w:rPr>
          <w:rFonts w:ascii="宋体" w:cs="仿宋_GB2312"/>
          <w:sz w:val="28"/>
          <w:szCs w:val="28"/>
        </w:rPr>
      </w:pPr>
    </w:p>
    <w:p w14:paraId="3B37E197">
      <w:pPr>
        <w:spacing w:line="580" w:lineRule="exact"/>
        <w:ind w:firstLine="560" w:firstLineChars="200"/>
        <w:rPr>
          <w:rFonts w:ascii="宋体" w:cs="仿宋_GB2312"/>
          <w:sz w:val="28"/>
          <w:szCs w:val="28"/>
        </w:rPr>
      </w:pPr>
      <w:r>
        <w:rPr>
          <w:rFonts w:hint="eastAsia" w:ascii="宋体" w:hAnsi="宋体" w:cs="仿宋_GB2312"/>
          <w:sz w:val="28"/>
          <w:szCs w:val="28"/>
        </w:rPr>
        <w:t>一、评价工作开展及项目情况</w:t>
      </w:r>
    </w:p>
    <w:p w14:paraId="0E7D4E56">
      <w:pPr>
        <w:ind w:firstLine="560" w:firstLineChars="200"/>
        <w:rPr>
          <w:rFonts w:ascii="宋体"/>
          <w:sz w:val="28"/>
          <w:szCs w:val="28"/>
        </w:rPr>
      </w:pPr>
      <w:r>
        <w:rPr>
          <w:rFonts w:hint="eastAsia" w:ascii="宋体" w:hAnsi="宋体"/>
          <w:sz w:val="28"/>
          <w:szCs w:val="28"/>
        </w:rPr>
        <w:t>做好项目前期准备工作，全面改善学校办学条件，提升办学水平，推进学前教育持续健康发展。</w:t>
      </w:r>
    </w:p>
    <w:p w14:paraId="53BB31A3">
      <w:pPr>
        <w:ind w:firstLine="560" w:firstLineChars="200"/>
        <w:rPr>
          <w:rFonts w:ascii="宋体"/>
          <w:sz w:val="28"/>
          <w:szCs w:val="28"/>
        </w:rPr>
      </w:pPr>
      <w:r>
        <w:rPr>
          <w:rFonts w:hint="eastAsia" w:ascii="宋体" w:hAnsi="宋体" w:cs="仿宋_GB2312"/>
          <w:sz w:val="28"/>
          <w:szCs w:val="28"/>
        </w:rPr>
        <w:t>二、评价结论及绩效分析</w:t>
      </w:r>
    </w:p>
    <w:p w14:paraId="3A62BE9D">
      <w:pPr>
        <w:spacing w:line="580" w:lineRule="exact"/>
        <w:ind w:firstLine="560" w:firstLineChars="200"/>
        <w:rPr>
          <w:rFonts w:ascii="宋体" w:cs="仿宋_GB2312"/>
          <w:sz w:val="28"/>
          <w:szCs w:val="28"/>
        </w:rPr>
      </w:pPr>
      <w:r>
        <w:rPr>
          <w:rFonts w:hint="eastAsia" w:ascii="宋体" w:hAnsi="宋体" w:cs="仿宋_GB2312"/>
          <w:sz w:val="28"/>
          <w:szCs w:val="28"/>
        </w:rPr>
        <w:t>（一）评价结论</w:t>
      </w:r>
    </w:p>
    <w:p w14:paraId="72356F48">
      <w:pPr>
        <w:spacing w:line="580" w:lineRule="exact"/>
        <w:ind w:firstLine="560" w:firstLineChars="200"/>
        <w:rPr>
          <w:rFonts w:ascii="宋体"/>
          <w:sz w:val="28"/>
          <w:szCs w:val="28"/>
        </w:rPr>
      </w:pPr>
      <w:r>
        <w:rPr>
          <w:rFonts w:hint="eastAsia" w:ascii="宋体" w:hAnsi="宋体"/>
          <w:sz w:val="28"/>
          <w:szCs w:val="28"/>
        </w:rPr>
        <w:t>通过项目的实施，确保学生安全、舒适的学习条件，保证充足的学习精力，专心地听课。学生学习成绩大踏步前进，创造良好的经济效益和社会效益，深受广大居民欢迎。</w:t>
      </w:r>
    </w:p>
    <w:p w14:paraId="5702B509">
      <w:pPr>
        <w:spacing w:line="580" w:lineRule="exact"/>
        <w:ind w:firstLine="560" w:firstLineChars="200"/>
        <w:rPr>
          <w:rFonts w:ascii="宋体" w:cs="仿宋_GB2312"/>
          <w:sz w:val="28"/>
          <w:szCs w:val="28"/>
        </w:rPr>
      </w:pPr>
      <w:r>
        <w:rPr>
          <w:rFonts w:hint="eastAsia" w:ascii="宋体" w:hAnsi="宋体" w:cs="仿宋_GB2312"/>
          <w:sz w:val="28"/>
          <w:szCs w:val="28"/>
        </w:rPr>
        <w:t>（二）绩效分析</w:t>
      </w:r>
    </w:p>
    <w:p w14:paraId="636F2BA3">
      <w:pPr>
        <w:spacing w:line="580" w:lineRule="exact"/>
        <w:ind w:firstLine="560" w:firstLineChars="200"/>
        <w:rPr>
          <w:rFonts w:ascii="宋体" w:cs="仿宋_GB2312"/>
          <w:sz w:val="28"/>
          <w:szCs w:val="28"/>
        </w:rPr>
      </w:pPr>
      <w:r>
        <w:rPr>
          <w:rFonts w:ascii="宋体" w:hAnsi="宋体" w:cs="仿宋_GB2312"/>
          <w:sz w:val="28"/>
          <w:szCs w:val="28"/>
        </w:rPr>
        <w:t>1</w:t>
      </w:r>
      <w:r>
        <w:rPr>
          <w:rFonts w:hint="eastAsia" w:ascii="宋体" w:hAnsi="宋体" w:cs="仿宋_GB2312"/>
          <w:sz w:val="28"/>
          <w:szCs w:val="28"/>
        </w:rPr>
        <w:t>、项目决策</w:t>
      </w:r>
    </w:p>
    <w:p w14:paraId="51068F9A">
      <w:pPr>
        <w:spacing w:line="580" w:lineRule="exact"/>
        <w:ind w:firstLine="560" w:firstLineChars="200"/>
        <w:rPr>
          <w:rFonts w:ascii="宋体" w:hAnsi="宋体"/>
          <w:sz w:val="28"/>
          <w:szCs w:val="28"/>
        </w:rPr>
      </w:pPr>
      <w:r>
        <w:rPr>
          <w:rFonts w:hint="eastAsia" w:ascii="宋体" w:hAnsi="宋体"/>
          <w:sz w:val="28"/>
          <w:szCs w:val="28"/>
        </w:rPr>
        <w:t>项目预算使用合理，无超支；项目的实施进度按规定时间完成工作量。</w:t>
      </w:r>
      <w:r>
        <w:rPr>
          <w:rFonts w:ascii="宋体" w:hAnsi="宋体"/>
          <w:sz w:val="28"/>
          <w:szCs w:val="28"/>
        </w:rPr>
        <w:t xml:space="preserve">  </w:t>
      </w:r>
    </w:p>
    <w:p w14:paraId="69B71A9C">
      <w:pPr>
        <w:spacing w:line="580" w:lineRule="exact"/>
        <w:ind w:firstLine="560" w:firstLineChars="200"/>
        <w:rPr>
          <w:rFonts w:ascii="宋体" w:cs="仿宋_GB2312"/>
          <w:sz w:val="28"/>
          <w:szCs w:val="28"/>
        </w:rPr>
      </w:pPr>
      <w:r>
        <w:rPr>
          <w:rFonts w:ascii="宋体" w:hAnsi="宋体" w:cs="仿宋_GB2312"/>
          <w:sz w:val="28"/>
          <w:szCs w:val="28"/>
        </w:rPr>
        <w:t>2</w:t>
      </w:r>
      <w:r>
        <w:rPr>
          <w:rFonts w:hint="eastAsia" w:ascii="宋体" w:hAnsi="宋体" w:cs="仿宋_GB2312"/>
          <w:sz w:val="28"/>
          <w:szCs w:val="28"/>
        </w:rPr>
        <w:t>、项目管理</w:t>
      </w:r>
    </w:p>
    <w:p w14:paraId="2FFE35B1">
      <w:pPr>
        <w:spacing w:line="580" w:lineRule="exact"/>
        <w:ind w:firstLine="560" w:firstLineChars="200"/>
        <w:rPr>
          <w:rFonts w:ascii="宋体"/>
          <w:sz w:val="28"/>
          <w:szCs w:val="28"/>
        </w:rPr>
      </w:pPr>
      <w:r>
        <w:rPr>
          <w:rFonts w:hint="eastAsia" w:ascii="宋体" w:hAnsi="宋体"/>
          <w:sz w:val="28"/>
          <w:szCs w:val="28"/>
        </w:rPr>
        <w:t>财政按学校上缴学前教育管理经费进度拨付项目资金，根据学校情况经学校负责人、分管领导、财务负责人审核后合理使用项目资金。实行专款专用，加强对资金使用情况的管理与检查，自觉接受审计部门的监督，杜绝挤占、截留、挪用现金的发生，提升资金使用效益。</w:t>
      </w:r>
    </w:p>
    <w:p w14:paraId="6325988D">
      <w:pPr>
        <w:spacing w:line="580" w:lineRule="exact"/>
        <w:ind w:firstLine="560" w:firstLineChars="200"/>
        <w:rPr>
          <w:rFonts w:ascii="宋体" w:cs="仿宋_GB2312"/>
          <w:sz w:val="28"/>
          <w:szCs w:val="28"/>
        </w:rPr>
      </w:pPr>
      <w:r>
        <w:rPr>
          <w:rFonts w:ascii="宋体" w:hAnsi="宋体" w:cs="仿宋_GB2312"/>
          <w:sz w:val="28"/>
          <w:szCs w:val="28"/>
        </w:rPr>
        <w:t>3</w:t>
      </w:r>
      <w:r>
        <w:rPr>
          <w:rFonts w:hint="eastAsia" w:ascii="宋体" w:hAnsi="宋体" w:cs="仿宋_GB2312"/>
          <w:sz w:val="28"/>
          <w:szCs w:val="28"/>
        </w:rPr>
        <w:t>、项目绩效</w:t>
      </w:r>
    </w:p>
    <w:p w14:paraId="7FB741F9">
      <w:pPr>
        <w:spacing w:line="580" w:lineRule="exact"/>
        <w:ind w:firstLine="560" w:firstLineChars="200"/>
        <w:rPr>
          <w:rFonts w:ascii="宋体"/>
          <w:sz w:val="28"/>
          <w:szCs w:val="28"/>
        </w:rPr>
      </w:pPr>
      <w:r>
        <w:rPr>
          <w:rFonts w:ascii="宋体" w:hAnsi="宋体"/>
          <w:sz w:val="28"/>
          <w:szCs w:val="28"/>
        </w:rPr>
        <w:t>2018</w:t>
      </w:r>
      <w:r>
        <w:rPr>
          <w:rFonts w:hint="eastAsia" w:ascii="宋体" w:hAnsi="宋体"/>
          <w:sz w:val="28"/>
          <w:szCs w:val="28"/>
        </w:rPr>
        <w:t>年学前教育管理教育经费项目资金，到位及时，达到预期绩效目标要求。这是件有利于民生的大好事，是一项关心老百姓、深得民心的好项目，该项工作应当继续深化开展。</w:t>
      </w:r>
    </w:p>
    <w:p w14:paraId="7469F6BB">
      <w:pPr>
        <w:numPr>
          <w:ilvl w:val="0"/>
          <w:numId w:val="1"/>
        </w:numPr>
        <w:spacing w:line="580" w:lineRule="exact"/>
        <w:rPr>
          <w:rFonts w:ascii="宋体" w:cs="仿宋_GB2312"/>
          <w:sz w:val="28"/>
          <w:szCs w:val="28"/>
        </w:rPr>
      </w:pPr>
      <w:r>
        <w:rPr>
          <w:rFonts w:hint="eastAsia" w:ascii="宋体" w:hAnsi="宋体" w:cs="仿宋_GB2312"/>
          <w:sz w:val="28"/>
          <w:szCs w:val="28"/>
        </w:rPr>
        <w:t>存在主要问题</w:t>
      </w:r>
    </w:p>
    <w:p w14:paraId="2FB6DC78">
      <w:pPr>
        <w:pStyle w:val="12"/>
        <w:spacing w:before="0" w:beforeAutospacing="0" w:after="0" w:afterAutospacing="0"/>
        <w:ind w:left="720" w:right="-105" w:rightChars="-50"/>
        <w:jc w:val="both"/>
        <w:rPr>
          <w:rFonts w:cs="Times New Roman"/>
          <w:color w:val="000000"/>
          <w:sz w:val="28"/>
          <w:szCs w:val="28"/>
        </w:rPr>
      </w:pPr>
      <w:r>
        <w:rPr>
          <w:rFonts w:hint="eastAsia" w:cs="Times New Roman"/>
          <w:color w:val="000000"/>
          <w:sz w:val="28"/>
          <w:szCs w:val="28"/>
        </w:rPr>
        <w:t>学校项目预算编制前期调研、论证不充分，资金需求测算不够仔细，导致预算有偏差，有部分资金结余。</w:t>
      </w:r>
    </w:p>
    <w:p w14:paraId="5538C3BB">
      <w:pPr>
        <w:numPr>
          <w:ilvl w:val="0"/>
          <w:numId w:val="1"/>
        </w:numPr>
        <w:spacing w:line="580" w:lineRule="exact"/>
        <w:rPr>
          <w:rFonts w:ascii="宋体" w:cs="仿宋_GB2312"/>
          <w:sz w:val="28"/>
          <w:szCs w:val="28"/>
        </w:rPr>
      </w:pPr>
      <w:r>
        <w:rPr>
          <w:rFonts w:hint="eastAsia" w:ascii="宋体" w:hAnsi="宋体" w:cs="仿宋_GB2312"/>
          <w:sz w:val="28"/>
          <w:szCs w:val="28"/>
        </w:rPr>
        <w:t>相关措施建议</w:t>
      </w:r>
    </w:p>
    <w:p w14:paraId="221CCFE9">
      <w:pPr>
        <w:pStyle w:val="12"/>
        <w:spacing w:before="0" w:beforeAutospacing="0" w:after="0" w:afterAutospacing="0"/>
        <w:ind w:left="720" w:right="-105" w:rightChars="-50" w:firstLine="560" w:firstLineChars="200"/>
        <w:jc w:val="both"/>
        <w:rPr>
          <w:rFonts w:cs="Times New Roman"/>
          <w:color w:val="000000"/>
          <w:sz w:val="28"/>
          <w:szCs w:val="28"/>
        </w:rPr>
      </w:pPr>
      <w:r>
        <w:rPr>
          <w:rFonts w:hint="eastAsia" w:cs="Times New Roman"/>
          <w:color w:val="000000"/>
          <w:sz w:val="28"/>
          <w:szCs w:val="28"/>
        </w:rPr>
        <w:t>加强学习，</w:t>
      </w:r>
      <w:r>
        <w:rPr>
          <w:rFonts w:hint="eastAsia"/>
          <w:color w:val="333333"/>
          <w:spacing w:val="-2"/>
          <w:sz w:val="28"/>
          <w:szCs w:val="28"/>
        </w:rPr>
        <w:t>提升观念，认识预算工作的重要性，规范部门预算收支核算</w:t>
      </w:r>
      <w:r>
        <w:rPr>
          <w:rFonts w:hint="eastAsia" w:cs="Times New Roman"/>
          <w:color w:val="000000"/>
          <w:sz w:val="28"/>
          <w:szCs w:val="28"/>
        </w:rPr>
        <w:t>，切实做好预算编制工作，做好本单位情况调查，仔细测算部门资金需求，努力使预算资金合理，防止资金完成后出现结余，减少部门资金结转。</w:t>
      </w:r>
    </w:p>
    <w:p w14:paraId="5A157315">
      <w:pPr>
        <w:spacing w:line="600" w:lineRule="exact"/>
        <w:jc w:val="center"/>
        <w:outlineLvl w:val="0"/>
        <w:rPr>
          <w:rFonts w:hint="eastAsia" w:ascii="宋体"/>
          <w:sz w:val="28"/>
          <w:szCs w:val="28"/>
        </w:rPr>
      </w:pPr>
      <w:bookmarkStart w:id="56" w:name="_Toc15396618"/>
    </w:p>
    <w:p w14:paraId="6A1B3BEA">
      <w:pPr>
        <w:spacing w:line="600" w:lineRule="exact"/>
        <w:jc w:val="center"/>
        <w:outlineLvl w:val="0"/>
        <w:rPr>
          <w:rFonts w:hint="eastAsia" w:ascii="宋体"/>
          <w:sz w:val="28"/>
          <w:szCs w:val="28"/>
        </w:rPr>
      </w:pPr>
    </w:p>
    <w:p w14:paraId="74C1E97B">
      <w:pPr>
        <w:spacing w:line="600" w:lineRule="exact"/>
        <w:jc w:val="center"/>
        <w:outlineLvl w:val="0"/>
        <w:rPr>
          <w:rFonts w:hint="eastAsia" w:ascii="宋体"/>
          <w:sz w:val="28"/>
          <w:szCs w:val="28"/>
        </w:rPr>
      </w:pPr>
    </w:p>
    <w:p w14:paraId="5846318B">
      <w:pPr>
        <w:spacing w:line="600" w:lineRule="exact"/>
        <w:jc w:val="center"/>
        <w:outlineLvl w:val="0"/>
        <w:rPr>
          <w:rFonts w:hint="eastAsia" w:ascii="宋体"/>
          <w:sz w:val="28"/>
          <w:szCs w:val="28"/>
        </w:rPr>
      </w:pPr>
    </w:p>
    <w:p w14:paraId="4A3A8C10">
      <w:pPr>
        <w:spacing w:line="600" w:lineRule="exact"/>
        <w:jc w:val="center"/>
        <w:outlineLvl w:val="0"/>
        <w:rPr>
          <w:rFonts w:hint="eastAsia" w:ascii="宋体"/>
          <w:sz w:val="28"/>
          <w:szCs w:val="28"/>
        </w:rPr>
      </w:pPr>
    </w:p>
    <w:p w14:paraId="7E979ED4">
      <w:pPr>
        <w:spacing w:line="600" w:lineRule="exact"/>
        <w:jc w:val="center"/>
        <w:outlineLvl w:val="0"/>
        <w:rPr>
          <w:rFonts w:ascii="宋体"/>
          <w:sz w:val="28"/>
          <w:szCs w:val="28"/>
        </w:rPr>
      </w:pPr>
    </w:p>
    <w:p w14:paraId="7B289067">
      <w:pPr>
        <w:spacing w:line="600" w:lineRule="exact"/>
        <w:jc w:val="center"/>
        <w:outlineLvl w:val="0"/>
        <w:rPr>
          <w:rFonts w:ascii="宋体"/>
          <w:sz w:val="28"/>
          <w:szCs w:val="28"/>
        </w:rPr>
      </w:pPr>
    </w:p>
    <w:p w14:paraId="2F60BAB0">
      <w:pPr>
        <w:spacing w:line="600" w:lineRule="exact"/>
        <w:jc w:val="center"/>
        <w:outlineLvl w:val="0"/>
        <w:rPr>
          <w:rFonts w:ascii="宋体"/>
          <w:sz w:val="28"/>
          <w:szCs w:val="28"/>
        </w:rPr>
      </w:pPr>
    </w:p>
    <w:p w14:paraId="5E7D2712">
      <w:pPr>
        <w:spacing w:line="600" w:lineRule="exact"/>
        <w:jc w:val="center"/>
        <w:outlineLvl w:val="0"/>
        <w:rPr>
          <w:rFonts w:ascii="宋体"/>
          <w:sz w:val="28"/>
          <w:szCs w:val="28"/>
        </w:rPr>
      </w:pPr>
    </w:p>
    <w:p w14:paraId="5AE3B091">
      <w:pPr>
        <w:spacing w:line="600" w:lineRule="exact"/>
        <w:jc w:val="center"/>
        <w:outlineLvl w:val="0"/>
        <w:rPr>
          <w:rFonts w:ascii="宋体"/>
          <w:sz w:val="28"/>
          <w:szCs w:val="28"/>
        </w:rPr>
      </w:pPr>
    </w:p>
    <w:p w14:paraId="73B726ED">
      <w:pPr>
        <w:spacing w:line="600" w:lineRule="exact"/>
        <w:jc w:val="center"/>
        <w:outlineLvl w:val="0"/>
        <w:rPr>
          <w:rFonts w:ascii="宋体"/>
          <w:sz w:val="28"/>
          <w:szCs w:val="28"/>
        </w:rPr>
      </w:pPr>
    </w:p>
    <w:p w14:paraId="33ED5453">
      <w:pPr>
        <w:spacing w:line="600" w:lineRule="exact"/>
        <w:jc w:val="center"/>
        <w:outlineLvl w:val="0"/>
        <w:rPr>
          <w:rFonts w:ascii="宋体"/>
          <w:sz w:val="28"/>
          <w:szCs w:val="28"/>
        </w:rPr>
      </w:pPr>
    </w:p>
    <w:p w14:paraId="3AE3B627">
      <w:pPr>
        <w:spacing w:line="600" w:lineRule="exact"/>
        <w:jc w:val="center"/>
        <w:outlineLvl w:val="0"/>
        <w:rPr>
          <w:rFonts w:ascii="宋体"/>
          <w:sz w:val="30"/>
          <w:szCs w:val="30"/>
        </w:rPr>
      </w:pPr>
    </w:p>
    <w:p w14:paraId="2533F4B1">
      <w:pPr>
        <w:spacing w:line="600" w:lineRule="exact"/>
        <w:jc w:val="center"/>
        <w:outlineLvl w:val="0"/>
        <w:rPr>
          <w:rFonts w:ascii="黑体" w:hAnsi="黑体" w:eastAsia="黑体"/>
          <w:color w:val="000000"/>
          <w:sz w:val="44"/>
          <w:szCs w:val="44"/>
        </w:rPr>
      </w:pPr>
    </w:p>
    <w:p w14:paraId="732BA166">
      <w:pPr>
        <w:spacing w:line="600" w:lineRule="exact"/>
        <w:jc w:val="center"/>
        <w:outlineLvl w:val="0"/>
        <w:rPr>
          <w:rStyle w:val="17"/>
          <w:rFonts w:ascii="黑体" w:hAnsi="黑体" w:eastAsia="黑体"/>
          <w:b w:val="0"/>
        </w:rPr>
      </w:pPr>
      <w:r>
        <w:rPr>
          <w:rFonts w:hint="eastAsia" w:ascii="黑体" w:hAnsi="黑体" w:eastAsia="黑体"/>
          <w:color w:val="000000"/>
          <w:sz w:val="44"/>
          <w:szCs w:val="44"/>
        </w:rPr>
        <w:t>第</w:t>
      </w:r>
      <w:r>
        <w:rPr>
          <w:rStyle w:val="17"/>
          <w:rFonts w:hint="eastAsia" w:ascii="黑体" w:hAnsi="黑体" w:eastAsia="黑体"/>
          <w:b w:val="0"/>
        </w:rPr>
        <w:t>五部分</w:t>
      </w:r>
      <w:r>
        <w:rPr>
          <w:rStyle w:val="17"/>
          <w:rFonts w:ascii="黑体" w:hAnsi="黑体" w:eastAsia="黑体"/>
          <w:b w:val="0"/>
        </w:rPr>
        <w:t xml:space="preserve"> </w:t>
      </w:r>
      <w:r>
        <w:rPr>
          <w:rStyle w:val="17"/>
          <w:rFonts w:hint="eastAsia" w:ascii="黑体" w:hAnsi="黑体" w:eastAsia="黑体"/>
          <w:b w:val="0"/>
        </w:rPr>
        <w:t>附表</w:t>
      </w:r>
      <w:bookmarkEnd w:id="51"/>
      <w:bookmarkEnd w:id="56"/>
    </w:p>
    <w:p w14:paraId="685C137C">
      <w:pPr>
        <w:spacing w:line="600" w:lineRule="exact"/>
        <w:jc w:val="center"/>
        <w:outlineLvl w:val="0"/>
        <w:rPr>
          <w:rFonts w:ascii="仿宋" w:hAnsi="仿宋" w:eastAsia="仿宋"/>
          <w:b/>
          <w:color w:val="000000"/>
          <w:sz w:val="44"/>
          <w:szCs w:val="44"/>
        </w:rPr>
      </w:pPr>
    </w:p>
    <w:p w14:paraId="3728AC85">
      <w:pPr>
        <w:pStyle w:val="3"/>
        <w:rPr>
          <w:rFonts w:ascii="仿宋" w:hAnsi="仿宋" w:eastAsia="仿宋"/>
          <w:color w:val="000000"/>
        </w:rPr>
      </w:pPr>
      <w:bookmarkStart w:id="57" w:name="_Toc15396619"/>
      <w:r>
        <w:rPr>
          <w:rFonts w:hint="eastAsia" w:ascii="仿宋" w:hAnsi="仿宋" w:eastAsia="仿宋"/>
          <w:b w:val="0"/>
          <w:color w:val="000000"/>
        </w:rPr>
        <w:t>一、收</w:t>
      </w:r>
      <w:r>
        <w:rPr>
          <w:rStyle w:val="18"/>
          <w:rFonts w:hint="eastAsia" w:ascii="仿宋" w:hAnsi="仿宋" w:eastAsia="仿宋"/>
          <w:b w:val="0"/>
          <w:bCs w:val="0"/>
        </w:rPr>
        <w:t>入支出决算总表</w:t>
      </w:r>
      <w:bookmarkEnd w:id="57"/>
    </w:p>
    <w:p w14:paraId="21AFAD78">
      <w:pPr>
        <w:pStyle w:val="3"/>
        <w:rPr>
          <w:rFonts w:ascii="仿宋" w:hAnsi="仿宋" w:eastAsia="仿宋"/>
          <w:color w:val="000000"/>
        </w:rPr>
      </w:pPr>
      <w:bookmarkStart w:id="58" w:name="_Toc15396620"/>
      <w:r>
        <w:rPr>
          <w:rFonts w:hint="eastAsia" w:ascii="仿宋" w:hAnsi="仿宋" w:eastAsia="仿宋"/>
          <w:b w:val="0"/>
          <w:color w:val="000000"/>
        </w:rPr>
        <w:t>二、收</w:t>
      </w:r>
      <w:r>
        <w:rPr>
          <w:rStyle w:val="18"/>
          <w:rFonts w:hint="eastAsia" w:ascii="仿宋" w:hAnsi="仿宋" w:eastAsia="仿宋"/>
          <w:b w:val="0"/>
          <w:bCs w:val="0"/>
        </w:rPr>
        <w:t>入总表</w:t>
      </w:r>
      <w:bookmarkEnd w:id="58"/>
    </w:p>
    <w:p w14:paraId="01222A28">
      <w:pPr>
        <w:pStyle w:val="3"/>
        <w:rPr>
          <w:rFonts w:ascii="仿宋" w:hAnsi="仿宋" w:eastAsia="仿宋"/>
          <w:color w:val="000000"/>
        </w:rPr>
      </w:pPr>
      <w:bookmarkStart w:id="59" w:name="_Toc15396621"/>
      <w:r>
        <w:rPr>
          <w:rStyle w:val="18"/>
          <w:rFonts w:hint="eastAsia" w:ascii="仿宋" w:hAnsi="仿宋" w:eastAsia="仿宋"/>
          <w:b w:val="0"/>
          <w:bCs w:val="0"/>
        </w:rPr>
        <w:t>三、</w:t>
      </w:r>
      <w:r>
        <w:rPr>
          <w:rFonts w:hint="eastAsia" w:ascii="仿宋" w:hAnsi="仿宋" w:eastAsia="仿宋"/>
          <w:b w:val="0"/>
          <w:color w:val="000000"/>
        </w:rPr>
        <w:t>支</w:t>
      </w:r>
      <w:r>
        <w:rPr>
          <w:rStyle w:val="18"/>
          <w:rFonts w:hint="eastAsia" w:ascii="仿宋" w:hAnsi="仿宋" w:eastAsia="仿宋"/>
          <w:b w:val="0"/>
          <w:bCs w:val="0"/>
        </w:rPr>
        <w:t>出总表</w:t>
      </w:r>
      <w:bookmarkEnd w:id="59"/>
    </w:p>
    <w:p w14:paraId="1CFB548C">
      <w:pPr>
        <w:pStyle w:val="3"/>
        <w:rPr>
          <w:rFonts w:ascii="仿宋" w:hAnsi="仿宋" w:eastAsia="仿宋"/>
          <w:b w:val="0"/>
          <w:color w:val="000000"/>
        </w:rPr>
      </w:pPr>
      <w:bookmarkStart w:id="60" w:name="_Toc15396622"/>
      <w:r>
        <w:rPr>
          <w:rStyle w:val="18"/>
          <w:rFonts w:hint="eastAsia" w:ascii="仿宋" w:hAnsi="仿宋" w:eastAsia="仿宋"/>
          <w:b w:val="0"/>
          <w:bCs w:val="0"/>
        </w:rPr>
        <w:t>四、</w:t>
      </w:r>
      <w:r>
        <w:rPr>
          <w:rFonts w:hint="eastAsia" w:ascii="仿宋" w:hAnsi="仿宋" w:eastAsia="仿宋"/>
          <w:b w:val="0"/>
          <w:color w:val="000000"/>
        </w:rPr>
        <w:t>财</w:t>
      </w:r>
      <w:r>
        <w:rPr>
          <w:rStyle w:val="18"/>
          <w:rFonts w:hint="eastAsia" w:ascii="仿宋" w:hAnsi="仿宋" w:eastAsia="仿宋"/>
          <w:b w:val="0"/>
          <w:bCs w:val="0"/>
        </w:rPr>
        <w:t>政拨款收入支出决算总表</w:t>
      </w:r>
      <w:bookmarkEnd w:id="60"/>
    </w:p>
    <w:p w14:paraId="096D7A22">
      <w:pPr>
        <w:pStyle w:val="3"/>
        <w:rPr>
          <w:rFonts w:ascii="仿宋" w:hAnsi="仿宋" w:eastAsia="仿宋"/>
          <w:color w:val="000000"/>
        </w:rPr>
      </w:pPr>
      <w:bookmarkStart w:id="61" w:name="_Toc15396623"/>
      <w:r>
        <w:rPr>
          <w:rStyle w:val="18"/>
          <w:rFonts w:hint="eastAsia" w:ascii="仿宋" w:hAnsi="仿宋" w:eastAsia="仿宋"/>
          <w:b w:val="0"/>
          <w:bCs w:val="0"/>
        </w:rPr>
        <w:t>五、</w:t>
      </w:r>
      <w:r>
        <w:rPr>
          <w:rFonts w:hint="eastAsia" w:ascii="仿宋" w:hAnsi="仿宋" w:eastAsia="仿宋"/>
          <w:b w:val="0"/>
          <w:color w:val="000000"/>
        </w:rPr>
        <w:t>财</w:t>
      </w:r>
      <w:r>
        <w:rPr>
          <w:rStyle w:val="18"/>
          <w:rFonts w:hint="eastAsia" w:ascii="仿宋" w:hAnsi="仿宋" w:eastAsia="仿宋"/>
          <w:b w:val="0"/>
          <w:bCs w:val="0"/>
        </w:rPr>
        <w:t>政拨款支出决算明细表（政府经济分类科目）</w:t>
      </w:r>
      <w:bookmarkEnd w:id="61"/>
    </w:p>
    <w:p w14:paraId="2EC146BF">
      <w:pPr>
        <w:pStyle w:val="3"/>
        <w:rPr>
          <w:rFonts w:ascii="仿宋" w:hAnsi="仿宋" w:eastAsia="仿宋"/>
          <w:color w:val="000000"/>
        </w:rPr>
      </w:pPr>
      <w:bookmarkStart w:id="62" w:name="_Toc15396624"/>
      <w:r>
        <w:rPr>
          <w:rStyle w:val="18"/>
          <w:rFonts w:hint="eastAsia" w:ascii="仿宋" w:hAnsi="仿宋" w:eastAsia="仿宋"/>
          <w:b w:val="0"/>
          <w:bCs w:val="0"/>
        </w:rPr>
        <w:t>六、</w:t>
      </w:r>
      <w:r>
        <w:rPr>
          <w:rFonts w:hint="eastAsia" w:ascii="仿宋" w:hAnsi="仿宋" w:eastAsia="仿宋"/>
          <w:b w:val="0"/>
          <w:color w:val="000000"/>
        </w:rPr>
        <w:t>一</w:t>
      </w:r>
      <w:r>
        <w:rPr>
          <w:rStyle w:val="18"/>
          <w:rFonts w:hint="eastAsia" w:ascii="仿宋" w:hAnsi="仿宋" w:eastAsia="仿宋"/>
          <w:b w:val="0"/>
          <w:bCs w:val="0"/>
        </w:rPr>
        <w:t>般公共预算财政拨款支出决算表</w:t>
      </w:r>
      <w:bookmarkEnd w:id="62"/>
    </w:p>
    <w:p w14:paraId="5F057D17">
      <w:pPr>
        <w:pStyle w:val="3"/>
        <w:rPr>
          <w:rFonts w:ascii="仿宋" w:hAnsi="仿宋" w:eastAsia="仿宋"/>
          <w:color w:val="000000"/>
        </w:rPr>
      </w:pPr>
      <w:bookmarkStart w:id="63" w:name="_Toc15396625"/>
      <w:r>
        <w:rPr>
          <w:rStyle w:val="18"/>
          <w:rFonts w:hint="eastAsia" w:ascii="仿宋" w:hAnsi="仿宋" w:eastAsia="仿宋"/>
          <w:b w:val="0"/>
          <w:bCs w:val="0"/>
        </w:rPr>
        <w:t>七、</w:t>
      </w:r>
      <w:r>
        <w:rPr>
          <w:rFonts w:hint="eastAsia" w:ascii="仿宋" w:hAnsi="仿宋" w:eastAsia="仿宋"/>
          <w:b w:val="0"/>
          <w:color w:val="000000"/>
        </w:rPr>
        <w:t>一</w:t>
      </w:r>
      <w:r>
        <w:rPr>
          <w:rStyle w:val="18"/>
          <w:rFonts w:hint="eastAsia" w:ascii="仿宋" w:hAnsi="仿宋" w:eastAsia="仿宋"/>
          <w:b w:val="0"/>
          <w:bCs w:val="0"/>
        </w:rPr>
        <w:t>般公共预算财政拨款支出决算明细表</w:t>
      </w:r>
      <w:bookmarkEnd w:id="63"/>
    </w:p>
    <w:p w14:paraId="4B9EF6FD">
      <w:pPr>
        <w:pStyle w:val="3"/>
        <w:rPr>
          <w:rFonts w:ascii="仿宋" w:hAnsi="仿宋" w:eastAsia="仿宋"/>
          <w:color w:val="000000"/>
        </w:rPr>
      </w:pPr>
      <w:bookmarkStart w:id="64" w:name="_Toc15396626"/>
      <w:r>
        <w:rPr>
          <w:rStyle w:val="18"/>
          <w:rFonts w:hint="eastAsia" w:ascii="仿宋" w:hAnsi="仿宋" w:eastAsia="仿宋"/>
          <w:b w:val="0"/>
          <w:bCs w:val="0"/>
        </w:rPr>
        <w:t>八、</w:t>
      </w:r>
      <w:r>
        <w:rPr>
          <w:rFonts w:hint="eastAsia" w:ascii="仿宋" w:hAnsi="仿宋" w:eastAsia="仿宋"/>
          <w:b w:val="0"/>
          <w:color w:val="000000"/>
        </w:rPr>
        <w:t>一</w:t>
      </w:r>
      <w:r>
        <w:rPr>
          <w:rStyle w:val="18"/>
          <w:rFonts w:hint="eastAsia" w:ascii="仿宋" w:hAnsi="仿宋" w:eastAsia="仿宋"/>
          <w:b w:val="0"/>
          <w:bCs w:val="0"/>
        </w:rPr>
        <w:t>般公共预算财政拨款基本支出决算表</w:t>
      </w:r>
      <w:bookmarkEnd w:id="64"/>
    </w:p>
    <w:p w14:paraId="694FD39C">
      <w:pPr>
        <w:pStyle w:val="3"/>
        <w:rPr>
          <w:rFonts w:ascii="仿宋" w:hAnsi="仿宋" w:eastAsia="仿宋"/>
          <w:color w:val="000000"/>
        </w:rPr>
      </w:pPr>
      <w:bookmarkStart w:id="65" w:name="_Toc15396627"/>
      <w:r>
        <w:rPr>
          <w:rStyle w:val="18"/>
          <w:rFonts w:hint="eastAsia" w:ascii="仿宋" w:hAnsi="仿宋" w:eastAsia="仿宋"/>
          <w:b w:val="0"/>
          <w:bCs w:val="0"/>
        </w:rPr>
        <w:t>九、</w:t>
      </w:r>
      <w:r>
        <w:rPr>
          <w:rFonts w:hint="eastAsia" w:ascii="仿宋" w:hAnsi="仿宋" w:eastAsia="仿宋"/>
          <w:b w:val="0"/>
          <w:color w:val="000000"/>
        </w:rPr>
        <w:t>一</w:t>
      </w:r>
      <w:r>
        <w:rPr>
          <w:rStyle w:val="18"/>
          <w:rFonts w:hint="eastAsia" w:ascii="仿宋" w:hAnsi="仿宋" w:eastAsia="仿宋"/>
          <w:b w:val="0"/>
          <w:bCs w:val="0"/>
        </w:rPr>
        <w:t>般公共预算财政拨款项目支出决算表</w:t>
      </w:r>
      <w:bookmarkEnd w:id="65"/>
    </w:p>
    <w:p w14:paraId="5FAE445D">
      <w:pPr>
        <w:pStyle w:val="3"/>
        <w:rPr>
          <w:rFonts w:ascii="仿宋" w:hAnsi="仿宋" w:eastAsia="仿宋"/>
          <w:color w:val="000000"/>
        </w:rPr>
      </w:pPr>
      <w:bookmarkStart w:id="66" w:name="_Toc15396628"/>
      <w:r>
        <w:rPr>
          <w:rStyle w:val="18"/>
          <w:rFonts w:hint="eastAsia" w:ascii="仿宋" w:hAnsi="仿宋" w:eastAsia="仿宋"/>
          <w:b w:val="0"/>
          <w:bCs w:val="0"/>
        </w:rPr>
        <w:t>十、</w:t>
      </w:r>
      <w:r>
        <w:rPr>
          <w:rFonts w:hint="eastAsia" w:ascii="仿宋" w:hAnsi="仿宋" w:eastAsia="仿宋"/>
          <w:b w:val="0"/>
          <w:color w:val="000000"/>
        </w:rPr>
        <w:t>一</w:t>
      </w:r>
      <w:r>
        <w:rPr>
          <w:rStyle w:val="18"/>
          <w:rFonts w:hint="eastAsia" w:ascii="仿宋" w:hAnsi="仿宋" w:eastAsia="仿宋"/>
          <w:b w:val="0"/>
          <w:bCs w:val="0"/>
        </w:rPr>
        <w:t>般公共预算财政拨款“三公”经费支出决算表</w:t>
      </w:r>
      <w:bookmarkEnd w:id="66"/>
    </w:p>
    <w:p w14:paraId="5A23D4A3">
      <w:pPr>
        <w:pStyle w:val="3"/>
        <w:rPr>
          <w:rFonts w:ascii="仿宋" w:hAnsi="仿宋" w:eastAsia="仿宋"/>
          <w:color w:val="000000"/>
        </w:rPr>
      </w:pPr>
      <w:bookmarkStart w:id="67" w:name="_Toc15396629"/>
      <w:r>
        <w:rPr>
          <w:rStyle w:val="18"/>
          <w:rFonts w:hint="eastAsia" w:ascii="仿宋" w:hAnsi="仿宋" w:eastAsia="仿宋"/>
          <w:b w:val="0"/>
          <w:bCs w:val="0"/>
        </w:rPr>
        <w:t>十一、</w:t>
      </w:r>
      <w:r>
        <w:rPr>
          <w:rFonts w:hint="eastAsia" w:ascii="仿宋" w:hAnsi="仿宋" w:eastAsia="仿宋"/>
          <w:b w:val="0"/>
          <w:color w:val="000000"/>
        </w:rPr>
        <w:t>政</w:t>
      </w:r>
      <w:r>
        <w:rPr>
          <w:rStyle w:val="18"/>
          <w:rFonts w:hint="eastAsia" w:ascii="仿宋" w:hAnsi="仿宋" w:eastAsia="仿宋"/>
          <w:b w:val="0"/>
          <w:bCs w:val="0"/>
        </w:rPr>
        <w:t>府性基金预算财政拨款收入支出决算表</w:t>
      </w:r>
      <w:bookmarkEnd w:id="67"/>
    </w:p>
    <w:p w14:paraId="104436EE">
      <w:pPr>
        <w:pStyle w:val="3"/>
        <w:rPr>
          <w:rFonts w:ascii="仿宋" w:hAnsi="仿宋" w:eastAsia="仿宋"/>
          <w:color w:val="000000"/>
        </w:rPr>
      </w:pPr>
      <w:bookmarkStart w:id="68" w:name="_Toc15396630"/>
      <w:r>
        <w:rPr>
          <w:rStyle w:val="18"/>
          <w:rFonts w:hint="eastAsia" w:ascii="仿宋" w:hAnsi="仿宋" w:eastAsia="仿宋"/>
          <w:b w:val="0"/>
          <w:bCs w:val="0"/>
        </w:rPr>
        <w:t>十二、</w:t>
      </w:r>
      <w:r>
        <w:rPr>
          <w:rFonts w:hint="eastAsia" w:ascii="仿宋" w:hAnsi="仿宋" w:eastAsia="仿宋"/>
          <w:b w:val="0"/>
          <w:color w:val="000000"/>
        </w:rPr>
        <w:t>政</w:t>
      </w:r>
      <w:r>
        <w:rPr>
          <w:rStyle w:val="18"/>
          <w:rFonts w:hint="eastAsia" w:ascii="仿宋" w:hAnsi="仿宋" w:eastAsia="仿宋"/>
          <w:b w:val="0"/>
          <w:bCs w:val="0"/>
        </w:rPr>
        <w:t>府性基金预算财政拨款“三公”经费支出决算表</w:t>
      </w:r>
      <w:bookmarkEnd w:id="68"/>
    </w:p>
    <w:p w14:paraId="1F800B43">
      <w:pPr>
        <w:pStyle w:val="3"/>
        <w:rPr>
          <w:rFonts w:ascii="仿宋" w:hAnsi="仿宋" w:eastAsia="仿宋"/>
          <w:color w:val="000000"/>
        </w:rPr>
      </w:pPr>
      <w:bookmarkStart w:id="69" w:name="_Toc15396631"/>
      <w:r>
        <w:rPr>
          <w:rStyle w:val="18"/>
          <w:rFonts w:hint="eastAsia" w:ascii="仿宋" w:hAnsi="仿宋" w:eastAsia="仿宋"/>
          <w:b w:val="0"/>
          <w:bCs w:val="0"/>
        </w:rPr>
        <w:t>十三、</w:t>
      </w:r>
      <w:r>
        <w:rPr>
          <w:rFonts w:hint="eastAsia" w:ascii="仿宋" w:hAnsi="仿宋" w:eastAsia="仿宋"/>
          <w:b w:val="0"/>
          <w:color w:val="000000"/>
        </w:rPr>
        <w:t>国</w:t>
      </w:r>
      <w:r>
        <w:rPr>
          <w:rStyle w:val="18"/>
          <w:rFonts w:hint="eastAsia" w:ascii="仿宋" w:hAnsi="仿宋" w:eastAsia="仿宋"/>
          <w:b w:val="0"/>
          <w:bCs w:val="0"/>
        </w:rPr>
        <w:t>有资本经营预算支出决算表</w:t>
      </w:r>
      <w:bookmarkEnd w:id="69"/>
    </w:p>
    <w:sectPr>
      <w:headerReference r:id="rId3" w:type="default"/>
      <w:footerReference r:id="rId4" w:type="default"/>
      <w:pgSz w:w="11906" w:h="16838"/>
      <w:pgMar w:top="1440" w:right="1800" w:bottom="1440" w:left="1800" w:header="851" w:footer="992" w:gutter="0"/>
      <w:pgNumType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panose1 w:val="02000000000000000000"/>
    <w:charset w:val="86"/>
    <w:family w:val="auto"/>
    <w:pitch w:val="default"/>
    <w:sig w:usb0="00000001" w:usb1="0800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86A7B7">
    <w:pPr>
      <w:pStyle w:val="8"/>
      <w:jc w:val="center"/>
    </w:pPr>
    <w:r>
      <w:fldChar w:fldCharType="begin"/>
    </w:r>
    <w:r>
      <w:instrText xml:space="preserve">PAGE   \* MERGEFORMAT</w:instrText>
    </w:r>
    <w:r>
      <w:fldChar w:fldCharType="separate"/>
    </w:r>
    <w:r>
      <w:rPr>
        <w:lang w:val="zh-CN"/>
      </w:rPr>
      <w:t>22</w:t>
    </w:r>
    <w:r>
      <w:rPr>
        <w:lang w:val="zh-CN"/>
      </w:rPr>
      <w:fldChar w:fldCharType="end"/>
    </w:r>
  </w:p>
  <w:p w14:paraId="04EF417D">
    <w:pPr>
      <w:pStyle w:val="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E0253E">
    <w:pPr>
      <w:pStyle w:val="9"/>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652CEC"/>
    <w:multiLevelType w:val="singleLevel"/>
    <w:tmpl w:val="CF652CEC"/>
    <w:lvl w:ilvl="0" w:tentative="0">
      <w:start w:val="9"/>
      <w:numFmt w:val="chineseCounting"/>
      <w:suff w:val="nothing"/>
      <w:lvlText w:val="%1、"/>
      <w:lvlJc w:val="left"/>
      <w:rPr>
        <w:rFonts w:hint="eastAsia" w:cs="Times New Roman"/>
      </w:rPr>
    </w:lvl>
  </w:abstractNum>
  <w:abstractNum w:abstractNumId="1">
    <w:nsid w:val="E2FA047D"/>
    <w:multiLevelType w:val="singleLevel"/>
    <w:tmpl w:val="E2FA047D"/>
    <w:lvl w:ilvl="0" w:tentative="0">
      <w:start w:val="3"/>
      <w:numFmt w:val="chineseCounting"/>
      <w:suff w:val="space"/>
      <w:lvlText w:val="第%1部分"/>
      <w:lvlJc w:val="left"/>
      <w:rPr>
        <w:rFonts w:hint="eastAsia" w:cs="Times New Roman"/>
      </w:rPr>
    </w:lvl>
  </w:abstractNum>
  <w:abstractNum w:abstractNumId="2">
    <w:nsid w:val="EC0BEF30"/>
    <w:multiLevelType w:val="singleLevel"/>
    <w:tmpl w:val="EC0BEF30"/>
    <w:lvl w:ilvl="0" w:tentative="0">
      <w:start w:val="1"/>
      <w:numFmt w:val="chineseCounting"/>
      <w:suff w:val="nothing"/>
      <w:lvlText w:val="（%1）"/>
      <w:lvlJc w:val="left"/>
      <w:rPr>
        <w:rFonts w:hint="eastAsia" w:ascii="楷体_GB2312" w:hAnsi="楷体_GB2312" w:eastAsia="楷体_GB2312" w:cs="楷体_GB2312"/>
        <w:b/>
        <w:bCs/>
        <w:sz w:val="32"/>
        <w:szCs w:val="32"/>
      </w:rPr>
    </w:lvl>
  </w:abstractNum>
  <w:abstractNum w:abstractNumId="3">
    <w:nsid w:val="1272550B"/>
    <w:multiLevelType w:val="multilevel"/>
    <w:tmpl w:val="1272550B"/>
    <w:lvl w:ilvl="0" w:tentative="0">
      <w:start w:val="1"/>
      <w:numFmt w:val="japaneseCounting"/>
      <w:lvlText w:val="%1、"/>
      <w:lvlJc w:val="left"/>
      <w:pPr>
        <w:ind w:left="720" w:hanging="720"/>
      </w:pPr>
      <w:rPr>
        <w:rFonts w:hint="default" w:cs="Times New Roman"/>
        <w:b w:val="0"/>
      </w:rPr>
    </w:lvl>
    <w:lvl w:ilvl="1" w:tentative="0">
      <w:start w:val="1"/>
      <w:numFmt w:val="lowerLetter"/>
      <w:lvlText w:val="%2)"/>
      <w:lvlJc w:val="left"/>
      <w:pPr>
        <w:ind w:left="1480" w:hanging="420"/>
      </w:pPr>
      <w:rPr>
        <w:rFonts w:cs="Times New Roman"/>
      </w:rPr>
    </w:lvl>
    <w:lvl w:ilvl="2" w:tentative="0">
      <w:start w:val="1"/>
      <w:numFmt w:val="lowerRoman"/>
      <w:lvlText w:val="%3."/>
      <w:lvlJc w:val="right"/>
      <w:pPr>
        <w:ind w:left="1900" w:hanging="420"/>
      </w:pPr>
      <w:rPr>
        <w:rFonts w:cs="Times New Roman"/>
      </w:rPr>
    </w:lvl>
    <w:lvl w:ilvl="3" w:tentative="0">
      <w:start w:val="1"/>
      <w:numFmt w:val="decimal"/>
      <w:lvlText w:val="%4."/>
      <w:lvlJc w:val="left"/>
      <w:pPr>
        <w:ind w:left="2320" w:hanging="420"/>
      </w:pPr>
      <w:rPr>
        <w:rFonts w:cs="Times New Roman"/>
      </w:rPr>
    </w:lvl>
    <w:lvl w:ilvl="4" w:tentative="0">
      <w:start w:val="1"/>
      <w:numFmt w:val="lowerLetter"/>
      <w:lvlText w:val="%5)"/>
      <w:lvlJc w:val="left"/>
      <w:pPr>
        <w:ind w:left="2740" w:hanging="420"/>
      </w:pPr>
      <w:rPr>
        <w:rFonts w:cs="Times New Roman"/>
      </w:rPr>
    </w:lvl>
    <w:lvl w:ilvl="5" w:tentative="0">
      <w:start w:val="1"/>
      <w:numFmt w:val="lowerRoman"/>
      <w:lvlText w:val="%6."/>
      <w:lvlJc w:val="right"/>
      <w:pPr>
        <w:ind w:left="3160" w:hanging="420"/>
      </w:pPr>
      <w:rPr>
        <w:rFonts w:cs="Times New Roman"/>
      </w:rPr>
    </w:lvl>
    <w:lvl w:ilvl="6" w:tentative="0">
      <w:start w:val="1"/>
      <w:numFmt w:val="decimal"/>
      <w:lvlText w:val="%7."/>
      <w:lvlJc w:val="left"/>
      <w:pPr>
        <w:ind w:left="3580" w:hanging="420"/>
      </w:pPr>
      <w:rPr>
        <w:rFonts w:cs="Times New Roman"/>
      </w:rPr>
    </w:lvl>
    <w:lvl w:ilvl="7" w:tentative="0">
      <w:start w:val="1"/>
      <w:numFmt w:val="lowerLetter"/>
      <w:lvlText w:val="%8)"/>
      <w:lvlJc w:val="left"/>
      <w:pPr>
        <w:ind w:left="4000" w:hanging="420"/>
      </w:pPr>
      <w:rPr>
        <w:rFonts w:cs="Times New Roman"/>
      </w:rPr>
    </w:lvl>
    <w:lvl w:ilvl="8" w:tentative="0">
      <w:start w:val="1"/>
      <w:numFmt w:val="lowerRoman"/>
      <w:lvlText w:val="%9."/>
      <w:lvlJc w:val="right"/>
      <w:pPr>
        <w:ind w:left="4420" w:hanging="420"/>
      </w:pPr>
      <w:rPr>
        <w:rFonts w:cs="Times New Roman"/>
      </w:rPr>
    </w:lvl>
  </w:abstractNum>
  <w:abstractNum w:abstractNumId="4">
    <w:nsid w:val="2EB4695C"/>
    <w:multiLevelType w:val="multilevel"/>
    <w:tmpl w:val="2EB4695C"/>
    <w:lvl w:ilvl="0" w:tentative="0">
      <w:start w:val="1"/>
      <w:numFmt w:val="japaneseCounting"/>
      <w:lvlText w:val="%1、"/>
      <w:lvlJc w:val="left"/>
      <w:pPr>
        <w:ind w:left="660" w:hanging="660"/>
      </w:pPr>
      <w:rPr>
        <w:rFonts w:hint="default"/>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num w:numId="1">
    <w:abstractNumId w:val="3"/>
  </w:num>
  <w:num w:numId="2">
    <w:abstractNumId w:val="0"/>
  </w:num>
  <w:num w:numId="3">
    <w:abstractNumId w:val="2"/>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OTVmYjczYmQxNTI0OTg1NmI3MGY0ZGFiNzFmYjlmODUifQ=="/>
  </w:docVars>
  <w:rsids>
    <w:rsidRoot w:val="00F1361C"/>
    <w:rsid w:val="00002A00"/>
    <w:rsid w:val="000058A9"/>
    <w:rsid w:val="000067E2"/>
    <w:rsid w:val="00007707"/>
    <w:rsid w:val="000222C6"/>
    <w:rsid w:val="0002549F"/>
    <w:rsid w:val="000268D8"/>
    <w:rsid w:val="000413B2"/>
    <w:rsid w:val="0004208D"/>
    <w:rsid w:val="000542BE"/>
    <w:rsid w:val="0006487A"/>
    <w:rsid w:val="00065F8F"/>
    <w:rsid w:val="00072962"/>
    <w:rsid w:val="000768F2"/>
    <w:rsid w:val="0009184B"/>
    <w:rsid w:val="00091D71"/>
    <w:rsid w:val="0009593C"/>
    <w:rsid w:val="000B047F"/>
    <w:rsid w:val="000B5923"/>
    <w:rsid w:val="000B5A48"/>
    <w:rsid w:val="000B6FF3"/>
    <w:rsid w:val="000C2056"/>
    <w:rsid w:val="000C3467"/>
    <w:rsid w:val="000C3CA6"/>
    <w:rsid w:val="000D09F1"/>
    <w:rsid w:val="000D1267"/>
    <w:rsid w:val="000D1D50"/>
    <w:rsid w:val="000D5782"/>
    <w:rsid w:val="000E4BFA"/>
    <w:rsid w:val="000E6613"/>
    <w:rsid w:val="000E7119"/>
    <w:rsid w:val="000F004E"/>
    <w:rsid w:val="000F5339"/>
    <w:rsid w:val="00111D38"/>
    <w:rsid w:val="0011394A"/>
    <w:rsid w:val="00114E9B"/>
    <w:rsid w:val="001203EF"/>
    <w:rsid w:val="0014729F"/>
    <w:rsid w:val="00155DCD"/>
    <w:rsid w:val="00157BAB"/>
    <w:rsid w:val="00161928"/>
    <w:rsid w:val="001626BB"/>
    <w:rsid w:val="00163BC7"/>
    <w:rsid w:val="001654D1"/>
    <w:rsid w:val="001712AE"/>
    <w:rsid w:val="00177C7A"/>
    <w:rsid w:val="0018106D"/>
    <w:rsid w:val="001877A7"/>
    <w:rsid w:val="00191536"/>
    <w:rsid w:val="00196114"/>
    <w:rsid w:val="00196687"/>
    <w:rsid w:val="001A305C"/>
    <w:rsid w:val="001B0E01"/>
    <w:rsid w:val="001B1848"/>
    <w:rsid w:val="001B67EE"/>
    <w:rsid w:val="001C0962"/>
    <w:rsid w:val="001C2DFE"/>
    <w:rsid w:val="001D0190"/>
    <w:rsid w:val="001D168C"/>
    <w:rsid w:val="001D445B"/>
    <w:rsid w:val="001D5599"/>
    <w:rsid w:val="001D7531"/>
    <w:rsid w:val="001E737D"/>
    <w:rsid w:val="001F0592"/>
    <w:rsid w:val="001F7506"/>
    <w:rsid w:val="002006CD"/>
    <w:rsid w:val="00201797"/>
    <w:rsid w:val="00202B36"/>
    <w:rsid w:val="00204B7A"/>
    <w:rsid w:val="00205202"/>
    <w:rsid w:val="0021101A"/>
    <w:rsid w:val="00212E71"/>
    <w:rsid w:val="00220536"/>
    <w:rsid w:val="00235629"/>
    <w:rsid w:val="00260C38"/>
    <w:rsid w:val="002616C0"/>
    <w:rsid w:val="002662AA"/>
    <w:rsid w:val="00276DE7"/>
    <w:rsid w:val="00280496"/>
    <w:rsid w:val="00281503"/>
    <w:rsid w:val="00295495"/>
    <w:rsid w:val="002B2613"/>
    <w:rsid w:val="002B4007"/>
    <w:rsid w:val="002F1818"/>
    <w:rsid w:val="002F567B"/>
    <w:rsid w:val="003216A9"/>
    <w:rsid w:val="0032685F"/>
    <w:rsid w:val="0033217F"/>
    <w:rsid w:val="00343A64"/>
    <w:rsid w:val="003554F9"/>
    <w:rsid w:val="00360BEE"/>
    <w:rsid w:val="00364F12"/>
    <w:rsid w:val="0037013F"/>
    <w:rsid w:val="00380C92"/>
    <w:rsid w:val="003A2756"/>
    <w:rsid w:val="003A484F"/>
    <w:rsid w:val="003B0BE0"/>
    <w:rsid w:val="003B0C1B"/>
    <w:rsid w:val="003B5ADB"/>
    <w:rsid w:val="003B688C"/>
    <w:rsid w:val="003C0291"/>
    <w:rsid w:val="003C39AE"/>
    <w:rsid w:val="003C5E36"/>
    <w:rsid w:val="003C7B60"/>
    <w:rsid w:val="003D1FB2"/>
    <w:rsid w:val="003D66DA"/>
    <w:rsid w:val="003E1310"/>
    <w:rsid w:val="003E3756"/>
    <w:rsid w:val="003E6F55"/>
    <w:rsid w:val="003F1BCC"/>
    <w:rsid w:val="00400D40"/>
    <w:rsid w:val="00406254"/>
    <w:rsid w:val="0041431C"/>
    <w:rsid w:val="004223DE"/>
    <w:rsid w:val="004304F6"/>
    <w:rsid w:val="00434489"/>
    <w:rsid w:val="004344D0"/>
    <w:rsid w:val="00437085"/>
    <w:rsid w:val="00443880"/>
    <w:rsid w:val="004464F4"/>
    <w:rsid w:val="00453E95"/>
    <w:rsid w:val="00471401"/>
    <w:rsid w:val="00473F31"/>
    <w:rsid w:val="004804FC"/>
    <w:rsid w:val="00481F09"/>
    <w:rsid w:val="0048263A"/>
    <w:rsid w:val="0048406A"/>
    <w:rsid w:val="00487E5D"/>
    <w:rsid w:val="00496E2A"/>
    <w:rsid w:val="004A0412"/>
    <w:rsid w:val="004A711F"/>
    <w:rsid w:val="004B199D"/>
    <w:rsid w:val="004B4690"/>
    <w:rsid w:val="004E0A2D"/>
    <w:rsid w:val="004E206B"/>
    <w:rsid w:val="004E6DF7"/>
    <w:rsid w:val="004F0FBD"/>
    <w:rsid w:val="004F4E7A"/>
    <w:rsid w:val="00505A47"/>
    <w:rsid w:val="00512FDA"/>
    <w:rsid w:val="0051398F"/>
    <w:rsid w:val="00520DA0"/>
    <w:rsid w:val="00531C6D"/>
    <w:rsid w:val="0054541A"/>
    <w:rsid w:val="00546DE3"/>
    <w:rsid w:val="00547259"/>
    <w:rsid w:val="00563AE8"/>
    <w:rsid w:val="005659A8"/>
    <w:rsid w:val="005664BB"/>
    <w:rsid w:val="0057481D"/>
    <w:rsid w:val="005826AC"/>
    <w:rsid w:val="0058486E"/>
    <w:rsid w:val="00584C7A"/>
    <w:rsid w:val="00586BD7"/>
    <w:rsid w:val="005D1C8B"/>
    <w:rsid w:val="005D5CED"/>
    <w:rsid w:val="005E05B2"/>
    <w:rsid w:val="005E6C18"/>
    <w:rsid w:val="005F1A4C"/>
    <w:rsid w:val="00605688"/>
    <w:rsid w:val="006070AF"/>
    <w:rsid w:val="00607E6C"/>
    <w:rsid w:val="006101B1"/>
    <w:rsid w:val="00614E44"/>
    <w:rsid w:val="00622830"/>
    <w:rsid w:val="00630AEF"/>
    <w:rsid w:val="006325F8"/>
    <w:rsid w:val="00632F75"/>
    <w:rsid w:val="00634C9A"/>
    <w:rsid w:val="006440E4"/>
    <w:rsid w:val="00644E69"/>
    <w:rsid w:val="0066343B"/>
    <w:rsid w:val="00664777"/>
    <w:rsid w:val="006748A4"/>
    <w:rsid w:val="00674F86"/>
    <w:rsid w:val="00675D34"/>
    <w:rsid w:val="00683E73"/>
    <w:rsid w:val="0069146F"/>
    <w:rsid w:val="006A3141"/>
    <w:rsid w:val="006A44B6"/>
    <w:rsid w:val="006A5E34"/>
    <w:rsid w:val="006B2422"/>
    <w:rsid w:val="006B2B9A"/>
    <w:rsid w:val="006B39C2"/>
    <w:rsid w:val="006C1255"/>
    <w:rsid w:val="006C1937"/>
    <w:rsid w:val="006C4CCA"/>
    <w:rsid w:val="006F020C"/>
    <w:rsid w:val="006F1B71"/>
    <w:rsid w:val="006F3F49"/>
    <w:rsid w:val="00705A13"/>
    <w:rsid w:val="007127B7"/>
    <w:rsid w:val="00713AD4"/>
    <w:rsid w:val="00732933"/>
    <w:rsid w:val="007416B6"/>
    <w:rsid w:val="00743DA7"/>
    <w:rsid w:val="00746F48"/>
    <w:rsid w:val="0075404D"/>
    <w:rsid w:val="0076182A"/>
    <w:rsid w:val="00762DE5"/>
    <w:rsid w:val="00767B7E"/>
    <w:rsid w:val="007770C3"/>
    <w:rsid w:val="00784D24"/>
    <w:rsid w:val="00785FBA"/>
    <w:rsid w:val="00786E4A"/>
    <w:rsid w:val="007875EB"/>
    <w:rsid w:val="0079426B"/>
    <w:rsid w:val="00796AF5"/>
    <w:rsid w:val="007B7A67"/>
    <w:rsid w:val="007C3625"/>
    <w:rsid w:val="007C5817"/>
    <w:rsid w:val="007D312A"/>
    <w:rsid w:val="007D3F19"/>
    <w:rsid w:val="007D6F87"/>
    <w:rsid w:val="007E23B0"/>
    <w:rsid w:val="007E2D78"/>
    <w:rsid w:val="007F1991"/>
    <w:rsid w:val="007F2C2F"/>
    <w:rsid w:val="007F41EF"/>
    <w:rsid w:val="007F55FC"/>
    <w:rsid w:val="007F5665"/>
    <w:rsid w:val="007F7F63"/>
    <w:rsid w:val="00800112"/>
    <w:rsid w:val="00811579"/>
    <w:rsid w:val="00812025"/>
    <w:rsid w:val="00822CCB"/>
    <w:rsid w:val="008253BB"/>
    <w:rsid w:val="00830952"/>
    <w:rsid w:val="0083706E"/>
    <w:rsid w:val="0084079A"/>
    <w:rsid w:val="008423A5"/>
    <w:rsid w:val="00850625"/>
    <w:rsid w:val="00853718"/>
    <w:rsid w:val="00855221"/>
    <w:rsid w:val="00860645"/>
    <w:rsid w:val="0086527F"/>
    <w:rsid w:val="00871F71"/>
    <w:rsid w:val="00885AF4"/>
    <w:rsid w:val="00891B5C"/>
    <w:rsid w:val="008939CD"/>
    <w:rsid w:val="008977B6"/>
    <w:rsid w:val="008B768C"/>
    <w:rsid w:val="008C4DB1"/>
    <w:rsid w:val="008C4EAF"/>
    <w:rsid w:val="008C5176"/>
    <w:rsid w:val="008C7FD0"/>
    <w:rsid w:val="008E1DE7"/>
    <w:rsid w:val="008E707C"/>
    <w:rsid w:val="008F1570"/>
    <w:rsid w:val="00900572"/>
    <w:rsid w:val="00900B08"/>
    <w:rsid w:val="0090129D"/>
    <w:rsid w:val="00902155"/>
    <w:rsid w:val="00902FA3"/>
    <w:rsid w:val="009165B1"/>
    <w:rsid w:val="00922EA3"/>
    <w:rsid w:val="00923564"/>
    <w:rsid w:val="0092392E"/>
    <w:rsid w:val="009315F9"/>
    <w:rsid w:val="00932D51"/>
    <w:rsid w:val="00937140"/>
    <w:rsid w:val="00946945"/>
    <w:rsid w:val="00951248"/>
    <w:rsid w:val="0095152F"/>
    <w:rsid w:val="00954C49"/>
    <w:rsid w:val="0097099F"/>
    <w:rsid w:val="00971997"/>
    <w:rsid w:val="00971FFC"/>
    <w:rsid w:val="0097358D"/>
    <w:rsid w:val="00974D8D"/>
    <w:rsid w:val="009847E1"/>
    <w:rsid w:val="0098660A"/>
    <w:rsid w:val="009931C3"/>
    <w:rsid w:val="00994EEE"/>
    <w:rsid w:val="00996298"/>
    <w:rsid w:val="009A72F7"/>
    <w:rsid w:val="009B2C43"/>
    <w:rsid w:val="009B4EAE"/>
    <w:rsid w:val="009B7573"/>
    <w:rsid w:val="009C22F4"/>
    <w:rsid w:val="009C2E98"/>
    <w:rsid w:val="009D3447"/>
    <w:rsid w:val="009D4711"/>
    <w:rsid w:val="009D7BC8"/>
    <w:rsid w:val="009F1185"/>
    <w:rsid w:val="009F18CD"/>
    <w:rsid w:val="009F2A13"/>
    <w:rsid w:val="009F4973"/>
    <w:rsid w:val="00A04EB0"/>
    <w:rsid w:val="00A13CC1"/>
    <w:rsid w:val="00A157ED"/>
    <w:rsid w:val="00A16847"/>
    <w:rsid w:val="00A237D8"/>
    <w:rsid w:val="00A268C4"/>
    <w:rsid w:val="00A307CD"/>
    <w:rsid w:val="00A4082C"/>
    <w:rsid w:val="00A40A00"/>
    <w:rsid w:val="00A4142F"/>
    <w:rsid w:val="00A56DF2"/>
    <w:rsid w:val="00A63355"/>
    <w:rsid w:val="00A65E45"/>
    <w:rsid w:val="00A67AB5"/>
    <w:rsid w:val="00A76714"/>
    <w:rsid w:val="00A804AD"/>
    <w:rsid w:val="00A82A93"/>
    <w:rsid w:val="00A91760"/>
    <w:rsid w:val="00A93B00"/>
    <w:rsid w:val="00A93C21"/>
    <w:rsid w:val="00AA7607"/>
    <w:rsid w:val="00AB1375"/>
    <w:rsid w:val="00AC3C6A"/>
    <w:rsid w:val="00AD2DA9"/>
    <w:rsid w:val="00AD53AE"/>
    <w:rsid w:val="00AD5620"/>
    <w:rsid w:val="00AD5F72"/>
    <w:rsid w:val="00AD7C1B"/>
    <w:rsid w:val="00AE16BA"/>
    <w:rsid w:val="00AE1EBE"/>
    <w:rsid w:val="00AF49E2"/>
    <w:rsid w:val="00B03C9D"/>
    <w:rsid w:val="00B060AE"/>
    <w:rsid w:val="00B10517"/>
    <w:rsid w:val="00B14E76"/>
    <w:rsid w:val="00B161B8"/>
    <w:rsid w:val="00B2048C"/>
    <w:rsid w:val="00B310B9"/>
    <w:rsid w:val="00B357B0"/>
    <w:rsid w:val="00B35F3F"/>
    <w:rsid w:val="00B36CBB"/>
    <w:rsid w:val="00B425E0"/>
    <w:rsid w:val="00B440AA"/>
    <w:rsid w:val="00B44B70"/>
    <w:rsid w:val="00B53C56"/>
    <w:rsid w:val="00B70083"/>
    <w:rsid w:val="00B7574C"/>
    <w:rsid w:val="00B77EA6"/>
    <w:rsid w:val="00B80ED8"/>
    <w:rsid w:val="00B81598"/>
    <w:rsid w:val="00B815F3"/>
    <w:rsid w:val="00B83849"/>
    <w:rsid w:val="00B841F1"/>
    <w:rsid w:val="00B944D6"/>
    <w:rsid w:val="00B95A7A"/>
    <w:rsid w:val="00BA744F"/>
    <w:rsid w:val="00BB4DF0"/>
    <w:rsid w:val="00BC289F"/>
    <w:rsid w:val="00BC5361"/>
    <w:rsid w:val="00BC5460"/>
    <w:rsid w:val="00BC6B50"/>
    <w:rsid w:val="00BD0E25"/>
    <w:rsid w:val="00BD6CD3"/>
    <w:rsid w:val="00BE592D"/>
    <w:rsid w:val="00BF0481"/>
    <w:rsid w:val="00BF5BD6"/>
    <w:rsid w:val="00BF66E5"/>
    <w:rsid w:val="00C021AC"/>
    <w:rsid w:val="00C03E31"/>
    <w:rsid w:val="00C33E72"/>
    <w:rsid w:val="00C34823"/>
    <w:rsid w:val="00C354B2"/>
    <w:rsid w:val="00C35554"/>
    <w:rsid w:val="00C35579"/>
    <w:rsid w:val="00C40F3F"/>
    <w:rsid w:val="00C42709"/>
    <w:rsid w:val="00C4510A"/>
    <w:rsid w:val="00C45AEC"/>
    <w:rsid w:val="00C533CC"/>
    <w:rsid w:val="00C5679F"/>
    <w:rsid w:val="00C5751C"/>
    <w:rsid w:val="00C61BFC"/>
    <w:rsid w:val="00C62B85"/>
    <w:rsid w:val="00C65438"/>
    <w:rsid w:val="00C728DC"/>
    <w:rsid w:val="00C91CBB"/>
    <w:rsid w:val="00C9341D"/>
    <w:rsid w:val="00CB5063"/>
    <w:rsid w:val="00CC09B6"/>
    <w:rsid w:val="00CC5077"/>
    <w:rsid w:val="00CC666F"/>
    <w:rsid w:val="00CC70E1"/>
    <w:rsid w:val="00CD1E3F"/>
    <w:rsid w:val="00CE44F6"/>
    <w:rsid w:val="00CE49DA"/>
    <w:rsid w:val="00CE7B61"/>
    <w:rsid w:val="00D00095"/>
    <w:rsid w:val="00D201EA"/>
    <w:rsid w:val="00D20620"/>
    <w:rsid w:val="00D21676"/>
    <w:rsid w:val="00D26091"/>
    <w:rsid w:val="00D34378"/>
    <w:rsid w:val="00D34E7C"/>
    <w:rsid w:val="00D34ED8"/>
    <w:rsid w:val="00D35489"/>
    <w:rsid w:val="00D51276"/>
    <w:rsid w:val="00D528D2"/>
    <w:rsid w:val="00D7035F"/>
    <w:rsid w:val="00D75EB6"/>
    <w:rsid w:val="00D84DD4"/>
    <w:rsid w:val="00D96AF0"/>
    <w:rsid w:val="00DA65AC"/>
    <w:rsid w:val="00DB0F51"/>
    <w:rsid w:val="00DB1913"/>
    <w:rsid w:val="00DB656A"/>
    <w:rsid w:val="00DC410D"/>
    <w:rsid w:val="00DC68CA"/>
    <w:rsid w:val="00DC7CBA"/>
    <w:rsid w:val="00DD07B2"/>
    <w:rsid w:val="00DD4492"/>
    <w:rsid w:val="00DD73B7"/>
    <w:rsid w:val="00DF1664"/>
    <w:rsid w:val="00DF28BC"/>
    <w:rsid w:val="00DF34B9"/>
    <w:rsid w:val="00DF7BFC"/>
    <w:rsid w:val="00E0057A"/>
    <w:rsid w:val="00E01053"/>
    <w:rsid w:val="00E01699"/>
    <w:rsid w:val="00E07ACF"/>
    <w:rsid w:val="00E331A1"/>
    <w:rsid w:val="00E33202"/>
    <w:rsid w:val="00E336A9"/>
    <w:rsid w:val="00E50624"/>
    <w:rsid w:val="00E568DF"/>
    <w:rsid w:val="00E6377A"/>
    <w:rsid w:val="00E64269"/>
    <w:rsid w:val="00E667F4"/>
    <w:rsid w:val="00E67049"/>
    <w:rsid w:val="00E82267"/>
    <w:rsid w:val="00E84429"/>
    <w:rsid w:val="00E8777A"/>
    <w:rsid w:val="00E97ED5"/>
    <w:rsid w:val="00EA010F"/>
    <w:rsid w:val="00EB1B2E"/>
    <w:rsid w:val="00EB57AB"/>
    <w:rsid w:val="00EC4EF3"/>
    <w:rsid w:val="00ED1B63"/>
    <w:rsid w:val="00ED3C1F"/>
    <w:rsid w:val="00ED4085"/>
    <w:rsid w:val="00ED420E"/>
    <w:rsid w:val="00EE2F57"/>
    <w:rsid w:val="00EF4C34"/>
    <w:rsid w:val="00EF77C6"/>
    <w:rsid w:val="00F05438"/>
    <w:rsid w:val="00F1361C"/>
    <w:rsid w:val="00F160C7"/>
    <w:rsid w:val="00F32517"/>
    <w:rsid w:val="00F36D8F"/>
    <w:rsid w:val="00F417B1"/>
    <w:rsid w:val="00F602DF"/>
    <w:rsid w:val="00F673F6"/>
    <w:rsid w:val="00F70043"/>
    <w:rsid w:val="00F73D8B"/>
    <w:rsid w:val="00F81FD9"/>
    <w:rsid w:val="00F841AA"/>
    <w:rsid w:val="00F92959"/>
    <w:rsid w:val="00FA23E8"/>
    <w:rsid w:val="00FA2ACD"/>
    <w:rsid w:val="00FA7BF1"/>
    <w:rsid w:val="00FB1CB7"/>
    <w:rsid w:val="00FC56B4"/>
    <w:rsid w:val="00FD1429"/>
    <w:rsid w:val="00FD3CC1"/>
    <w:rsid w:val="00FD6CD3"/>
    <w:rsid w:val="00FE26D9"/>
    <w:rsid w:val="00FE306F"/>
    <w:rsid w:val="00FF1E02"/>
    <w:rsid w:val="00FF30B4"/>
    <w:rsid w:val="10C055FF"/>
    <w:rsid w:val="16BB723D"/>
    <w:rsid w:val="1EC60317"/>
    <w:rsid w:val="240371BF"/>
    <w:rsid w:val="29FD04D3"/>
    <w:rsid w:val="2C6633E1"/>
    <w:rsid w:val="319F7F4E"/>
    <w:rsid w:val="33D317AA"/>
    <w:rsid w:val="581F09FB"/>
    <w:rsid w:val="7FDA651E"/>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99" w:semiHidden="0" w:name="toc 1"/>
    <w:lsdException w:qFormat="1" w:unhideWhenUsed="0" w:uiPriority="99" w:semiHidden="0" w:name="toc 2"/>
    <w:lsdException w:qFormat="1" w:unhideWhenUsed="0" w:uiPriority="99" w:semiHidden="0" w:name="toc 3"/>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semiHidden="0"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99" w:semiHidden="0" w:name="Strong"/>
    <w:lsdException w:qFormat="1" w:unhideWhenUsed="0" w:uiPriority="0" w:semiHidden="0" w:name="Emphasis" w:locked="1"/>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7"/>
    <w:qFormat/>
    <w:uiPriority w:val="99"/>
    <w:pPr>
      <w:keepNext/>
      <w:keepLines/>
      <w:spacing w:before="340" w:after="330" w:line="578" w:lineRule="auto"/>
      <w:outlineLvl w:val="0"/>
    </w:pPr>
    <w:rPr>
      <w:b/>
      <w:bCs/>
      <w:kern w:val="44"/>
      <w:sz w:val="44"/>
      <w:szCs w:val="44"/>
    </w:rPr>
  </w:style>
  <w:style w:type="paragraph" w:styleId="3">
    <w:name w:val="heading 2"/>
    <w:basedOn w:val="1"/>
    <w:next w:val="1"/>
    <w:link w:val="18"/>
    <w:qFormat/>
    <w:uiPriority w:val="99"/>
    <w:pPr>
      <w:keepNext/>
      <w:keepLines/>
      <w:spacing w:before="260" w:after="260" w:line="416" w:lineRule="auto"/>
      <w:outlineLvl w:val="1"/>
    </w:pPr>
    <w:rPr>
      <w:rFonts w:ascii="Cambria" w:hAnsi="Cambria"/>
      <w:b/>
      <w:bCs/>
      <w:sz w:val="32"/>
      <w:szCs w:val="32"/>
    </w:rPr>
  </w:style>
  <w:style w:type="paragraph" w:styleId="4">
    <w:name w:val="heading 3"/>
    <w:basedOn w:val="1"/>
    <w:next w:val="1"/>
    <w:link w:val="19"/>
    <w:qFormat/>
    <w:uiPriority w:val="99"/>
    <w:pPr>
      <w:keepNext/>
      <w:keepLines/>
      <w:spacing w:before="260" w:after="260" w:line="416" w:lineRule="auto"/>
      <w:outlineLvl w:val="2"/>
    </w:pPr>
    <w:rPr>
      <w:b/>
      <w:bCs/>
      <w:sz w:val="32"/>
      <w:szCs w:val="32"/>
    </w:rPr>
  </w:style>
  <w:style w:type="character" w:default="1" w:styleId="14">
    <w:name w:val="Default Paragraph Font"/>
    <w:unhideWhenUsed/>
    <w:qFormat/>
    <w:uiPriority w:val="1"/>
  </w:style>
  <w:style w:type="table" w:default="1" w:styleId="13">
    <w:name w:val="Normal Table"/>
    <w:unhideWhenUsed/>
    <w:qFormat/>
    <w:uiPriority w:val="99"/>
    <w:tblPr>
      <w:tblCellMar>
        <w:top w:w="0" w:type="dxa"/>
        <w:left w:w="108" w:type="dxa"/>
        <w:bottom w:w="0" w:type="dxa"/>
        <w:right w:w="108" w:type="dxa"/>
      </w:tblCellMar>
    </w:tblPr>
  </w:style>
  <w:style w:type="paragraph" w:styleId="5">
    <w:name w:val="Body Text"/>
    <w:basedOn w:val="1"/>
    <w:link w:val="25"/>
    <w:qFormat/>
    <w:uiPriority w:val="99"/>
    <w:pPr>
      <w:spacing w:beforeLines="30"/>
    </w:pPr>
    <w:rPr>
      <w:rFonts w:ascii="仿宋_GB2312" w:eastAsia="仿宋_GB2312"/>
      <w:kern w:val="0"/>
      <w:sz w:val="24"/>
      <w:szCs w:val="20"/>
    </w:rPr>
  </w:style>
  <w:style w:type="paragraph" w:styleId="6">
    <w:name w:val="toc 3"/>
    <w:basedOn w:val="1"/>
    <w:next w:val="1"/>
    <w:qFormat/>
    <w:uiPriority w:val="99"/>
    <w:pPr>
      <w:tabs>
        <w:tab w:val="right" w:leader="dot" w:pos="8296"/>
      </w:tabs>
      <w:ind w:left="840" w:leftChars="400"/>
    </w:pPr>
  </w:style>
  <w:style w:type="paragraph" w:styleId="7">
    <w:name w:val="Balloon Text"/>
    <w:basedOn w:val="1"/>
    <w:link w:val="29"/>
    <w:semiHidden/>
    <w:qFormat/>
    <w:uiPriority w:val="99"/>
    <w:rPr>
      <w:sz w:val="18"/>
      <w:szCs w:val="18"/>
    </w:rPr>
  </w:style>
  <w:style w:type="paragraph" w:styleId="8">
    <w:name w:val="footer"/>
    <w:basedOn w:val="1"/>
    <w:link w:val="24"/>
    <w:qFormat/>
    <w:uiPriority w:val="99"/>
    <w:pPr>
      <w:tabs>
        <w:tab w:val="center" w:pos="4153"/>
        <w:tab w:val="right" w:pos="8306"/>
      </w:tabs>
      <w:snapToGrid w:val="0"/>
      <w:jc w:val="left"/>
    </w:pPr>
    <w:rPr>
      <w:rFonts w:ascii="Calibri" w:hAnsi="Calibri"/>
      <w:kern w:val="0"/>
      <w:sz w:val="18"/>
      <w:szCs w:val="20"/>
    </w:rPr>
  </w:style>
  <w:style w:type="paragraph" w:styleId="9">
    <w:name w:val="header"/>
    <w:basedOn w:val="1"/>
    <w:link w:val="23"/>
    <w:semiHidden/>
    <w:qFormat/>
    <w:uiPriority w:val="99"/>
    <w:pPr>
      <w:pBdr>
        <w:bottom w:val="single" w:color="auto" w:sz="6" w:space="1"/>
      </w:pBdr>
      <w:tabs>
        <w:tab w:val="center" w:pos="4153"/>
        <w:tab w:val="right" w:pos="8306"/>
      </w:tabs>
      <w:snapToGrid w:val="0"/>
      <w:jc w:val="center"/>
    </w:pPr>
    <w:rPr>
      <w:rFonts w:ascii="Calibri" w:hAnsi="Calibri"/>
      <w:kern w:val="0"/>
      <w:sz w:val="18"/>
      <w:szCs w:val="20"/>
    </w:rPr>
  </w:style>
  <w:style w:type="paragraph" w:styleId="10">
    <w:name w:val="toc 1"/>
    <w:basedOn w:val="1"/>
    <w:next w:val="1"/>
    <w:qFormat/>
    <w:uiPriority w:val="99"/>
    <w:pPr>
      <w:tabs>
        <w:tab w:val="right" w:leader="dot" w:pos="8296"/>
      </w:tabs>
      <w:spacing w:before="93"/>
      <w:jc w:val="center"/>
    </w:pPr>
    <w:rPr>
      <w:rFonts w:ascii="仿宋" w:hAnsi="仿宋" w:eastAsia="仿宋"/>
      <w:sz w:val="28"/>
      <w:szCs w:val="28"/>
    </w:rPr>
  </w:style>
  <w:style w:type="paragraph" w:styleId="11">
    <w:name w:val="toc 2"/>
    <w:basedOn w:val="1"/>
    <w:next w:val="1"/>
    <w:qFormat/>
    <w:uiPriority w:val="99"/>
    <w:pPr>
      <w:tabs>
        <w:tab w:val="right" w:leader="dot" w:pos="8296"/>
      </w:tabs>
      <w:ind w:left="420" w:leftChars="200"/>
    </w:pPr>
  </w:style>
  <w:style w:type="paragraph" w:styleId="12">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character" w:styleId="15">
    <w:name w:val="Strong"/>
    <w:basedOn w:val="14"/>
    <w:qFormat/>
    <w:uiPriority w:val="99"/>
    <w:rPr>
      <w:rFonts w:cs="Times New Roman"/>
      <w:b/>
    </w:rPr>
  </w:style>
  <w:style w:type="character" w:styleId="16">
    <w:name w:val="Hyperlink"/>
    <w:basedOn w:val="14"/>
    <w:qFormat/>
    <w:uiPriority w:val="99"/>
    <w:rPr>
      <w:rFonts w:cs="Times New Roman"/>
      <w:color w:val="0000FF"/>
      <w:u w:val="single"/>
    </w:rPr>
  </w:style>
  <w:style w:type="character" w:customStyle="1" w:styleId="17">
    <w:name w:val="标题 1 Char"/>
    <w:basedOn w:val="14"/>
    <w:link w:val="2"/>
    <w:qFormat/>
    <w:locked/>
    <w:uiPriority w:val="99"/>
    <w:rPr>
      <w:rFonts w:ascii="Times New Roman" w:hAnsi="Times New Roman" w:cs="Times New Roman"/>
      <w:b/>
      <w:bCs/>
      <w:kern w:val="44"/>
      <w:sz w:val="44"/>
      <w:szCs w:val="44"/>
    </w:rPr>
  </w:style>
  <w:style w:type="character" w:customStyle="1" w:styleId="18">
    <w:name w:val="标题 2 Char"/>
    <w:basedOn w:val="14"/>
    <w:link w:val="3"/>
    <w:qFormat/>
    <w:locked/>
    <w:uiPriority w:val="99"/>
    <w:rPr>
      <w:rFonts w:ascii="Cambria" w:hAnsi="Cambria" w:eastAsia="宋体" w:cs="Times New Roman"/>
      <w:b/>
      <w:bCs/>
      <w:kern w:val="2"/>
      <w:sz w:val="32"/>
      <w:szCs w:val="32"/>
    </w:rPr>
  </w:style>
  <w:style w:type="character" w:customStyle="1" w:styleId="19">
    <w:name w:val="标题 3 Char"/>
    <w:basedOn w:val="14"/>
    <w:link w:val="4"/>
    <w:qFormat/>
    <w:locked/>
    <w:uiPriority w:val="99"/>
    <w:rPr>
      <w:rFonts w:ascii="Times New Roman" w:hAnsi="Times New Roman" w:cs="Times New Roman"/>
      <w:b/>
      <w:bCs/>
      <w:kern w:val="2"/>
      <w:sz w:val="32"/>
      <w:szCs w:val="32"/>
    </w:rPr>
  </w:style>
  <w:style w:type="character" w:customStyle="1" w:styleId="20">
    <w:name w:val="Body Text Char"/>
    <w:basedOn w:val="14"/>
    <w:link w:val="5"/>
    <w:semiHidden/>
    <w:qFormat/>
    <w:locked/>
    <w:uiPriority w:val="99"/>
    <w:rPr>
      <w:rFonts w:ascii="Times New Roman" w:hAnsi="Times New Roman" w:cs="Times New Roman"/>
      <w:sz w:val="24"/>
      <w:szCs w:val="24"/>
    </w:rPr>
  </w:style>
  <w:style w:type="character" w:customStyle="1" w:styleId="21">
    <w:name w:val="Footer Char"/>
    <w:basedOn w:val="14"/>
    <w:link w:val="8"/>
    <w:semiHidden/>
    <w:qFormat/>
    <w:locked/>
    <w:uiPriority w:val="99"/>
    <w:rPr>
      <w:rFonts w:ascii="Times New Roman" w:hAnsi="Times New Roman" w:cs="Times New Roman"/>
      <w:sz w:val="18"/>
      <w:szCs w:val="18"/>
    </w:rPr>
  </w:style>
  <w:style w:type="character" w:customStyle="1" w:styleId="22">
    <w:name w:val="Header Char"/>
    <w:basedOn w:val="14"/>
    <w:link w:val="9"/>
    <w:semiHidden/>
    <w:qFormat/>
    <w:locked/>
    <w:uiPriority w:val="99"/>
    <w:rPr>
      <w:rFonts w:ascii="Times New Roman" w:hAnsi="Times New Roman" w:cs="Times New Roman"/>
      <w:sz w:val="18"/>
      <w:szCs w:val="18"/>
    </w:rPr>
  </w:style>
  <w:style w:type="character" w:customStyle="1" w:styleId="23">
    <w:name w:val="页眉 Char"/>
    <w:link w:val="9"/>
    <w:semiHidden/>
    <w:qFormat/>
    <w:locked/>
    <w:uiPriority w:val="99"/>
    <w:rPr>
      <w:sz w:val="18"/>
    </w:rPr>
  </w:style>
  <w:style w:type="character" w:customStyle="1" w:styleId="24">
    <w:name w:val="页脚 Char"/>
    <w:link w:val="8"/>
    <w:qFormat/>
    <w:locked/>
    <w:uiPriority w:val="99"/>
    <w:rPr>
      <w:sz w:val="18"/>
    </w:rPr>
  </w:style>
  <w:style w:type="character" w:customStyle="1" w:styleId="25">
    <w:name w:val="正文文本 Char"/>
    <w:link w:val="5"/>
    <w:qFormat/>
    <w:locked/>
    <w:uiPriority w:val="99"/>
    <w:rPr>
      <w:rFonts w:ascii="仿宋_GB2312" w:hAnsi="Times New Roman" w:eastAsia="仿宋_GB2312"/>
      <w:sz w:val="24"/>
    </w:rPr>
  </w:style>
  <w:style w:type="paragraph" w:customStyle="1" w:styleId="26">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customStyle="1" w:styleId="27">
    <w:name w:val="列出段落1"/>
    <w:basedOn w:val="1"/>
    <w:qFormat/>
    <w:uiPriority w:val="99"/>
    <w:pPr>
      <w:ind w:firstLine="420" w:firstLineChars="200"/>
    </w:pPr>
  </w:style>
  <w:style w:type="paragraph" w:customStyle="1" w:styleId="28">
    <w:name w:val="TOC 标题1"/>
    <w:basedOn w:val="2"/>
    <w:next w:val="1"/>
    <w:qFormat/>
    <w:uiPriority w:val="99"/>
    <w:pPr>
      <w:widowControl/>
      <w:spacing w:before="480" w:after="0" w:line="276" w:lineRule="auto"/>
      <w:jc w:val="left"/>
      <w:outlineLvl w:val="9"/>
    </w:pPr>
    <w:rPr>
      <w:rFonts w:ascii="Cambria" w:hAnsi="Cambria"/>
      <w:color w:val="365F91"/>
      <w:kern w:val="0"/>
      <w:sz w:val="28"/>
      <w:szCs w:val="28"/>
    </w:rPr>
  </w:style>
  <w:style w:type="character" w:customStyle="1" w:styleId="29">
    <w:name w:val="批注框文本 Char"/>
    <w:basedOn w:val="14"/>
    <w:link w:val="7"/>
    <w:semiHidden/>
    <w:qFormat/>
    <w:locked/>
    <w:uiPriority w:val="99"/>
    <w:rPr>
      <w:rFonts w:ascii="Times New Roman" w:hAnsi="Times New Roman" w:cs="Times New Roman"/>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四川省财政厅</Company>
  <Pages>22</Pages>
  <Words>4751</Words>
  <Characters>5253</Characters>
  <Lines>83</Lines>
  <Paragraphs>23</Paragraphs>
  <TotalTime>0</TotalTime>
  <ScaleCrop>false</ScaleCrop>
  <LinksUpToDate>false</LinksUpToDate>
  <CharactersWithSpaces>5337</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2019-08-01T01:14:00Z</dcterms:created>
  <dc:creator>张彬茜</dc:creator>
  <cp:lastModifiedBy>宋桦坪</cp:lastModifiedBy>
  <cp:lastPrinted>2019-08-01T00:48:00Z</cp:lastPrinted>
  <dcterms:modified xsi:type="dcterms:W3CDTF">2024-12-24T08:07:34Z</dcterms:modified>
  <dc:title>四川省***</dc:title>
  <cp:revision>183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3228AE95D0C748DA847D6902D8138842_12</vt:lpwstr>
  </property>
</Properties>
</file>