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892CE">
      <w:pPr>
        <w:spacing w:line="600" w:lineRule="exact"/>
        <w:jc w:val="left"/>
        <w:outlineLvl w:val="9"/>
        <w:rPr>
          <w:rFonts w:ascii="方正小标宋简体" w:hAnsi="宋体" w:eastAsia="方正小标宋简体"/>
          <w:color w:val="auto"/>
          <w:sz w:val="21"/>
          <w:szCs w:val="21"/>
          <w:highlight w:val="none"/>
        </w:rPr>
      </w:pPr>
      <w:bookmarkStart w:id="0" w:name="_Toc15306267"/>
    </w:p>
    <w:p w14:paraId="2AE5B31C">
      <w:pPr>
        <w:spacing w:line="600" w:lineRule="exact"/>
        <w:jc w:val="center"/>
        <w:outlineLvl w:val="9"/>
        <w:rPr>
          <w:rFonts w:ascii="方正小标宋简体" w:hAnsi="宋体" w:eastAsia="方正小标宋简体"/>
          <w:color w:val="auto"/>
          <w:sz w:val="72"/>
          <w:szCs w:val="72"/>
          <w:highlight w:val="none"/>
        </w:rPr>
      </w:pPr>
    </w:p>
    <w:p w14:paraId="1E9498DC">
      <w:pPr>
        <w:spacing w:line="600" w:lineRule="exact"/>
        <w:jc w:val="center"/>
        <w:outlineLvl w:val="9"/>
        <w:rPr>
          <w:rFonts w:ascii="方正小标宋简体" w:hAnsi="宋体" w:eastAsia="方正小标宋简体"/>
          <w:color w:val="auto"/>
          <w:sz w:val="72"/>
          <w:szCs w:val="72"/>
          <w:highlight w:val="none"/>
        </w:rPr>
      </w:pPr>
    </w:p>
    <w:p w14:paraId="6F8FFEB0">
      <w:pPr>
        <w:bidi w:val="0"/>
        <w:jc w:val="center"/>
        <w:rPr>
          <w:rFonts w:hint="eastAsia"/>
          <w:b/>
          <w:bCs/>
          <w:sz w:val="72"/>
          <w:szCs w:val="144"/>
        </w:rPr>
      </w:pPr>
      <w:bookmarkStart w:id="1" w:name="_Toc15396475"/>
      <w:bookmarkStart w:id="2" w:name="_Toc15378441"/>
      <w:bookmarkStart w:id="3" w:name="_Toc15396597"/>
      <w:bookmarkStart w:id="4" w:name="_Toc15377425"/>
      <w:bookmarkStart w:id="5" w:name="_Toc15377193"/>
      <w:r>
        <w:rPr>
          <w:rFonts w:hint="eastAsia"/>
          <w:b/>
          <w:bCs/>
          <w:sz w:val="72"/>
          <w:szCs w:val="144"/>
        </w:rPr>
        <w:t>20</w:t>
      </w:r>
      <w:r>
        <w:rPr>
          <w:rFonts w:hint="eastAsia"/>
          <w:b/>
          <w:bCs/>
          <w:sz w:val="72"/>
          <w:szCs w:val="144"/>
          <w:lang w:val="en-US" w:eastAsia="zh-CN"/>
        </w:rPr>
        <w:t>22</w:t>
      </w:r>
      <w:r>
        <w:rPr>
          <w:rFonts w:hint="eastAsia"/>
          <w:b/>
          <w:bCs/>
          <w:sz w:val="72"/>
          <w:szCs w:val="144"/>
        </w:rPr>
        <w:t>年度</w:t>
      </w:r>
      <w:bookmarkEnd w:id="1"/>
      <w:bookmarkEnd w:id="2"/>
      <w:bookmarkEnd w:id="3"/>
      <w:bookmarkEnd w:id="4"/>
      <w:bookmarkEnd w:id="5"/>
      <w:bookmarkStart w:id="6" w:name="_Toc15396476"/>
      <w:bookmarkStart w:id="7" w:name="_Toc15377426"/>
      <w:bookmarkStart w:id="8" w:name="_Toc15396598"/>
      <w:bookmarkStart w:id="9" w:name="_Toc15377194"/>
      <w:bookmarkStart w:id="10" w:name="_Toc15378442"/>
      <w:r>
        <w:rPr>
          <w:rFonts w:hint="eastAsia"/>
          <w:b/>
          <w:bCs/>
          <w:sz w:val="72"/>
          <w:szCs w:val="144"/>
        </w:rPr>
        <w:t>四川省</w:t>
      </w:r>
      <w:bookmarkEnd w:id="0"/>
      <w:bookmarkEnd w:id="6"/>
      <w:bookmarkEnd w:id="7"/>
      <w:bookmarkEnd w:id="8"/>
      <w:bookmarkEnd w:id="9"/>
      <w:bookmarkEnd w:id="10"/>
      <w:r>
        <w:rPr>
          <w:rFonts w:hint="eastAsia"/>
          <w:b/>
          <w:bCs/>
          <w:sz w:val="72"/>
          <w:szCs w:val="144"/>
        </w:rPr>
        <w:t>攀枝花市大河中学校</w:t>
      </w:r>
    </w:p>
    <w:p w14:paraId="7B882B75">
      <w:pPr>
        <w:bidi w:val="0"/>
        <w:jc w:val="center"/>
        <w:rPr>
          <w:b/>
          <w:bCs/>
          <w:sz w:val="72"/>
          <w:szCs w:val="144"/>
        </w:rPr>
      </w:pPr>
      <w:r>
        <w:rPr>
          <w:rFonts w:hint="eastAsia"/>
          <w:b/>
          <w:bCs/>
          <w:sz w:val="72"/>
          <w:szCs w:val="144"/>
          <w:lang w:eastAsia="zh-CN"/>
        </w:rPr>
        <w:t>单位</w:t>
      </w:r>
      <w:r>
        <w:rPr>
          <w:rFonts w:hint="eastAsia"/>
          <w:b/>
          <w:bCs/>
          <w:sz w:val="72"/>
          <w:szCs w:val="144"/>
        </w:rPr>
        <w:t>决算编制说明</w:t>
      </w:r>
    </w:p>
    <w:p w14:paraId="761D6506">
      <w:pPr>
        <w:widowControl/>
        <w:jc w:val="center"/>
        <w:rPr>
          <w:rFonts w:hint="eastAsia" w:ascii="黑体" w:hAnsi="黑体" w:eastAsia="黑体"/>
          <w:color w:val="auto"/>
          <w:sz w:val="48"/>
          <w:szCs w:val="48"/>
          <w:highlight w:val="none"/>
        </w:rPr>
        <w:sectPr>
          <w:footerReference r:id="rId4" w:type="first"/>
          <w:headerReference r:id="rId3" w:type="default"/>
          <w:pgSz w:w="11906" w:h="16838"/>
          <w:pgMar w:top="1440" w:right="1800" w:bottom="1440" w:left="1800" w:header="851" w:footer="992" w:gutter="0"/>
          <w:pgNumType w:start="1"/>
          <w:cols w:space="425" w:num="1"/>
          <w:docGrid w:type="lines" w:linePitch="312" w:charSpace="0"/>
        </w:sectPr>
      </w:pPr>
    </w:p>
    <w:p w14:paraId="6E1C2EB9">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14:paraId="54CB5695">
      <w:pPr>
        <w:pStyle w:val="10"/>
        <w:rPr>
          <w:rFonts w:hint="eastAsia"/>
          <w:color w:val="FF0000"/>
          <w:highlight w:val="none"/>
        </w:rPr>
      </w:pPr>
    </w:p>
    <w:p w14:paraId="6357F3C5">
      <w:pPr>
        <w:pStyle w:val="10"/>
        <w:rPr>
          <w:color w:val="FF0000"/>
          <w:highlight w:val="none"/>
        </w:rPr>
      </w:pPr>
      <w:r>
        <w:rPr>
          <w:rFonts w:hint="eastAsia"/>
          <w:color w:val="FF0000"/>
          <w:highlight w:val="none"/>
        </w:rPr>
        <w:t>公开时间：20</w:t>
      </w:r>
      <w:r>
        <w:rPr>
          <w:rFonts w:hint="eastAsia"/>
          <w:color w:val="FF0000"/>
          <w:highlight w:val="none"/>
          <w:lang w:val="en-US" w:eastAsia="zh-CN"/>
        </w:rPr>
        <w:t>23</w:t>
      </w:r>
      <w:r>
        <w:rPr>
          <w:rFonts w:hint="eastAsia"/>
          <w:color w:val="FF0000"/>
          <w:highlight w:val="none"/>
        </w:rPr>
        <w:t>年</w:t>
      </w:r>
      <w:r>
        <w:rPr>
          <w:rFonts w:hint="eastAsia"/>
          <w:color w:val="FF0000"/>
          <w:highlight w:val="none"/>
          <w:lang w:val="en-US" w:eastAsia="zh-CN"/>
        </w:rPr>
        <w:t>9</w:t>
      </w:r>
      <w:r>
        <w:rPr>
          <w:rFonts w:hint="eastAsia"/>
          <w:color w:val="FF0000"/>
          <w:highlight w:val="none"/>
        </w:rPr>
        <w:t>月</w:t>
      </w:r>
      <w:r>
        <w:rPr>
          <w:rFonts w:hint="eastAsia"/>
          <w:color w:val="FF0000"/>
          <w:highlight w:val="none"/>
          <w:lang w:val="en-US" w:eastAsia="zh-CN"/>
        </w:rPr>
        <w:t>25</w:t>
      </w:r>
      <w:r>
        <w:rPr>
          <w:rFonts w:hint="eastAsia"/>
          <w:color w:val="FF0000"/>
          <w:highlight w:val="none"/>
        </w:rPr>
        <w:t>日</w:t>
      </w:r>
    </w:p>
    <w:p w14:paraId="1AEFC49B">
      <w:pPr>
        <w:pStyle w:val="10"/>
        <w:tabs>
          <w:tab w:val="right" w:leader="dot" w:pos="8306"/>
          <w:tab w:val="clear" w:pos="8296"/>
        </w:tabs>
      </w:pPr>
      <w:r>
        <w:fldChar w:fldCharType="begin"/>
      </w:r>
      <w:r>
        <w:instrText xml:space="preserve">TOC \o "1-2" \h \u </w:instrText>
      </w:r>
      <w:r>
        <w:fldChar w:fldCharType="separate"/>
      </w:r>
      <w:r>
        <w:fldChar w:fldCharType="begin"/>
      </w:r>
      <w:r>
        <w:instrText xml:space="preserve"> HYPERLINK \l _Toc8315 </w:instrText>
      </w:r>
      <w: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fldChar w:fldCharType="begin"/>
      </w:r>
      <w:r>
        <w:instrText xml:space="preserve"> PAGEREF _Toc8315 \h </w:instrText>
      </w:r>
      <w:r>
        <w:fldChar w:fldCharType="separate"/>
      </w:r>
      <w:r>
        <w:t>1</w:t>
      </w:r>
      <w:r>
        <w:fldChar w:fldCharType="end"/>
      </w:r>
      <w:r>
        <w:fldChar w:fldCharType="end"/>
      </w:r>
    </w:p>
    <w:p w14:paraId="53E80A32">
      <w:pPr>
        <w:pStyle w:val="11"/>
        <w:tabs>
          <w:tab w:val="right" w:leader="dot" w:pos="8306"/>
          <w:tab w:val="clear" w:pos="8296"/>
        </w:tabs>
      </w:pPr>
      <w:r>
        <w:fldChar w:fldCharType="begin"/>
      </w:r>
      <w:r>
        <w:instrText xml:space="preserve"> HYPERLINK \l _Toc2806 </w:instrText>
      </w:r>
      <w:r>
        <w:fldChar w:fldCharType="separate"/>
      </w:r>
      <w:r>
        <w:rPr>
          <w:rFonts w:hint="eastAsia" w:ascii="黑体" w:hAnsi="黑体" w:eastAsia="黑体"/>
          <w:bCs w:val="0"/>
          <w:lang w:eastAsia="zh-CN"/>
        </w:rPr>
        <w:t xml:space="preserve">一、 </w:t>
      </w:r>
      <w:r>
        <w:rPr>
          <w:rFonts w:hint="eastAsia" w:ascii="黑体" w:hAnsi="黑体" w:eastAsia="黑体"/>
          <w:bCs w:val="0"/>
          <w:highlight w:val="none"/>
          <w:lang w:eastAsia="zh-CN"/>
        </w:rPr>
        <w:t>主要职责</w:t>
      </w:r>
      <w:r>
        <w:tab/>
      </w:r>
      <w:r>
        <w:fldChar w:fldCharType="begin"/>
      </w:r>
      <w:r>
        <w:instrText xml:space="preserve"> PAGEREF _Toc2806 \h </w:instrText>
      </w:r>
      <w:r>
        <w:fldChar w:fldCharType="separate"/>
      </w:r>
      <w:r>
        <w:t>1</w:t>
      </w:r>
      <w:r>
        <w:fldChar w:fldCharType="end"/>
      </w:r>
      <w:r>
        <w:fldChar w:fldCharType="end"/>
      </w:r>
    </w:p>
    <w:p w14:paraId="2FDD29DB">
      <w:pPr>
        <w:pStyle w:val="11"/>
        <w:tabs>
          <w:tab w:val="right" w:leader="dot" w:pos="8306"/>
          <w:tab w:val="clear" w:pos="8296"/>
        </w:tabs>
      </w:pPr>
      <w:r>
        <w:fldChar w:fldCharType="begin"/>
      </w:r>
      <w:r>
        <w:instrText xml:space="preserve"> HYPERLINK \l _Toc28026 </w:instrText>
      </w:r>
      <w:r>
        <w:fldChar w:fldCharType="separate"/>
      </w:r>
      <w:r>
        <w:rPr>
          <w:rFonts w:hint="eastAsia"/>
          <w:lang w:val="en-US" w:eastAsia="zh-CN"/>
        </w:rPr>
        <w:t>二、 机构设置</w:t>
      </w:r>
      <w:r>
        <w:tab/>
      </w:r>
      <w:r>
        <w:fldChar w:fldCharType="begin"/>
      </w:r>
      <w:r>
        <w:instrText xml:space="preserve"> PAGEREF _Toc28026 \h </w:instrText>
      </w:r>
      <w:r>
        <w:fldChar w:fldCharType="separate"/>
      </w:r>
      <w:r>
        <w:t>1</w:t>
      </w:r>
      <w:r>
        <w:fldChar w:fldCharType="end"/>
      </w:r>
      <w:r>
        <w:fldChar w:fldCharType="end"/>
      </w:r>
    </w:p>
    <w:p w14:paraId="0866C96D">
      <w:pPr>
        <w:pStyle w:val="10"/>
        <w:tabs>
          <w:tab w:val="right" w:leader="dot" w:pos="8306"/>
          <w:tab w:val="clear" w:pos="8296"/>
        </w:tabs>
      </w:pPr>
      <w:r>
        <w:fldChar w:fldCharType="begin"/>
      </w:r>
      <w:r>
        <w:instrText xml:space="preserve"> HYPERLINK \l _Toc14335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fldChar w:fldCharType="begin"/>
      </w:r>
      <w:r>
        <w:instrText xml:space="preserve"> PAGEREF _Toc14335 \h </w:instrText>
      </w:r>
      <w:r>
        <w:fldChar w:fldCharType="separate"/>
      </w:r>
      <w:r>
        <w:t>3</w:t>
      </w:r>
      <w:r>
        <w:fldChar w:fldCharType="end"/>
      </w:r>
      <w:r>
        <w:fldChar w:fldCharType="end"/>
      </w:r>
    </w:p>
    <w:p w14:paraId="2273F139">
      <w:pPr>
        <w:pStyle w:val="11"/>
        <w:tabs>
          <w:tab w:val="right" w:leader="dot" w:pos="8306"/>
          <w:tab w:val="clear" w:pos="8296"/>
        </w:tabs>
      </w:pPr>
      <w:r>
        <w:fldChar w:fldCharType="begin"/>
      </w:r>
      <w:r>
        <w:instrText xml:space="preserve"> HYPERLINK \l _Toc14960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_Toc14960 \h </w:instrText>
      </w:r>
      <w:r>
        <w:fldChar w:fldCharType="separate"/>
      </w:r>
      <w:r>
        <w:t>3</w:t>
      </w:r>
      <w:r>
        <w:fldChar w:fldCharType="end"/>
      </w:r>
      <w:r>
        <w:fldChar w:fldCharType="end"/>
      </w:r>
    </w:p>
    <w:p w14:paraId="0D2B9EE6">
      <w:pPr>
        <w:pStyle w:val="11"/>
        <w:tabs>
          <w:tab w:val="right" w:leader="dot" w:pos="8306"/>
          <w:tab w:val="clear" w:pos="8296"/>
        </w:tabs>
      </w:pPr>
      <w:r>
        <w:fldChar w:fldCharType="begin"/>
      </w:r>
      <w:r>
        <w:instrText xml:space="preserve"> HYPERLINK \l _Toc9361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_Toc9361 \h </w:instrText>
      </w:r>
      <w:r>
        <w:fldChar w:fldCharType="separate"/>
      </w:r>
      <w:r>
        <w:t>3</w:t>
      </w:r>
      <w:r>
        <w:fldChar w:fldCharType="end"/>
      </w:r>
      <w:r>
        <w:fldChar w:fldCharType="end"/>
      </w:r>
    </w:p>
    <w:p w14:paraId="212DFBEC">
      <w:pPr>
        <w:pStyle w:val="11"/>
        <w:tabs>
          <w:tab w:val="right" w:leader="dot" w:pos="8306"/>
          <w:tab w:val="clear" w:pos="8296"/>
        </w:tabs>
      </w:pPr>
      <w:r>
        <w:fldChar w:fldCharType="begin"/>
      </w:r>
      <w:r>
        <w:instrText xml:space="preserve"> HYPERLINK \l _Toc2949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_Toc2949 \h </w:instrText>
      </w:r>
      <w:r>
        <w:fldChar w:fldCharType="separate"/>
      </w:r>
      <w:r>
        <w:t>4</w:t>
      </w:r>
      <w:r>
        <w:fldChar w:fldCharType="end"/>
      </w:r>
      <w:r>
        <w:fldChar w:fldCharType="end"/>
      </w:r>
    </w:p>
    <w:p w14:paraId="2AAA9D1C">
      <w:pPr>
        <w:pStyle w:val="11"/>
        <w:tabs>
          <w:tab w:val="right" w:leader="dot" w:pos="8306"/>
          <w:tab w:val="clear" w:pos="8296"/>
        </w:tabs>
      </w:pPr>
      <w:r>
        <w:fldChar w:fldCharType="begin"/>
      </w:r>
      <w:r>
        <w:instrText xml:space="preserve"> HYPERLINK \l _Toc14736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_Toc14736 \h </w:instrText>
      </w:r>
      <w:r>
        <w:fldChar w:fldCharType="separate"/>
      </w:r>
      <w:r>
        <w:t>5</w:t>
      </w:r>
      <w:r>
        <w:fldChar w:fldCharType="end"/>
      </w:r>
      <w:r>
        <w:fldChar w:fldCharType="end"/>
      </w:r>
    </w:p>
    <w:p w14:paraId="1859BE2B">
      <w:pPr>
        <w:pStyle w:val="11"/>
        <w:tabs>
          <w:tab w:val="right" w:leader="dot" w:pos="8306"/>
          <w:tab w:val="clear" w:pos="8296"/>
        </w:tabs>
      </w:pPr>
      <w:r>
        <w:fldChar w:fldCharType="begin"/>
      </w:r>
      <w:r>
        <w:instrText xml:space="preserve"> HYPERLINK \l _Toc19945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_Toc19945 \h </w:instrText>
      </w:r>
      <w:r>
        <w:fldChar w:fldCharType="separate"/>
      </w:r>
      <w:r>
        <w:t>5</w:t>
      </w:r>
      <w:r>
        <w:fldChar w:fldCharType="end"/>
      </w:r>
      <w:r>
        <w:fldChar w:fldCharType="end"/>
      </w:r>
    </w:p>
    <w:p w14:paraId="7DD8B231">
      <w:pPr>
        <w:pStyle w:val="11"/>
        <w:tabs>
          <w:tab w:val="right" w:leader="dot" w:pos="8306"/>
          <w:tab w:val="clear" w:pos="8296"/>
        </w:tabs>
      </w:pPr>
      <w:r>
        <w:fldChar w:fldCharType="begin"/>
      </w:r>
      <w:r>
        <w:instrText xml:space="preserve"> HYPERLINK \l _Toc8165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_Toc8165 \h </w:instrText>
      </w:r>
      <w:r>
        <w:fldChar w:fldCharType="separate"/>
      </w:r>
      <w:r>
        <w:t>9</w:t>
      </w:r>
      <w:r>
        <w:fldChar w:fldCharType="end"/>
      </w:r>
      <w:r>
        <w:fldChar w:fldCharType="end"/>
      </w:r>
    </w:p>
    <w:p w14:paraId="5AECCE91">
      <w:pPr>
        <w:pStyle w:val="11"/>
        <w:tabs>
          <w:tab w:val="right" w:leader="dot" w:pos="8306"/>
          <w:tab w:val="clear" w:pos="8296"/>
        </w:tabs>
      </w:pPr>
      <w:r>
        <w:fldChar w:fldCharType="begin"/>
      </w:r>
      <w:r>
        <w:instrText xml:space="preserve"> HYPERLINK \l _Toc32136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_Toc32136 \h </w:instrText>
      </w:r>
      <w:r>
        <w:fldChar w:fldCharType="separate"/>
      </w:r>
      <w:r>
        <w:t>10</w:t>
      </w:r>
      <w:r>
        <w:fldChar w:fldCharType="end"/>
      </w:r>
      <w:r>
        <w:fldChar w:fldCharType="end"/>
      </w:r>
    </w:p>
    <w:p w14:paraId="407F9C90">
      <w:pPr>
        <w:pStyle w:val="11"/>
        <w:tabs>
          <w:tab w:val="right" w:leader="dot" w:pos="8306"/>
          <w:tab w:val="clear" w:pos="8296"/>
        </w:tabs>
      </w:pPr>
      <w:r>
        <w:fldChar w:fldCharType="begin"/>
      </w:r>
      <w:r>
        <w:instrText xml:space="preserve"> HYPERLINK \l _Toc10188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_Toc10188 \h </w:instrText>
      </w:r>
      <w:r>
        <w:fldChar w:fldCharType="separate"/>
      </w:r>
      <w:r>
        <w:t>12</w:t>
      </w:r>
      <w:r>
        <w:fldChar w:fldCharType="end"/>
      </w:r>
      <w:r>
        <w:fldChar w:fldCharType="end"/>
      </w:r>
    </w:p>
    <w:p w14:paraId="4C02E116">
      <w:pPr>
        <w:pStyle w:val="11"/>
        <w:tabs>
          <w:tab w:val="right" w:leader="dot" w:pos="8306"/>
          <w:tab w:val="clear" w:pos="8296"/>
        </w:tabs>
      </w:pPr>
      <w:r>
        <w:fldChar w:fldCharType="begin"/>
      </w:r>
      <w:r>
        <w:instrText xml:space="preserve"> HYPERLINK \l _Toc26027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_Toc26027 \h </w:instrText>
      </w:r>
      <w:r>
        <w:fldChar w:fldCharType="separate"/>
      </w:r>
      <w:r>
        <w:t>12</w:t>
      </w:r>
      <w:r>
        <w:fldChar w:fldCharType="end"/>
      </w:r>
      <w:r>
        <w:fldChar w:fldCharType="end"/>
      </w:r>
    </w:p>
    <w:p w14:paraId="29D9701C">
      <w:pPr>
        <w:pStyle w:val="11"/>
        <w:tabs>
          <w:tab w:val="right" w:leader="dot" w:pos="8306"/>
          <w:tab w:val="clear" w:pos="8296"/>
        </w:tabs>
      </w:pPr>
      <w:r>
        <w:fldChar w:fldCharType="begin"/>
      </w:r>
      <w:r>
        <w:instrText xml:space="preserve"> HYPERLINK \l _Toc9081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_Toc9081 \h </w:instrText>
      </w:r>
      <w:r>
        <w:fldChar w:fldCharType="separate"/>
      </w:r>
      <w:r>
        <w:t>12</w:t>
      </w:r>
      <w:r>
        <w:fldChar w:fldCharType="end"/>
      </w:r>
      <w:r>
        <w:fldChar w:fldCharType="end"/>
      </w:r>
    </w:p>
    <w:p w14:paraId="3040689A">
      <w:pPr>
        <w:pStyle w:val="10"/>
        <w:tabs>
          <w:tab w:val="right" w:leader="dot" w:pos="8306"/>
          <w:tab w:val="clear" w:pos="8296"/>
        </w:tabs>
      </w:pPr>
      <w:r>
        <w:fldChar w:fldCharType="begin"/>
      </w:r>
      <w:r>
        <w:instrText xml:space="preserve"> HYPERLINK \l _Toc15232 </w:instrText>
      </w:r>
      <w: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_Toc15232 \h </w:instrText>
      </w:r>
      <w:r>
        <w:fldChar w:fldCharType="separate"/>
      </w:r>
      <w:r>
        <w:t>14</w:t>
      </w:r>
      <w:r>
        <w:fldChar w:fldCharType="end"/>
      </w:r>
      <w:r>
        <w:fldChar w:fldCharType="end"/>
      </w:r>
    </w:p>
    <w:p w14:paraId="55B129EC">
      <w:pPr>
        <w:pStyle w:val="10"/>
        <w:tabs>
          <w:tab w:val="right" w:leader="dot" w:pos="8306"/>
          <w:tab w:val="clear" w:pos="8296"/>
        </w:tabs>
      </w:pPr>
      <w:r>
        <w:fldChar w:fldCharType="begin"/>
      </w:r>
      <w:r>
        <w:instrText xml:space="preserve"> HYPERLINK \l _Toc6152 </w:instrText>
      </w:r>
      <w:r>
        <w:fldChar w:fldCharType="separate"/>
      </w:r>
      <w:r>
        <w:rPr>
          <w:rFonts w:hint="eastAsia" w:ascii="黑体" w:hAnsi="黑体" w:eastAsia="黑体" w:cs="黑体"/>
          <w:szCs w:val="44"/>
          <w:lang w:val="en-US" w:eastAsia="zh-CN"/>
        </w:rPr>
        <w:t xml:space="preserve">第四部分 </w:t>
      </w:r>
      <w:r>
        <w:rPr>
          <w:rFonts w:hint="eastAsia"/>
          <w:lang w:val="en-US" w:eastAsia="zh-CN"/>
        </w:rPr>
        <w:t>附件</w:t>
      </w:r>
      <w:r>
        <w:tab/>
      </w:r>
      <w:r>
        <w:fldChar w:fldCharType="begin"/>
      </w:r>
      <w:r>
        <w:instrText xml:space="preserve"> PAGEREF _Toc6152 \h </w:instrText>
      </w:r>
      <w:r>
        <w:fldChar w:fldCharType="separate"/>
      </w:r>
      <w:r>
        <w:t>18</w:t>
      </w:r>
      <w:r>
        <w:fldChar w:fldCharType="end"/>
      </w:r>
      <w:r>
        <w:fldChar w:fldCharType="end"/>
      </w:r>
    </w:p>
    <w:p w14:paraId="45804E9B">
      <w:pPr>
        <w:pStyle w:val="10"/>
        <w:tabs>
          <w:tab w:val="right" w:leader="dot" w:pos="8306"/>
          <w:tab w:val="clear" w:pos="8296"/>
        </w:tabs>
      </w:pPr>
      <w:r>
        <w:fldChar w:fldCharType="begin"/>
      </w:r>
      <w:r>
        <w:instrText xml:space="preserve"> HYPERLINK \l _Toc2509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_Toc2509 \h </w:instrText>
      </w:r>
      <w:r>
        <w:fldChar w:fldCharType="separate"/>
      </w:r>
      <w:r>
        <w:t>35</w:t>
      </w:r>
      <w:r>
        <w:fldChar w:fldCharType="end"/>
      </w:r>
      <w:r>
        <w:fldChar w:fldCharType="end"/>
      </w:r>
    </w:p>
    <w:p w14:paraId="3927DA6B">
      <w:pPr>
        <w:pStyle w:val="11"/>
        <w:tabs>
          <w:tab w:val="right" w:leader="dot" w:pos="8306"/>
          <w:tab w:val="clear" w:pos="8296"/>
        </w:tabs>
      </w:pPr>
      <w:r>
        <w:fldChar w:fldCharType="begin"/>
      </w:r>
      <w:r>
        <w:instrText xml:space="preserve"> HYPERLINK \l _Toc32470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_Toc32470 \h </w:instrText>
      </w:r>
      <w:r>
        <w:fldChar w:fldCharType="separate"/>
      </w:r>
      <w:r>
        <w:t>35</w:t>
      </w:r>
      <w:r>
        <w:fldChar w:fldCharType="end"/>
      </w:r>
      <w:r>
        <w:fldChar w:fldCharType="end"/>
      </w:r>
    </w:p>
    <w:p w14:paraId="2427E887">
      <w:pPr>
        <w:pStyle w:val="11"/>
        <w:tabs>
          <w:tab w:val="right" w:leader="dot" w:pos="8306"/>
          <w:tab w:val="clear" w:pos="8296"/>
        </w:tabs>
      </w:pPr>
      <w:r>
        <w:fldChar w:fldCharType="begin"/>
      </w:r>
      <w:r>
        <w:instrText xml:space="preserve"> HYPERLINK \l _Toc24419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_Toc24419 \h </w:instrText>
      </w:r>
      <w:r>
        <w:fldChar w:fldCharType="separate"/>
      </w:r>
      <w:r>
        <w:t>35</w:t>
      </w:r>
      <w:r>
        <w:fldChar w:fldCharType="end"/>
      </w:r>
      <w:r>
        <w:fldChar w:fldCharType="end"/>
      </w:r>
    </w:p>
    <w:p w14:paraId="572BED02">
      <w:pPr>
        <w:pStyle w:val="11"/>
        <w:tabs>
          <w:tab w:val="right" w:leader="dot" w:pos="8306"/>
          <w:tab w:val="clear" w:pos="8296"/>
        </w:tabs>
      </w:pPr>
      <w:r>
        <w:fldChar w:fldCharType="begin"/>
      </w:r>
      <w:r>
        <w:instrText xml:space="preserve"> HYPERLINK \l _Toc25266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_Toc25266 \h </w:instrText>
      </w:r>
      <w:r>
        <w:fldChar w:fldCharType="separate"/>
      </w:r>
      <w:r>
        <w:t>35</w:t>
      </w:r>
      <w:r>
        <w:fldChar w:fldCharType="end"/>
      </w:r>
      <w:r>
        <w:fldChar w:fldCharType="end"/>
      </w:r>
    </w:p>
    <w:p w14:paraId="784A3219">
      <w:pPr>
        <w:pStyle w:val="11"/>
        <w:tabs>
          <w:tab w:val="right" w:leader="dot" w:pos="8306"/>
          <w:tab w:val="clear" w:pos="8296"/>
        </w:tabs>
      </w:pPr>
      <w:r>
        <w:fldChar w:fldCharType="begin"/>
      </w:r>
      <w:r>
        <w:instrText xml:space="preserve"> HYPERLINK \l _Toc32271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_Toc32271 \h </w:instrText>
      </w:r>
      <w:r>
        <w:fldChar w:fldCharType="separate"/>
      </w:r>
      <w:r>
        <w:t>35</w:t>
      </w:r>
      <w:r>
        <w:fldChar w:fldCharType="end"/>
      </w:r>
      <w:r>
        <w:fldChar w:fldCharType="end"/>
      </w:r>
    </w:p>
    <w:p w14:paraId="409A5D58">
      <w:pPr>
        <w:pStyle w:val="11"/>
        <w:tabs>
          <w:tab w:val="right" w:leader="dot" w:pos="8306"/>
          <w:tab w:val="clear" w:pos="8296"/>
        </w:tabs>
      </w:pPr>
      <w:r>
        <w:fldChar w:fldCharType="begin"/>
      </w:r>
      <w:r>
        <w:instrText xml:space="preserve"> HYPERLINK \l _Toc16267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_Toc16267 \h </w:instrText>
      </w:r>
      <w:r>
        <w:fldChar w:fldCharType="separate"/>
      </w:r>
      <w:r>
        <w:t>35</w:t>
      </w:r>
      <w:r>
        <w:fldChar w:fldCharType="end"/>
      </w:r>
      <w:r>
        <w:fldChar w:fldCharType="end"/>
      </w:r>
    </w:p>
    <w:p w14:paraId="79656F62">
      <w:pPr>
        <w:pStyle w:val="11"/>
        <w:tabs>
          <w:tab w:val="right" w:leader="dot" w:pos="8306"/>
          <w:tab w:val="clear" w:pos="8296"/>
        </w:tabs>
      </w:pPr>
      <w:r>
        <w:fldChar w:fldCharType="begin"/>
      </w:r>
      <w:r>
        <w:instrText xml:space="preserve"> HYPERLINK \l _Toc30225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_Toc30225 \h </w:instrText>
      </w:r>
      <w:r>
        <w:fldChar w:fldCharType="separate"/>
      </w:r>
      <w:r>
        <w:t>35</w:t>
      </w:r>
      <w:r>
        <w:fldChar w:fldCharType="end"/>
      </w:r>
      <w:r>
        <w:fldChar w:fldCharType="end"/>
      </w:r>
    </w:p>
    <w:p w14:paraId="6B28358E">
      <w:pPr>
        <w:pStyle w:val="11"/>
        <w:tabs>
          <w:tab w:val="right" w:leader="dot" w:pos="8306"/>
          <w:tab w:val="clear" w:pos="8296"/>
        </w:tabs>
      </w:pPr>
      <w:r>
        <w:fldChar w:fldCharType="begin"/>
      </w:r>
      <w:r>
        <w:instrText xml:space="preserve"> HYPERLINK \l _Toc125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_Toc125 \h </w:instrText>
      </w:r>
      <w:r>
        <w:fldChar w:fldCharType="separate"/>
      </w:r>
      <w:r>
        <w:t>35</w:t>
      </w:r>
      <w:r>
        <w:fldChar w:fldCharType="end"/>
      </w:r>
      <w:r>
        <w:fldChar w:fldCharType="end"/>
      </w:r>
    </w:p>
    <w:p w14:paraId="34BCF322">
      <w:pPr>
        <w:pStyle w:val="11"/>
        <w:tabs>
          <w:tab w:val="right" w:leader="dot" w:pos="8306"/>
          <w:tab w:val="clear" w:pos="8296"/>
        </w:tabs>
      </w:pPr>
      <w:r>
        <w:fldChar w:fldCharType="begin"/>
      </w:r>
      <w:r>
        <w:instrText xml:space="preserve"> HYPERLINK \l _Toc14957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_Toc14957 \h </w:instrText>
      </w:r>
      <w:r>
        <w:fldChar w:fldCharType="separate"/>
      </w:r>
      <w:r>
        <w:t>35</w:t>
      </w:r>
      <w:r>
        <w:fldChar w:fldCharType="end"/>
      </w:r>
      <w:r>
        <w:fldChar w:fldCharType="end"/>
      </w:r>
    </w:p>
    <w:p w14:paraId="159FE494">
      <w:pPr>
        <w:pStyle w:val="11"/>
        <w:tabs>
          <w:tab w:val="right" w:leader="dot" w:pos="8306"/>
          <w:tab w:val="clear" w:pos="8296"/>
        </w:tabs>
      </w:pPr>
      <w:r>
        <w:fldChar w:fldCharType="begin"/>
      </w:r>
      <w:r>
        <w:instrText xml:space="preserve"> HYPERLINK \l _Toc6004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_Toc6004 \h </w:instrText>
      </w:r>
      <w:r>
        <w:fldChar w:fldCharType="separate"/>
      </w:r>
      <w:r>
        <w:t>35</w:t>
      </w:r>
      <w:r>
        <w:fldChar w:fldCharType="end"/>
      </w:r>
      <w:r>
        <w:fldChar w:fldCharType="end"/>
      </w:r>
    </w:p>
    <w:p w14:paraId="342D4D96">
      <w:pPr>
        <w:pStyle w:val="11"/>
        <w:tabs>
          <w:tab w:val="right" w:leader="dot" w:pos="8306"/>
          <w:tab w:val="clear" w:pos="8296"/>
        </w:tabs>
      </w:pPr>
      <w:r>
        <w:fldChar w:fldCharType="begin"/>
      </w:r>
      <w:r>
        <w:instrText xml:space="preserve"> HYPERLINK \l _Toc23688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_Toc23688 \h </w:instrText>
      </w:r>
      <w:r>
        <w:fldChar w:fldCharType="separate"/>
      </w:r>
      <w:r>
        <w:t>35</w:t>
      </w:r>
      <w:r>
        <w:fldChar w:fldCharType="end"/>
      </w:r>
      <w:r>
        <w:fldChar w:fldCharType="end"/>
      </w:r>
    </w:p>
    <w:p w14:paraId="1E6B8121">
      <w:pPr>
        <w:pStyle w:val="11"/>
        <w:tabs>
          <w:tab w:val="right" w:leader="dot" w:pos="8306"/>
          <w:tab w:val="clear" w:pos="8296"/>
        </w:tabs>
      </w:pPr>
      <w:r>
        <w:fldChar w:fldCharType="begin"/>
      </w:r>
      <w:r>
        <w:instrText xml:space="preserve"> HYPERLINK \l _Toc17086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_Toc17086 \h </w:instrText>
      </w:r>
      <w:r>
        <w:fldChar w:fldCharType="separate"/>
      </w:r>
      <w:r>
        <w:t>35</w:t>
      </w:r>
      <w:r>
        <w:fldChar w:fldCharType="end"/>
      </w:r>
      <w:r>
        <w:fldChar w:fldCharType="end"/>
      </w:r>
    </w:p>
    <w:p w14:paraId="1D4EA62B">
      <w:pPr>
        <w:pStyle w:val="11"/>
        <w:tabs>
          <w:tab w:val="right" w:leader="dot" w:pos="8306"/>
          <w:tab w:val="clear" w:pos="8296"/>
        </w:tabs>
      </w:pPr>
      <w:r>
        <w:fldChar w:fldCharType="begin"/>
      </w:r>
      <w:r>
        <w:instrText xml:space="preserve"> HYPERLINK \l _Toc20980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_Toc20980 \h </w:instrText>
      </w:r>
      <w:r>
        <w:fldChar w:fldCharType="separate"/>
      </w:r>
      <w:r>
        <w:t>35</w:t>
      </w:r>
      <w:r>
        <w:fldChar w:fldCharType="end"/>
      </w:r>
      <w:r>
        <w:fldChar w:fldCharType="end"/>
      </w:r>
    </w:p>
    <w:p w14:paraId="0618C61D">
      <w:pPr>
        <w:pStyle w:val="11"/>
        <w:tabs>
          <w:tab w:val="right" w:leader="dot" w:pos="8306"/>
          <w:tab w:val="clear" w:pos="8296"/>
        </w:tabs>
      </w:pPr>
      <w:r>
        <w:fldChar w:fldCharType="begin"/>
      </w:r>
      <w:r>
        <w:instrText xml:space="preserve"> HYPERLINK \l _Toc30780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_Toc30780 \h </w:instrText>
      </w:r>
      <w:r>
        <w:fldChar w:fldCharType="separate"/>
      </w:r>
      <w:r>
        <w:t>35</w:t>
      </w:r>
      <w:r>
        <w:fldChar w:fldCharType="end"/>
      </w:r>
      <w:r>
        <w:fldChar w:fldCharType="end"/>
      </w:r>
    </w:p>
    <w:p w14:paraId="55AA41EB">
      <w:r>
        <w:fldChar w:fldCharType="end"/>
      </w:r>
    </w:p>
    <w:p w14:paraId="3E72DF4B">
      <w:pPr>
        <w:pStyle w:val="2"/>
        <w:jc w:val="center"/>
        <w:rPr>
          <w:rFonts w:hint="eastAsia" w:ascii="黑体" w:hAnsi="黑体" w:eastAsia="黑体"/>
          <w:b w:val="0"/>
          <w:color w:val="auto"/>
          <w:highlight w:val="none"/>
        </w:rPr>
        <w:sectPr>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0D69DCEF">
      <w:pPr>
        <w:pStyle w:val="2"/>
        <w:jc w:val="center"/>
        <w:rPr>
          <w:rStyle w:val="24"/>
          <w:rFonts w:ascii="黑体" w:hAnsi="黑体" w:eastAsia="黑体"/>
          <w:b/>
          <w:bCs w:val="0"/>
          <w:color w:val="auto"/>
          <w:highlight w:val="none"/>
        </w:rPr>
      </w:pPr>
      <w:bookmarkStart w:id="11" w:name="_Toc8315"/>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1"/>
    </w:p>
    <w:p w14:paraId="714DD9FC">
      <w:pPr>
        <w:pStyle w:val="3"/>
        <w:numPr>
          <w:ilvl w:val="0"/>
          <w:numId w:val="1"/>
        </w:numPr>
        <w:bidi w:val="0"/>
        <w:rPr>
          <w:rStyle w:val="25"/>
          <w:rFonts w:hint="eastAsia" w:ascii="黑体" w:hAnsi="黑体" w:eastAsia="黑体"/>
          <w:b w:val="0"/>
          <w:bCs w:val="0"/>
          <w:color w:val="auto"/>
          <w:highlight w:val="none"/>
          <w:lang w:eastAsia="zh-CN"/>
        </w:rPr>
      </w:pPr>
      <w:bookmarkStart w:id="12" w:name="_Toc2806"/>
      <w:bookmarkStart w:id="13" w:name="_Toc15396600"/>
      <w:bookmarkStart w:id="14" w:name="_Toc15377197"/>
      <w:r>
        <w:rPr>
          <w:rStyle w:val="25"/>
          <w:rFonts w:hint="eastAsia" w:ascii="黑体" w:hAnsi="黑体" w:eastAsia="黑体"/>
          <w:b w:val="0"/>
          <w:bCs w:val="0"/>
          <w:color w:val="auto"/>
          <w:highlight w:val="none"/>
          <w:lang w:eastAsia="zh-CN"/>
        </w:rPr>
        <w:t>主要职责</w:t>
      </w:r>
      <w:bookmarkEnd w:id="12"/>
    </w:p>
    <w:p w14:paraId="1BB5C1EE">
      <w:pPr>
        <w:adjustRightInd w:val="0"/>
        <w:snapToGrid w:val="0"/>
        <w:spacing w:before="93" w:beforeLines="30" w:line="580" w:lineRule="exact"/>
        <w:ind w:firstLine="672" w:firstLineChars="210"/>
        <w:rPr>
          <w:rFonts w:ascii="仿宋" w:hAnsi="仿宋" w:eastAsia="仿宋"/>
          <w:bCs/>
          <w:color w:val="auto"/>
          <w:kern w:val="0"/>
          <w:sz w:val="32"/>
          <w:szCs w:val="32"/>
        </w:rPr>
      </w:pPr>
      <w:r>
        <w:rPr>
          <w:rFonts w:hint="eastAsia" w:ascii="仿宋" w:hAnsi="仿宋" w:eastAsia="仿宋"/>
          <w:bCs/>
          <w:color w:val="auto"/>
          <w:kern w:val="0"/>
          <w:sz w:val="32"/>
          <w:szCs w:val="32"/>
        </w:rPr>
        <w:t>按照财政决算管理的有关规定，</w:t>
      </w:r>
      <w:r>
        <w:rPr>
          <w:rFonts w:hint="eastAsia" w:ascii="仿宋" w:hAnsi="仿宋" w:eastAsia="仿宋"/>
          <w:bCs/>
          <w:color w:val="auto"/>
          <w:kern w:val="0"/>
          <w:sz w:val="32"/>
          <w:szCs w:val="32"/>
          <w:lang w:eastAsia="zh-CN"/>
        </w:rPr>
        <w:t>单位</w:t>
      </w:r>
      <w:r>
        <w:rPr>
          <w:rFonts w:hint="eastAsia" w:ascii="仿宋" w:hAnsi="仿宋" w:eastAsia="仿宋"/>
          <w:bCs/>
          <w:color w:val="auto"/>
          <w:kern w:val="0"/>
          <w:sz w:val="32"/>
          <w:szCs w:val="32"/>
        </w:rPr>
        <w:t>决算编报内容包括预算单位的全部收支情况。</w:t>
      </w:r>
    </w:p>
    <w:p w14:paraId="2014EBBE">
      <w:pPr>
        <w:adjustRightInd w:val="0"/>
        <w:snapToGrid w:val="0"/>
        <w:spacing w:before="93" w:beforeLines="30" w:line="580" w:lineRule="exact"/>
        <w:ind w:firstLine="672" w:firstLineChars="210"/>
        <w:rPr>
          <w:rFonts w:hint="eastAsia"/>
          <w:lang w:eastAsia="zh-CN"/>
        </w:rPr>
      </w:pPr>
      <w:r>
        <w:rPr>
          <w:rFonts w:hint="eastAsia" w:ascii="仿宋" w:hAnsi="仿宋" w:eastAsia="仿宋"/>
          <w:bCs/>
          <w:color w:val="auto"/>
          <w:kern w:val="0"/>
          <w:sz w:val="32"/>
          <w:szCs w:val="32"/>
        </w:rPr>
        <w:t>我单位的</w:t>
      </w:r>
      <w:r>
        <w:rPr>
          <w:rFonts w:hint="eastAsia" w:ascii="仿宋" w:hAnsi="仿宋" w:eastAsia="仿宋"/>
          <w:bCs/>
          <w:color w:val="auto"/>
          <w:kern w:val="0"/>
          <w:sz w:val="32"/>
          <w:szCs w:val="32"/>
          <w:lang w:val="en-US" w:eastAsia="zh-CN"/>
        </w:rPr>
        <w:t>主要</w:t>
      </w:r>
      <w:r>
        <w:rPr>
          <w:rFonts w:hint="eastAsia" w:ascii="仿宋" w:hAnsi="仿宋" w:eastAsia="仿宋"/>
          <w:bCs/>
          <w:color w:val="auto"/>
          <w:kern w:val="0"/>
          <w:sz w:val="32"/>
          <w:szCs w:val="32"/>
        </w:rPr>
        <w:t>职能</w:t>
      </w:r>
      <w:r>
        <w:rPr>
          <w:rFonts w:hint="eastAsia" w:ascii="仿宋" w:hAnsi="仿宋" w:eastAsia="仿宋"/>
          <w:bCs/>
          <w:color w:val="auto"/>
          <w:kern w:val="0"/>
          <w:sz w:val="32"/>
          <w:szCs w:val="32"/>
          <w:lang w:val="en-US" w:eastAsia="zh-CN"/>
        </w:rPr>
        <w:t>为</w:t>
      </w:r>
      <w:r>
        <w:rPr>
          <w:rFonts w:hint="eastAsia" w:ascii="仿宋" w:hAnsi="仿宋" w:eastAsia="仿宋" w:cs="仿宋"/>
          <w:bCs/>
          <w:color w:val="auto"/>
          <w:kern w:val="0"/>
          <w:sz w:val="32"/>
          <w:szCs w:val="32"/>
        </w:rPr>
        <w:t>实施初中义务教育和普通高中教育，</w:t>
      </w:r>
      <w:r>
        <w:rPr>
          <w:rFonts w:hint="eastAsia" w:ascii="仿宋" w:hAnsi="仿宋" w:eastAsia="仿宋" w:cs="仿宋"/>
          <w:color w:val="auto"/>
          <w:sz w:val="32"/>
          <w:szCs w:val="32"/>
        </w:rPr>
        <w:t>宣传贯彻党和国家的教育方针，政策，法律法规，坚持依法治教，依法治学，贯彻执行省市区教育主管</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的行政规章制度，</w:t>
      </w:r>
      <w:r>
        <w:rPr>
          <w:rFonts w:hint="eastAsia" w:ascii="仿宋" w:hAnsi="仿宋" w:eastAsia="仿宋" w:cs="仿宋"/>
          <w:bCs/>
          <w:color w:val="auto"/>
          <w:kern w:val="0"/>
          <w:sz w:val="32"/>
          <w:szCs w:val="32"/>
        </w:rPr>
        <w:t>促进仁和区基础教育健康稳定发展。完成普通高中和初中学生成人成才教育工作，使学生思想品德符合社会主义思想道德要求。通过教育教学及教研活动，提升教师业务能力及整体素质提高，通过开展教育科学研究活动，培养创新型教师人才队伍；加强</w:t>
      </w:r>
      <w:r>
        <w:rPr>
          <w:rFonts w:hint="eastAsia" w:ascii="仿宋" w:hAnsi="仿宋" w:eastAsia="仿宋" w:cs="仿宋"/>
          <w:bCs/>
          <w:color w:val="auto"/>
          <w:sz w:val="32"/>
          <w:szCs w:val="32"/>
        </w:rPr>
        <w:t>学校规章制度建设以及后勤科学管理，提升学校办学能力和水平。</w:t>
      </w:r>
    </w:p>
    <w:p w14:paraId="0077CE4F">
      <w:pPr>
        <w:pStyle w:val="3"/>
        <w:numPr>
          <w:ilvl w:val="0"/>
          <w:numId w:val="1"/>
        </w:numPr>
        <w:bidi w:val="0"/>
        <w:ind w:left="0" w:leftChars="0" w:firstLine="0" w:firstLineChars="0"/>
        <w:rPr>
          <w:rFonts w:hint="eastAsia"/>
          <w:lang w:val="en-US" w:eastAsia="zh-CN"/>
        </w:rPr>
      </w:pPr>
      <w:bookmarkStart w:id="15" w:name="_Toc28026"/>
      <w:r>
        <w:rPr>
          <w:rFonts w:hint="eastAsia"/>
          <w:lang w:val="en-US" w:eastAsia="zh-CN"/>
        </w:rPr>
        <w:t>机构设置</w:t>
      </w:r>
      <w:bookmarkEnd w:id="15"/>
    </w:p>
    <w:p w14:paraId="1356A525">
      <w:pPr>
        <w:ind w:firstLine="800" w:firstLineChars="250"/>
        <w:rPr>
          <w:rFonts w:hint="eastAsia" w:ascii="仿宋" w:hAnsi="仿宋" w:eastAsia="仿宋"/>
          <w:sz w:val="32"/>
          <w:szCs w:val="32"/>
        </w:rPr>
      </w:pPr>
      <w:r>
        <w:rPr>
          <w:rFonts w:hint="eastAsia" w:ascii="仿宋" w:hAnsi="仿宋" w:eastAsia="仿宋"/>
          <w:sz w:val="32"/>
          <w:szCs w:val="32"/>
          <w:lang w:val="en-US" w:eastAsia="zh-CN"/>
        </w:rPr>
        <w:t>四川省攀枝花市大河中学校</w:t>
      </w:r>
      <w:r>
        <w:rPr>
          <w:rFonts w:hint="eastAsia" w:ascii="仿宋" w:hAnsi="仿宋" w:eastAsia="仿宋"/>
          <w:sz w:val="32"/>
          <w:szCs w:val="32"/>
        </w:rPr>
        <w:t>属一级预算单位，下设独立编制机构</w:t>
      </w:r>
      <w:r>
        <w:rPr>
          <w:rFonts w:hint="eastAsia" w:ascii="仿宋" w:hAnsi="仿宋" w:eastAsia="仿宋"/>
          <w:sz w:val="32"/>
          <w:szCs w:val="32"/>
          <w:lang w:val="en-US" w:eastAsia="zh-CN"/>
        </w:rPr>
        <w:t>0</w:t>
      </w:r>
      <w:r>
        <w:rPr>
          <w:rFonts w:hint="eastAsia" w:ascii="仿宋" w:hAnsi="仿宋" w:eastAsia="仿宋"/>
          <w:sz w:val="32"/>
          <w:szCs w:val="32"/>
        </w:rPr>
        <w:t>个，其中行政机构</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个，参照公务员法管理的事业机构</w:t>
      </w:r>
      <w:r>
        <w:rPr>
          <w:rFonts w:hint="eastAsia" w:ascii="仿宋" w:hAnsi="仿宋" w:eastAsia="仿宋"/>
          <w:bCs/>
          <w:sz w:val="32"/>
          <w:szCs w:val="32"/>
          <w:lang w:val="en-US" w:eastAsia="zh-CN"/>
        </w:rPr>
        <w:t>0</w:t>
      </w:r>
      <w:r>
        <w:rPr>
          <w:rFonts w:hint="eastAsia" w:ascii="仿宋" w:hAnsi="仿宋" w:eastAsia="仿宋"/>
          <w:sz w:val="32"/>
          <w:szCs w:val="32"/>
        </w:rPr>
        <w:t>个，其他事业机构</w:t>
      </w:r>
      <w:r>
        <w:rPr>
          <w:rFonts w:hint="eastAsia" w:ascii="仿宋" w:hAnsi="仿宋" w:eastAsia="仿宋"/>
          <w:sz w:val="32"/>
          <w:szCs w:val="32"/>
          <w:lang w:val="en-US" w:eastAsia="zh-CN"/>
        </w:rPr>
        <w:t>0</w:t>
      </w:r>
      <w:r>
        <w:rPr>
          <w:rFonts w:hint="eastAsia" w:ascii="仿宋" w:hAnsi="仿宋" w:eastAsia="仿宋"/>
          <w:sz w:val="32"/>
          <w:szCs w:val="32"/>
        </w:rPr>
        <w:t>个。</w:t>
      </w:r>
    </w:p>
    <w:p w14:paraId="60BCE1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华文仿宋" w:hAnsi="华文仿宋" w:eastAsia="华文仿宋" w:cs="华文仿宋"/>
          <w:kern w:val="2"/>
          <w:sz w:val="32"/>
          <w:szCs w:val="32"/>
          <w:lang w:val="en-US" w:eastAsia="zh-CN" w:bidi="ar"/>
        </w:rPr>
        <w:t>四川省攀枝花市大河中学校，创建于1965年，与攀枝花市同龄。2016年9月，学校成功创建“四川省二级示范性普通高中”。学校现占地面积133473.02平方米，校舍建筑面积122857.32平方米，绿化面积43939.14平方米。</w:t>
      </w:r>
      <w:r>
        <w:rPr>
          <w:rFonts w:hint="eastAsia" w:ascii="华文仿宋" w:hAnsi="华文仿宋" w:eastAsia="华文仿宋" w:cs="华文仿宋"/>
          <w:color w:val="auto"/>
          <w:kern w:val="2"/>
          <w:sz w:val="32"/>
          <w:szCs w:val="32"/>
          <w:lang w:val="en-US" w:eastAsia="zh-CN" w:bidi="ar"/>
        </w:rPr>
        <w:t>学校党委现下设6个党支部，共有正式党员185人。学校现有校级领导班子成员3人，中层领导班子23人。学校内设10个处室和6个年级组。学校现有在职教职工391人，专任教师369人，正高级教师1人，高级教师102人，四川省特级教师2人，四川省骨干教师3人，各级各类学科带头人和骨干教师81人；教学班97个，在校学生4701人。</w:t>
      </w:r>
    </w:p>
    <w:p w14:paraId="0FE8901A">
      <w:pPr>
        <w:numPr>
          <w:ilvl w:val="0"/>
          <w:numId w:val="0"/>
        </w:numPr>
        <w:ind w:leftChars="0"/>
        <w:rPr>
          <w:rFonts w:hint="eastAsia"/>
          <w:lang w:val="en-US" w:eastAsia="zh-CN"/>
        </w:rPr>
      </w:pPr>
    </w:p>
    <w:bookmarkEnd w:id="13"/>
    <w:bookmarkEnd w:id="14"/>
    <w:p w14:paraId="368661FF">
      <w:pPr>
        <w:pStyle w:val="2"/>
        <w:ind w:right="440"/>
        <w:jc w:val="center"/>
        <w:rPr>
          <w:rFonts w:hint="eastAsia" w:ascii="黑体" w:hAnsi="黑体" w:eastAsia="黑体"/>
          <w:b w:val="0"/>
          <w:bCs/>
          <w:color w:val="auto"/>
          <w:highlight w:val="none"/>
        </w:rPr>
        <w:sectPr>
          <w:footerReference r:id="rId9" w:type="first"/>
          <w:footerReference r:id="rId7" w:type="default"/>
          <w:footerReference r:id="rId8" w:type="even"/>
          <w:pgSz w:w="11906" w:h="16838"/>
          <w:pgMar w:top="1440" w:right="1800" w:bottom="1440" w:left="1800" w:header="851" w:footer="992" w:gutter="0"/>
          <w:pgNumType w:start="1"/>
          <w:cols w:space="425" w:num="1"/>
          <w:docGrid w:type="lines" w:linePitch="312" w:charSpace="0"/>
        </w:sectPr>
      </w:pPr>
      <w:bookmarkStart w:id="16" w:name="_Toc15396602"/>
      <w:bookmarkStart w:id="17" w:name="_Toc15377204"/>
    </w:p>
    <w:p w14:paraId="0FF7C82B">
      <w:pPr>
        <w:pStyle w:val="2"/>
        <w:ind w:right="440"/>
        <w:jc w:val="center"/>
        <w:rPr>
          <w:rStyle w:val="24"/>
          <w:rFonts w:ascii="黑体" w:hAnsi="黑体" w:eastAsia="黑体"/>
          <w:b w:val="0"/>
          <w:bCs/>
          <w:color w:val="auto"/>
          <w:highlight w:val="none"/>
        </w:rPr>
      </w:pPr>
      <w:bookmarkStart w:id="18" w:name="_Toc14335"/>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bookmarkEnd w:id="18"/>
    </w:p>
    <w:p w14:paraId="02B0EF4E">
      <w:pPr>
        <w:rPr>
          <w:color w:val="auto"/>
          <w:highlight w:val="none"/>
        </w:rPr>
      </w:pPr>
    </w:p>
    <w:p w14:paraId="626A956F">
      <w:pPr>
        <w:pStyle w:val="23"/>
        <w:numPr>
          <w:ilvl w:val="0"/>
          <w:numId w:val="2"/>
        </w:numPr>
        <w:spacing w:line="600" w:lineRule="exact"/>
        <w:ind w:firstLineChars="0"/>
        <w:outlineLvl w:val="1"/>
        <w:rPr>
          <w:rStyle w:val="25"/>
          <w:rFonts w:ascii="黑体" w:hAnsi="黑体" w:eastAsia="黑体"/>
          <w:b w:val="0"/>
          <w:color w:val="auto"/>
          <w:highlight w:val="none"/>
        </w:rPr>
      </w:pPr>
      <w:bookmarkStart w:id="19" w:name="_Toc15396603"/>
      <w:bookmarkStart w:id="20" w:name="_Toc15377205"/>
      <w:bookmarkStart w:id="21" w:name="_Toc14960"/>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9"/>
      <w:bookmarkEnd w:id="20"/>
      <w:bookmarkEnd w:id="21"/>
    </w:p>
    <w:p w14:paraId="18FBDF6B">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年度收、支总计6893.05万元。与20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年相比，收、支总计各减少127.45万元，下降</w:t>
      </w:r>
      <w:r>
        <w:rPr>
          <w:rFonts w:hint="eastAsia" w:ascii="仿宋" w:hAnsi="仿宋" w:eastAsia="仿宋"/>
          <w:color w:val="auto"/>
          <w:sz w:val="32"/>
          <w:szCs w:val="32"/>
          <w:highlight w:val="none"/>
          <w:lang w:val="en-US" w:eastAsia="zh-CN"/>
        </w:rPr>
        <w:t>1.81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2022年受疫情影响较大，财政拨款支出减少</w:t>
      </w:r>
      <w:r>
        <w:rPr>
          <w:rFonts w:hint="eastAsia" w:ascii="仿宋" w:hAnsi="仿宋" w:eastAsia="仿宋"/>
          <w:color w:val="auto"/>
          <w:sz w:val="32"/>
          <w:szCs w:val="32"/>
          <w:highlight w:val="none"/>
          <w:lang w:eastAsia="zh-CN"/>
        </w:rPr>
        <w:t>。</w:t>
      </w:r>
    </w:p>
    <w:p w14:paraId="7901B0CB">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14:paraId="1459BBB8">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59264" behindDoc="0" locked="0" layoutInCell="1" allowOverlap="1">
            <wp:simplePos x="0" y="0"/>
            <wp:positionH relativeFrom="column">
              <wp:posOffset>33020</wp:posOffset>
            </wp:positionH>
            <wp:positionV relativeFrom="paragraph">
              <wp:posOffset>109220</wp:posOffset>
            </wp:positionV>
            <wp:extent cx="4826000" cy="2743200"/>
            <wp:effectExtent l="4445" t="4445" r="8255" b="14605"/>
            <wp:wrapTopAndBottom/>
            <wp:docPr id="4" name="图表 3" descr="7b0a202020202263686172745265734964223a2022343636393838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4D964830">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4"/>
      <w:bookmarkStart w:id="23" w:name="_Toc9361"/>
      <w:bookmarkStart w:id="24"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2"/>
      <w:bookmarkEnd w:id="23"/>
      <w:bookmarkEnd w:id="24"/>
    </w:p>
    <w:p w14:paraId="6FDBD9F6">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年本年收入合计6893.05万元，其中：一般公共预算财政拨款收入6893.05万元，占</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w:t>
      </w:r>
    </w:p>
    <w:p w14:paraId="687023F6">
      <w:pPr>
        <w:bidi w:val="0"/>
        <w:jc w:val="center"/>
        <w:rPr>
          <w:b/>
          <w:bCs/>
          <w:sz w:val="28"/>
          <w:szCs w:val="36"/>
        </w:rPr>
      </w:pPr>
      <w:r>
        <w:rPr>
          <w:b/>
          <w:bCs/>
          <w:sz w:val="28"/>
          <w:szCs w:val="36"/>
        </w:rPr>
        <w:drawing>
          <wp:anchor distT="0" distB="0" distL="114300" distR="114300" simplePos="0" relativeHeight="251660288" behindDoc="0" locked="0" layoutInCell="1" allowOverlap="1">
            <wp:simplePos x="0" y="0"/>
            <wp:positionH relativeFrom="column">
              <wp:posOffset>252095</wp:posOffset>
            </wp:positionH>
            <wp:positionV relativeFrom="paragraph">
              <wp:posOffset>1166495</wp:posOffset>
            </wp:positionV>
            <wp:extent cx="4826000" cy="2743200"/>
            <wp:effectExtent l="4445" t="4445" r="8255" b="1460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63571298">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收入决算结构图</w:t>
      </w:r>
    </w:p>
    <w:p w14:paraId="1B325829">
      <w:pPr>
        <w:spacing w:line="600" w:lineRule="exact"/>
        <w:ind w:firstLine="640" w:firstLineChars="200"/>
        <w:rPr>
          <w:rFonts w:ascii="仿宋_GB2312" w:eastAsia="仿宋_GB2312"/>
          <w:color w:val="auto"/>
          <w:sz w:val="32"/>
          <w:szCs w:val="32"/>
          <w:highlight w:val="none"/>
        </w:rPr>
      </w:pPr>
    </w:p>
    <w:p w14:paraId="62B967F3">
      <w:pPr>
        <w:pStyle w:val="23"/>
        <w:numPr>
          <w:ilvl w:val="0"/>
          <w:numId w:val="2"/>
        </w:numPr>
        <w:spacing w:line="600" w:lineRule="exact"/>
        <w:ind w:firstLineChars="0"/>
        <w:outlineLvl w:val="1"/>
        <w:rPr>
          <w:rStyle w:val="25"/>
          <w:rFonts w:ascii="黑体" w:hAnsi="黑体" w:eastAsia="黑体"/>
          <w:b w:val="0"/>
          <w:color w:val="auto"/>
          <w:highlight w:val="none"/>
        </w:rPr>
      </w:pPr>
      <w:bookmarkStart w:id="25" w:name="_Toc15396605"/>
      <w:bookmarkStart w:id="26" w:name="_Toc2949"/>
      <w:bookmarkStart w:id="27"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5"/>
      <w:bookmarkEnd w:id="26"/>
      <w:bookmarkEnd w:id="27"/>
    </w:p>
    <w:p w14:paraId="79458BD9">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年本年支出合计6893.05万元，其中：基本支出6356.02万元，占92.21%；项目支出537.02万元，占7.79%；上缴上级支出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w:t>
      </w:r>
    </w:p>
    <w:p w14:paraId="7BD3E1ED">
      <w:pPr>
        <w:bidi w:val="0"/>
        <w:jc w:val="center"/>
        <w:rPr>
          <w:rFonts w:hint="eastAsia"/>
          <w:b/>
          <w:bCs/>
          <w:sz w:val="28"/>
          <w:szCs w:val="36"/>
        </w:rPr>
      </w:pPr>
    </w:p>
    <w:p w14:paraId="11E59A97">
      <w:pPr>
        <w:spacing w:line="600" w:lineRule="exact"/>
        <w:jc w:val="center"/>
        <w:rPr>
          <w:rFonts w:hint="eastAsia"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498475</wp:posOffset>
            </wp:positionH>
            <wp:positionV relativeFrom="paragraph">
              <wp:posOffset>404495</wp:posOffset>
            </wp:positionV>
            <wp:extent cx="4378325" cy="2209165"/>
            <wp:effectExtent l="4445" t="4445" r="17780" b="53340"/>
            <wp:wrapTopAndBottom/>
            <wp:docPr id="10" name="图表 9" descr="7b0a202020202263686172745265734964223a202232303437363039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 w:hAnsi="仿宋" w:eastAsia="仿宋"/>
          <w:color w:val="auto"/>
          <w:sz w:val="32"/>
          <w:szCs w:val="32"/>
          <w:highlight w:val="none"/>
        </w:rPr>
        <w:t>图3：支出决算结构图</w:t>
      </w:r>
    </w:p>
    <w:p w14:paraId="2E4E9A49">
      <w:pPr>
        <w:spacing w:line="600" w:lineRule="exact"/>
        <w:jc w:val="center"/>
        <w:rPr>
          <w:rFonts w:hint="eastAsia" w:ascii="仿宋" w:hAnsi="仿宋" w:eastAsia="仿宋"/>
          <w:color w:val="auto"/>
          <w:sz w:val="32"/>
          <w:szCs w:val="32"/>
          <w:highlight w:val="none"/>
        </w:rPr>
      </w:pPr>
    </w:p>
    <w:p w14:paraId="4095B1AB">
      <w:pPr>
        <w:spacing w:line="600" w:lineRule="exact"/>
        <w:ind w:firstLine="640" w:firstLineChars="200"/>
        <w:outlineLvl w:val="1"/>
        <w:rPr>
          <w:rStyle w:val="25"/>
          <w:rFonts w:ascii="黑体" w:hAnsi="黑体" w:eastAsia="黑体"/>
          <w:b w:val="0"/>
          <w:color w:val="auto"/>
          <w:highlight w:val="none"/>
        </w:rPr>
      </w:pPr>
      <w:bookmarkStart w:id="28" w:name="_Toc14736"/>
      <w:bookmarkStart w:id="29" w:name="_Toc15377208"/>
      <w:bookmarkStart w:id="30"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8"/>
      <w:bookmarkEnd w:id="29"/>
      <w:bookmarkEnd w:id="30"/>
    </w:p>
    <w:p w14:paraId="32D1A8CC">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年财政拨款收、支总计6893.05万元。与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年相比，财政拨款收、支总计各减少127.45万元，下降</w:t>
      </w:r>
      <w:r>
        <w:rPr>
          <w:rFonts w:hint="eastAsia" w:ascii="仿宋" w:hAnsi="仿宋" w:eastAsia="仿宋"/>
          <w:color w:val="auto"/>
          <w:sz w:val="32"/>
          <w:szCs w:val="32"/>
          <w:highlight w:val="none"/>
          <w:lang w:val="en-US" w:eastAsia="zh-CN"/>
        </w:rPr>
        <w:t>1.81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2022年受疫情影响较大，财政拨款支出减少</w:t>
      </w:r>
      <w:r>
        <w:rPr>
          <w:rFonts w:hint="eastAsia" w:ascii="仿宋" w:hAnsi="仿宋" w:eastAsia="仿宋"/>
          <w:color w:val="auto"/>
          <w:sz w:val="32"/>
          <w:szCs w:val="32"/>
          <w:highlight w:val="none"/>
          <w:lang w:eastAsia="zh-CN"/>
        </w:rPr>
        <w:t>。</w:t>
      </w:r>
    </w:p>
    <w:p w14:paraId="7AA35FC5">
      <w:pPr>
        <w:spacing w:line="600" w:lineRule="exact"/>
        <w:ind w:firstLine="640"/>
        <w:rPr>
          <w:rFonts w:ascii="仿宋" w:hAnsi="仿宋" w:eastAsia="仿宋"/>
          <w:b/>
          <w:color w:val="auto"/>
          <w:sz w:val="32"/>
          <w:szCs w:val="32"/>
          <w:highlight w:val="none"/>
        </w:rPr>
      </w:pPr>
    </w:p>
    <w:p w14:paraId="39FB67AA">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14:paraId="504589F0">
      <w:pPr>
        <w:spacing w:line="600" w:lineRule="exact"/>
        <w:ind w:firstLine="420" w:firstLineChars="200"/>
      </w:pPr>
      <w:r>
        <w:drawing>
          <wp:anchor distT="0" distB="0" distL="114300" distR="114300" simplePos="0" relativeHeight="251662336" behindDoc="0" locked="0" layoutInCell="1" allowOverlap="1">
            <wp:simplePos x="0" y="0"/>
            <wp:positionH relativeFrom="column">
              <wp:posOffset>213995</wp:posOffset>
            </wp:positionH>
            <wp:positionV relativeFrom="paragraph">
              <wp:posOffset>42545</wp:posOffset>
            </wp:positionV>
            <wp:extent cx="4826000" cy="2743200"/>
            <wp:effectExtent l="4445" t="4445" r="8255" b="14605"/>
            <wp:wrapTopAndBottom/>
            <wp:docPr id="15" name="图表 14" descr="7b0a202020202263686172745265734964223a202232303437323330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bookmarkStart w:id="31" w:name="_Toc15396607"/>
      <w:bookmarkStart w:id="32" w:name="_Toc15377209"/>
    </w:p>
    <w:p w14:paraId="6CFB034B">
      <w:pPr>
        <w:spacing w:line="600" w:lineRule="exact"/>
        <w:ind w:firstLine="640" w:firstLineChars="200"/>
        <w:outlineLvl w:val="1"/>
        <w:rPr>
          <w:rStyle w:val="25"/>
          <w:rFonts w:ascii="黑体" w:hAnsi="黑体" w:eastAsia="黑体"/>
          <w:b w:val="0"/>
          <w:color w:val="auto"/>
          <w:highlight w:val="none"/>
        </w:rPr>
      </w:pPr>
      <w:bookmarkStart w:id="33" w:name="_Toc19945"/>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1"/>
      <w:bookmarkEnd w:id="32"/>
      <w:bookmarkEnd w:id="33"/>
    </w:p>
    <w:p w14:paraId="5AC432E2">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14:paraId="3E03D9C3">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年一般公共预算财政拨款支出6893.05万元，占本年支出合计的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减少127.45万元，下降</w:t>
      </w:r>
      <w:r>
        <w:rPr>
          <w:rFonts w:hint="eastAsia" w:ascii="仿宋" w:hAnsi="仿宋" w:eastAsia="仿宋"/>
          <w:color w:val="auto"/>
          <w:sz w:val="32"/>
          <w:szCs w:val="32"/>
          <w:highlight w:val="none"/>
          <w:lang w:val="en-US" w:eastAsia="zh-CN"/>
        </w:rPr>
        <w:t>1.81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2022年受疫情影响较大，财政拨款支出减少</w:t>
      </w:r>
      <w:r>
        <w:rPr>
          <w:rFonts w:hint="eastAsia" w:ascii="仿宋" w:hAnsi="仿宋" w:eastAsia="仿宋"/>
          <w:color w:val="auto"/>
          <w:sz w:val="32"/>
          <w:szCs w:val="32"/>
          <w:highlight w:val="none"/>
          <w:lang w:eastAsia="zh-CN"/>
        </w:rPr>
        <w:t>。</w:t>
      </w:r>
    </w:p>
    <w:p w14:paraId="5BC53FC0">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14:paraId="348C0484">
      <w:pPr>
        <w:spacing w:line="600" w:lineRule="exact"/>
        <w:ind w:firstLine="420" w:firstLineChars="200"/>
      </w:pPr>
      <w:r>
        <w:drawing>
          <wp:anchor distT="0" distB="0" distL="114300" distR="114300" simplePos="0" relativeHeight="251663360" behindDoc="0" locked="0" layoutInCell="1" allowOverlap="1">
            <wp:simplePos x="0" y="0"/>
            <wp:positionH relativeFrom="column">
              <wp:posOffset>352425</wp:posOffset>
            </wp:positionH>
            <wp:positionV relativeFrom="paragraph">
              <wp:posOffset>133350</wp:posOffset>
            </wp:positionV>
            <wp:extent cx="4826000" cy="2743200"/>
            <wp:effectExtent l="0" t="0" r="12700" b="0"/>
            <wp:wrapTopAndBottom/>
            <wp:docPr id="19" name="图表 18" descr="7b0a202020202263686172745265734964223a202232303437343334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bookmarkStart w:id="35" w:name="_Toc15377211"/>
    </w:p>
    <w:p w14:paraId="5B4CCC84">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35"/>
    </w:p>
    <w:p w14:paraId="3F792E2F">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年一般公共预算财政拨款支出6893.05万元，主要用于以下方面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5303.85万元，占76.94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781.1万元，占11.33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351.09万元，占5.09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457.01万元，占6.63</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3B3150FB">
      <w:pPr>
        <w:spacing w:line="600" w:lineRule="exact"/>
        <w:ind w:firstLine="640"/>
        <w:rPr>
          <w:rFonts w:hint="eastAsia" w:ascii="仿宋" w:hAnsi="仿宋" w:eastAsia="仿宋"/>
          <w:b/>
          <w:color w:val="auto"/>
          <w:sz w:val="32"/>
          <w:szCs w:val="32"/>
          <w:highlight w:val="none"/>
          <w:lang w:val="en-US" w:eastAsia="zh-CN"/>
        </w:rPr>
      </w:pPr>
    </w:p>
    <w:p w14:paraId="35460DAA">
      <w:pPr>
        <w:spacing w:line="600" w:lineRule="exact"/>
        <w:ind w:firstLine="640"/>
        <w:rPr>
          <w:rFonts w:hint="eastAsia" w:ascii="仿宋" w:hAnsi="仿宋" w:eastAsia="仿宋"/>
          <w:b/>
          <w:color w:val="auto"/>
          <w:sz w:val="32"/>
          <w:szCs w:val="32"/>
          <w:highlight w:val="none"/>
        </w:rPr>
      </w:pPr>
    </w:p>
    <w:p w14:paraId="43EB1B58">
      <w:pPr>
        <w:spacing w:line="600" w:lineRule="exact"/>
        <w:jc w:val="center"/>
        <w:rPr>
          <w:rFonts w:hint="eastAsia" w:ascii="仿宋" w:hAnsi="仿宋" w:eastAsia="仿宋"/>
          <w:color w:val="auto"/>
          <w:sz w:val="32"/>
          <w:szCs w:val="32"/>
          <w:highlight w:val="none"/>
        </w:rPr>
      </w:pPr>
    </w:p>
    <w:p w14:paraId="02D44FF3">
      <w:pPr>
        <w:spacing w:line="600" w:lineRule="exact"/>
        <w:jc w:val="center"/>
        <w:rPr>
          <w:rFonts w:hint="eastAsia" w:ascii="仿宋" w:hAnsi="仿宋" w:eastAsia="仿宋"/>
          <w:color w:val="auto"/>
          <w:sz w:val="32"/>
          <w:szCs w:val="32"/>
          <w:highlight w:val="none"/>
        </w:rPr>
      </w:pPr>
    </w:p>
    <w:p w14:paraId="6DEC206C">
      <w:pPr>
        <w:spacing w:line="600" w:lineRule="exact"/>
        <w:ind w:firstLine="640" w:firstLineChars="200"/>
        <w:rPr>
          <w:rFonts w:ascii="仿宋" w:hAnsi="仿宋" w:eastAsia="仿宋"/>
          <w:color w:val="auto"/>
          <w:sz w:val="32"/>
          <w:szCs w:val="32"/>
          <w:highlight w:val="none"/>
        </w:rPr>
      </w:pPr>
    </w:p>
    <w:p w14:paraId="0FDC95A4">
      <w:pPr>
        <w:spacing w:line="600" w:lineRule="exact"/>
        <w:ind w:firstLine="643" w:firstLineChars="200"/>
        <w:outlineLvl w:val="9"/>
        <w:rPr>
          <w:rFonts w:hint="eastAsia" w:ascii="仿宋" w:hAnsi="仿宋" w:eastAsia="仿宋"/>
          <w:b/>
          <w:color w:val="auto"/>
          <w:sz w:val="32"/>
          <w:szCs w:val="32"/>
          <w:highlight w:val="none"/>
        </w:rPr>
      </w:pPr>
      <w:bookmarkStart w:id="36" w:name="_Toc15377212"/>
    </w:p>
    <w:p w14:paraId="7EBB3CB8">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3BDA04A9">
      <w:pPr>
        <w:spacing w:line="600" w:lineRule="exact"/>
        <w:ind w:firstLine="420" w:firstLineChars="200"/>
        <w:outlineLvl w:val="9"/>
        <w:rPr>
          <w:rFonts w:hint="eastAsia" w:ascii="仿宋" w:hAnsi="仿宋" w:eastAsia="仿宋"/>
          <w:b/>
          <w:color w:val="auto"/>
          <w:sz w:val="32"/>
          <w:szCs w:val="32"/>
          <w:highlight w:val="none"/>
        </w:rPr>
      </w:pPr>
      <w:r>
        <w:drawing>
          <wp:anchor distT="0" distB="0" distL="114300" distR="114300" simplePos="0" relativeHeight="251664384" behindDoc="0" locked="0" layoutInCell="1" allowOverlap="1">
            <wp:simplePos x="0" y="0"/>
            <wp:positionH relativeFrom="column">
              <wp:posOffset>212725</wp:posOffset>
            </wp:positionH>
            <wp:positionV relativeFrom="paragraph">
              <wp:posOffset>125095</wp:posOffset>
            </wp:positionV>
            <wp:extent cx="4826000" cy="2743200"/>
            <wp:effectExtent l="4445" t="4445" r="8255" b="52705"/>
            <wp:wrapTopAndBottom/>
            <wp:docPr id="25" name="图表 24" descr="7b0a202020202263686172745265734964223a202232303437353834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2243B915">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6"/>
    </w:p>
    <w:p w14:paraId="7AF126DA">
      <w:pPr>
        <w:spacing w:line="600" w:lineRule="exact"/>
        <w:ind w:firstLine="640" w:firstLineChars="200"/>
        <w:rPr>
          <w:rStyle w:val="14"/>
          <w:rFonts w:hint="eastAsia" w:ascii="仿宋" w:hAnsi="仿宋" w:eastAsia="仿宋"/>
          <w:b w:val="0"/>
          <w:bCs/>
          <w:color w:val="auto"/>
          <w:sz w:val="32"/>
          <w:szCs w:val="32"/>
          <w:highlight w:val="none"/>
        </w:rPr>
      </w:pPr>
      <w:bookmarkStart w:id="37" w:name="_Toc15378460"/>
      <w:bookmarkStart w:id="38" w:name="_Toc15377444"/>
      <w:bookmarkStart w:id="39" w:name="_Toc15377213"/>
      <w:r>
        <w:rPr>
          <w:rStyle w:val="14"/>
          <w:rFonts w:hint="eastAsia" w:ascii="仿宋" w:hAnsi="仿宋" w:eastAsia="仿宋"/>
          <w:b w:val="0"/>
          <w:bCs/>
          <w:color w:val="auto"/>
          <w:sz w:val="32"/>
          <w:szCs w:val="32"/>
          <w:highlight w:val="none"/>
        </w:rPr>
        <w:t>20</w:t>
      </w:r>
      <w:r>
        <w:rPr>
          <w:rStyle w:val="14"/>
          <w:rFonts w:hint="eastAsia" w:ascii="仿宋" w:hAnsi="仿宋" w:eastAsia="仿宋"/>
          <w:b w:val="0"/>
          <w:bCs/>
          <w:color w:val="auto"/>
          <w:sz w:val="32"/>
          <w:szCs w:val="32"/>
          <w:highlight w:val="none"/>
          <w:lang w:val="en-US" w:eastAsia="zh-CN"/>
        </w:rPr>
        <w:t>22</w:t>
      </w:r>
      <w:r>
        <w:rPr>
          <w:rStyle w:val="14"/>
          <w:rFonts w:hint="eastAsia" w:ascii="仿宋" w:hAnsi="仿宋" w:eastAsia="仿宋"/>
          <w:b w:val="0"/>
          <w:bCs/>
          <w:color w:val="auto"/>
          <w:sz w:val="32"/>
          <w:szCs w:val="32"/>
          <w:highlight w:val="none"/>
        </w:rPr>
        <w:t>年</w:t>
      </w:r>
      <w:r>
        <w:rPr>
          <w:rStyle w:val="14"/>
          <w:rFonts w:hint="eastAsia" w:ascii="仿宋" w:hAnsi="仿宋" w:eastAsia="仿宋"/>
          <w:b w:val="0"/>
          <w:bCs/>
          <w:color w:val="auto"/>
          <w:sz w:val="32"/>
          <w:szCs w:val="32"/>
          <w:highlight w:val="none"/>
          <w:lang w:eastAsia="zh-CN"/>
        </w:rPr>
        <w:t>一</w:t>
      </w:r>
      <w:r>
        <w:rPr>
          <w:rStyle w:val="14"/>
          <w:rFonts w:hint="eastAsia" w:ascii="仿宋" w:hAnsi="仿宋" w:eastAsia="仿宋"/>
          <w:b w:val="0"/>
          <w:bCs/>
          <w:color w:val="auto"/>
          <w:sz w:val="32"/>
          <w:szCs w:val="32"/>
          <w:highlight w:val="none"/>
        </w:rPr>
        <w:t>般公共预算支出决算数为6893.05，完成调整预算数的</w:t>
      </w:r>
      <w:r>
        <w:rPr>
          <w:rStyle w:val="14"/>
          <w:rFonts w:hint="eastAsia" w:ascii="仿宋" w:hAnsi="仿宋" w:eastAsia="仿宋"/>
          <w:b w:val="0"/>
          <w:bCs/>
          <w:color w:val="auto"/>
          <w:sz w:val="32"/>
          <w:szCs w:val="32"/>
          <w:highlight w:val="none"/>
          <w:lang w:val="en-US" w:eastAsia="zh-CN"/>
        </w:rPr>
        <w:t>100</w:t>
      </w:r>
      <w:r>
        <w:rPr>
          <w:rStyle w:val="14"/>
          <w:rFonts w:hint="eastAsia" w:ascii="仿宋" w:hAnsi="仿宋" w:eastAsia="仿宋"/>
          <w:b w:val="0"/>
          <w:bCs/>
          <w:color w:val="auto"/>
          <w:sz w:val="32"/>
          <w:szCs w:val="32"/>
          <w:highlight w:val="none"/>
        </w:rPr>
        <w:t>%。其中：</w:t>
      </w:r>
      <w:bookmarkEnd w:id="37"/>
      <w:bookmarkEnd w:id="38"/>
      <w:bookmarkEnd w:id="39"/>
    </w:p>
    <w:p w14:paraId="163B810B">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一般公共服务</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主要原因是无一般公共服务收支</w:t>
      </w:r>
      <w:r>
        <w:rPr>
          <w:rStyle w:val="14"/>
          <w:rFonts w:hint="eastAsia" w:ascii="仿宋" w:hAnsi="仿宋" w:eastAsia="仿宋"/>
          <w:b w:val="0"/>
          <w:bCs/>
          <w:color w:val="auto"/>
          <w:sz w:val="32"/>
          <w:szCs w:val="32"/>
          <w:highlight w:val="none"/>
        </w:rPr>
        <w:t>。</w:t>
      </w:r>
    </w:p>
    <w:p w14:paraId="1E28DC38">
      <w:pPr>
        <w:spacing w:line="600" w:lineRule="exact"/>
        <w:ind w:firstLine="643" w:firstLineChars="200"/>
        <w:rPr>
          <w:rStyle w:val="14"/>
          <w:rFonts w:hint="eastAsia" w:ascii="仿宋" w:hAnsi="仿宋" w:eastAsia="仿宋"/>
          <w:b w:val="0"/>
          <w:bCs/>
          <w:color w:val="auto"/>
          <w:sz w:val="32"/>
          <w:szCs w:val="32"/>
        </w:rPr>
      </w:pPr>
      <w:r>
        <w:rPr>
          <w:rStyle w:val="14"/>
          <w:rFonts w:ascii="仿宋" w:hAnsi="仿宋" w:eastAsia="仿宋"/>
          <w:bCs/>
          <w:color w:val="auto"/>
          <w:sz w:val="32"/>
          <w:szCs w:val="32"/>
          <w:highlight w:val="none"/>
        </w:rPr>
        <w:t>2.</w:t>
      </w:r>
      <w:r>
        <w:rPr>
          <w:rStyle w:val="14"/>
          <w:rFonts w:hint="eastAsia" w:ascii="仿宋" w:hAnsi="仿宋" w:eastAsia="仿宋"/>
          <w:bCs/>
          <w:color w:val="auto"/>
          <w:sz w:val="32"/>
          <w:szCs w:val="32"/>
          <w:highlight w:val="none"/>
        </w:rPr>
        <w:t>教</w:t>
      </w:r>
      <w:r>
        <w:rPr>
          <w:rStyle w:val="14"/>
          <w:rFonts w:hint="eastAsia" w:ascii="仿宋" w:hAnsi="仿宋" w:eastAsia="仿宋"/>
          <w:bCs/>
          <w:color w:val="auto"/>
          <w:sz w:val="32"/>
          <w:szCs w:val="32"/>
        </w:rPr>
        <w:t>育（类）</w:t>
      </w:r>
      <w:r>
        <w:rPr>
          <w:rStyle w:val="14"/>
          <w:rFonts w:hint="eastAsia" w:ascii="仿宋" w:hAnsi="仿宋" w:eastAsia="仿宋"/>
          <w:bCs/>
          <w:color w:val="auto"/>
          <w:sz w:val="32"/>
          <w:szCs w:val="32"/>
          <w:lang w:val="en-US" w:eastAsia="zh-CN"/>
        </w:rPr>
        <w:t>普通教育</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初中教育</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2123.07</w:t>
      </w:r>
      <w:r>
        <w:rPr>
          <w:rStyle w:val="14"/>
          <w:rFonts w:hint="eastAsia" w:ascii="仿宋" w:hAnsi="仿宋" w:eastAsia="仿宋"/>
          <w:b w:val="0"/>
          <w:bCs/>
          <w:color w:val="auto"/>
          <w:sz w:val="32"/>
          <w:szCs w:val="32"/>
        </w:rPr>
        <w:t>万元，完成调整预算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，决算数等于调整预算数的主要原因是</w:t>
      </w:r>
      <w:r>
        <w:rPr>
          <w:rStyle w:val="14"/>
          <w:rFonts w:hint="eastAsia" w:ascii="仿宋" w:hAnsi="仿宋" w:eastAsia="仿宋"/>
          <w:b w:val="0"/>
          <w:bCs/>
          <w:color w:val="auto"/>
          <w:sz w:val="32"/>
          <w:szCs w:val="32"/>
          <w:lang w:val="en-US" w:eastAsia="zh-CN"/>
        </w:rPr>
        <w:t>完成预算</w:t>
      </w:r>
      <w:r>
        <w:rPr>
          <w:rStyle w:val="14"/>
          <w:rFonts w:hint="eastAsia" w:ascii="仿宋" w:hAnsi="仿宋" w:eastAsia="仿宋"/>
          <w:b w:val="0"/>
          <w:bCs/>
          <w:color w:val="auto"/>
          <w:sz w:val="32"/>
          <w:szCs w:val="32"/>
        </w:rPr>
        <w:t>。</w:t>
      </w:r>
    </w:p>
    <w:p w14:paraId="5762070F">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3.</w:t>
      </w:r>
      <w:r>
        <w:rPr>
          <w:rStyle w:val="14"/>
          <w:rFonts w:hint="eastAsia" w:ascii="仿宋" w:hAnsi="仿宋" w:eastAsia="仿宋"/>
          <w:bCs/>
          <w:color w:val="auto"/>
          <w:sz w:val="32"/>
          <w:szCs w:val="32"/>
        </w:rPr>
        <w:t>教育（类）</w:t>
      </w:r>
      <w:r>
        <w:rPr>
          <w:rStyle w:val="14"/>
          <w:rFonts w:hint="eastAsia" w:ascii="仿宋" w:hAnsi="仿宋" w:eastAsia="仿宋"/>
          <w:bCs/>
          <w:color w:val="auto"/>
          <w:sz w:val="32"/>
          <w:szCs w:val="32"/>
          <w:lang w:val="en-US" w:eastAsia="zh-CN"/>
        </w:rPr>
        <w:t>普通教育</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高中教育</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3147.32</w:t>
      </w:r>
      <w:r>
        <w:rPr>
          <w:rStyle w:val="14"/>
          <w:rFonts w:hint="eastAsia" w:ascii="仿宋" w:hAnsi="仿宋" w:eastAsia="仿宋"/>
          <w:b w:val="0"/>
          <w:bCs/>
          <w:color w:val="auto"/>
          <w:sz w:val="32"/>
          <w:szCs w:val="32"/>
        </w:rPr>
        <w:t>万元，完成调整预算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，决算数等于调整预算数的主要原因是</w:t>
      </w:r>
      <w:r>
        <w:rPr>
          <w:rStyle w:val="14"/>
          <w:rFonts w:hint="eastAsia" w:ascii="仿宋" w:hAnsi="仿宋" w:eastAsia="仿宋"/>
          <w:b w:val="0"/>
          <w:bCs/>
          <w:color w:val="auto"/>
          <w:sz w:val="32"/>
          <w:szCs w:val="32"/>
          <w:lang w:val="en-US" w:eastAsia="zh-CN"/>
        </w:rPr>
        <w:t>完成预算</w:t>
      </w:r>
      <w:r>
        <w:rPr>
          <w:rStyle w:val="14"/>
          <w:rFonts w:hint="eastAsia" w:ascii="仿宋" w:hAnsi="仿宋" w:eastAsia="仿宋"/>
          <w:b w:val="0"/>
          <w:bCs/>
          <w:color w:val="auto"/>
          <w:sz w:val="32"/>
          <w:szCs w:val="32"/>
        </w:rPr>
        <w:t>。</w:t>
      </w:r>
    </w:p>
    <w:p w14:paraId="1A4669D1">
      <w:pPr>
        <w:spacing w:line="600" w:lineRule="exact"/>
        <w:ind w:firstLine="643" w:firstLineChars="200"/>
        <w:rPr>
          <w:rFonts w:ascii="仿宋" w:hAnsi="仿宋" w:eastAsia="仿宋"/>
          <w:b/>
          <w:color w:val="auto"/>
          <w:sz w:val="32"/>
          <w:szCs w:val="32"/>
        </w:rPr>
      </w:pPr>
      <w:r>
        <w:rPr>
          <w:rStyle w:val="14"/>
          <w:rFonts w:hint="eastAsia" w:ascii="仿宋" w:hAnsi="仿宋" w:eastAsia="仿宋"/>
          <w:bCs/>
          <w:color w:val="auto"/>
          <w:sz w:val="32"/>
          <w:szCs w:val="32"/>
          <w:lang w:val="en-US" w:eastAsia="zh-CN"/>
        </w:rPr>
        <w:t>4</w:t>
      </w:r>
      <w:r>
        <w:rPr>
          <w:rStyle w:val="14"/>
          <w:rFonts w:ascii="仿宋" w:hAnsi="仿宋" w:eastAsia="仿宋"/>
          <w:bCs/>
          <w:color w:val="auto"/>
          <w:sz w:val="32"/>
          <w:szCs w:val="32"/>
        </w:rPr>
        <w:t>.</w:t>
      </w:r>
      <w:r>
        <w:rPr>
          <w:rStyle w:val="14"/>
          <w:rFonts w:hint="eastAsia" w:ascii="仿宋" w:hAnsi="仿宋" w:eastAsia="仿宋"/>
          <w:bCs/>
          <w:color w:val="auto"/>
          <w:sz w:val="32"/>
          <w:szCs w:val="32"/>
        </w:rPr>
        <w:t>教育（类）</w:t>
      </w:r>
      <w:r>
        <w:rPr>
          <w:rStyle w:val="14"/>
          <w:rFonts w:hint="eastAsia" w:ascii="仿宋" w:hAnsi="仿宋" w:eastAsia="仿宋"/>
          <w:bCs/>
          <w:color w:val="auto"/>
          <w:sz w:val="32"/>
          <w:szCs w:val="32"/>
          <w:lang w:val="en-US" w:eastAsia="zh-CN"/>
        </w:rPr>
        <w:t>教育管理事务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其他教育管理事务支出</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5.59</w:t>
      </w:r>
      <w:r>
        <w:rPr>
          <w:rStyle w:val="14"/>
          <w:rFonts w:hint="eastAsia" w:ascii="仿宋" w:hAnsi="仿宋" w:eastAsia="仿宋"/>
          <w:b w:val="0"/>
          <w:bCs/>
          <w:color w:val="auto"/>
          <w:sz w:val="32"/>
          <w:szCs w:val="32"/>
        </w:rPr>
        <w:t>万元，完成调整预算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，决算数等于调整预算数的主要原因是</w:t>
      </w:r>
      <w:r>
        <w:rPr>
          <w:rStyle w:val="14"/>
          <w:rFonts w:hint="eastAsia" w:ascii="仿宋" w:hAnsi="仿宋" w:eastAsia="仿宋"/>
          <w:b w:val="0"/>
          <w:bCs/>
          <w:color w:val="auto"/>
          <w:sz w:val="32"/>
          <w:szCs w:val="32"/>
          <w:lang w:val="en-US" w:eastAsia="zh-CN"/>
        </w:rPr>
        <w:t>完成预算</w:t>
      </w:r>
      <w:r>
        <w:rPr>
          <w:rStyle w:val="14"/>
          <w:rFonts w:hint="eastAsia" w:ascii="仿宋" w:hAnsi="仿宋" w:eastAsia="仿宋"/>
          <w:b w:val="0"/>
          <w:bCs/>
          <w:color w:val="auto"/>
          <w:sz w:val="32"/>
          <w:szCs w:val="32"/>
        </w:rPr>
        <w:t>。</w:t>
      </w:r>
    </w:p>
    <w:p w14:paraId="0B1235FB">
      <w:pPr>
        <w:spacing w:line="600" w:lineRule="exact"/>
        <w:ind w:firstLine="643" w:firstLineChars="200"/>
        <w:rPr>
          <w:rFonts w:ascii="仿宋" w:hAnsi="仿宋" w:eastAsia="仿宋"/>
          <w:b/>
          <w:color w:val="auto"/>
          <w:sz w:val="32"/>
          <w:szCs w:val="32"/>
        </w:rPr>
      </w:pPr>
      <w:r>
        <w:rPr>
          <w:rStyle w:val="14"/>
          <w:rFonts w:hint="eastAsia" w:ascii="仿宋" w:hAnsi="仿宋" w:eastAsia="仿宋"/>
          <w:bCs/>
          <w:color w:val="auto"/>
          <w:sz w:val="32"/>
          <w:szCs w:val="32"/>
          <w:lang w:val="en-US" w:eastAsia="zh-CN"/>
        </w:rPr>
        <w:t>5</w:t>
      </w:r>
      <w:r>
        <w:rPr>
          <w:rStyle w:val="14"/>
          <w:rFonts w:ascii="仿宋" w:hAnsi="仿宋" w:eastAsia="仿宋"/>
          <w:bCs/>
          <w:color w:val="auto"/>
          <w:sz w:val="32"/>
          <w:szCs w:val="32"/>
        </w:rPr>
        <w:t>.</w:t>
      </w:r>
      <w:r>
        <w:rPr>
          <w:rStyle w:val="14"/>
          <w:rFonts w:hint="eastAsia" w:ascii="仿宋" w:hAnsi="仿宋" w:eastAsia="仿宋"/>
          <w:bCs/>
          <w:color w:val="auto"/>
          <w:sz w:val="32"/>
          <w:szCs w:val="32"/>
        </w:rPr>
        <w:t>教育（类）</w:t>
      </w:r>
      <w:r>
        <w:rPr>
          <w:rStyle w:val="14"/>
          <w:rFonts w:hint="eastAsia" w:ascii="仿宋" w:hAnsi="仿宋" w:eastAsia="仿宋"/>
          <w:bCs/>
          <w:color w:val="auto"/>
          <w:sz w:val="32"/>
          <w:szCs w:val="32"/>
          <w:lang w:val="en-US" w:eastAsia="zh-CN"/>
        </w:rPr>
        <w:t>教育费附加安排的支出</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其他教育费附加安排的支出</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27.87</w:t>
      </w:r>
      <w:r>
        <w:rPr>
          <w:rStyle w:val="14"/>
          <w:rFonts w:hint="eastAsia" w:ascii="仿宋" w:hAnsi="仿宋" w:eastAsia="仿宋"/>
          <w:b w:val="0"/>
          <w:bCs/>
          <w:color w:val="auto"/>
          <w:sz w:val="32"/>
          <w:szCs w:val="32"/>
        </w:rPr>
        <w:t>万元，完成调整预算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，决算数等于调整预算数的主要原因是</w:t>
      </w:r>
      <w:r>
        <w:rPr>
          <w:rStyle w:val="14"/>
          <w:rFonts w:hint="eastAsia" w:ascii="仿宋" w:hAnsi="仿宋" w:eastAsia="仿宋"/>
          <w:b w:val="0"/>
          <w:bCs/>
          <w:color w:val="auto"/>
          <w:sz w:val="32"/>
          <w:szCs w:val="32"/>
          <w:lang w:val="en-US" w:eastAsia="zh-CN"/>
        </w:rPr>
        <w:t>完成预算</w:t>
      </w:r>
      <w:r>
        <w:rPr>
          <w:rStyle w:val="14"/>
          <w:rFonts w:hint="eastAsia" w:ascii="仿宋" w:hAnsi="仿宋" w:eastAsia="仿宋"/>
          <w:b w:val="0"/>
          <w:bCs/>
          <w:color w:val="auto"/>
          <w:sz w:val="32"/>
          <w:szCs w:val="32"/>
        </w:rPr>
        <w:t>。</w:t>
      </w:r>
    </w:p>
    <w:p w14:paraId="7CA56437">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000000"/>
          <w:sz w:val="32"/>
          <w:szCs w:val="32"/>
          <w:lang w:val="en-US" w:eastAsia="zh-CN"/>
        </w:rPr>
        <w:t>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社会保障和就业（类）行政事业单位养老支出（款）事业单位离退休（项）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196.2</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决算数等于调整预算数的主要原因是</w:t>
      </w:r>
      <w:r>
        <w:rPr>
          <w:rStyle w:val="14"/>
          <w:rFonts w:hint="eastAsia" w:ascii="仿宋" w:hAnsi="仿宋" w:eastAsia="仿宋"/>
          <w:b w:val="0"/>
          <w:bCs/>
          <w:color w:val="auto"/>
          <w:sz w:val="32"/>
          <w:szCs w:val="32"/>
          <w:lang w:val="en-US" w:eastAsia="zh-CN"/>
        </w:rPr>
        <w:t>完成预算</w:t>
      </w:r>
      <w:r>
        <w:rPr>
          <w:rStyle w:val="14"/>
          <w:rFonts w:hint="eastAsia" w:ascii="仿宋" w:hAnsi="仿宋" w:eastAsia="仿宋"/>
          <w:b w:val="0"/>
          <w:bCs/>
          <w:color w:val="auto"/>
          <w:sz w:val="32"/>
          <w:szCs w:val="32"/>
        </w:rPr>
        <w:t>。</w:t>
      </w:r>
    </w:p>
    <w:p w14:paraId="4BA5DEEE">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社会保障和就业（类）行政事业单位养老支出（款）机关事业单位基本养老保险缴费支出（项）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470.39</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决算数等于调整预算数的主要原因是</w:t>
      </w:r>
      <w:r>
        <w:rPr>
          <w:rStyle w:val="14"/>
          <w:rFonts w:hint="eastAsia" w:ascii="仿宋" w:hAnsi="仿宋" w:eastAsia="仿宋"/>
          <w:b w:val="0"/>
          <w:bCs/>
          <w:color w:val="auto"/>
          <w:sz w:val="32"/>
          <w:szCs w:val="32"/>
          <w:lang w:val="en-US" w:eastAsia="zh-CN"/>
        </w:rPr>
        <w:t>完成预算</w:t>
      </w:r>
      <w:r>
        <w:rPr>
          <w:rStyle w:val="14"/>
          <w:rFonts w:hint="eastAsia" w:ascii="仿宋" w:hAnsi="仿宋" w:eastAsia="仿宋"/>
          <w:b w:val="0"/>
          <w:bCs/>
          <w:color w:val="auto"/>
          <w:sz w:val="32"/>
          <w:szCs w:val="32"/>
        </w:rPr>
        <w:t>。</w:t>
      </w:r>
    </w:p>
    <w:p w14:paraId="6B155262">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社会保障和就业（类）行政事业单位养老支出（款）机关事业单位职业年金缴费支出（项）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114.51</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决算数等于调整预算数的主要原因是</w:t>
      </w:r>
      <w:r>
        <w:rPr>
          <w:rStyle w:val="14"/>
          <w:rFonts w:hint="eastAsia" w:ascii="仿宋" w:hAnsi="仿宋" w:eastAsia="仿宋"/>
          <w:b w:val="0"/>
          <w:bCs/>
          <w:color w:val="auto"/>
          <w:sz w:val="32"/>
          <w:szCs w:val="32"/>
          <w:lang w:val="en-US" w:eastAsia="zh-CN"/>
        </w:rPr>
        <w:t>完成预算</w:t>
      </w:r>
      <w:r>
        <w:rPr>
          <w:rStyle w:val="14"/>
          <w:rFonts w:hint="eastAsia" w:ascii="仿宋" w:hAnsi="仿宋" w:eastAsia="仿宋"/>
          <w:b w:val="0"/>
          <w:bCs/>
          <w:color w:val="auto"/>
          <w:sz w:val="32"/>
          <w:szCs w:val="32"/>
        </w:rPr>
        <w:t>。</w:t>
      </w:r>
    </w:p>
    <w:p w14:paraId="081B56F3">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000000"/>
          <w:sz w:val="32"/>
          <w:szCs w:val="32"/>
          <w:lang w:val="en-US" w:eastAsia="zh-CN"/>
        </w:rPr>
        <w:t>9</w:t>
      </w:r>
      <w:r>
        <w:rPr>
          <w:rStyle w:val="14"/>
          <w:rFonts w:ascii="仿宋" w:hAnsi="仿宋" w:eastAsia="仿宋"/>
          <w:bCs/>
          <w:color w:val="000000"/>
          <w:sz w:val="32"/>
          <w:szCs w:val="32"/>
        </w:rPr>
        <w:t>.</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310.08</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决算数等于调整预算数的主要原因是</w:t>
      </w:r>
      <w:r>
        <w:rPr>
          <w:rStyle w:val="14"/>
          <w:rFonts w:hint="eastAsia" w:ascii="仿宋" w:hAnsi="仿宋" w:eastAsia="仿宋"/>
          <w:b w:val="0"/>
          <w:bCs/>
          <w:color w:val="auto"/>
          <w:sz w:val="32"/>
          <w:szCs w:val="32"/>
          <w:lang w:val="en-US" w:eastAsia="zh-CN"/>
        </w:rPr>
        <w:t>完成预算</w:t>
      </w:r>
      <w:r>
        <w:rPr>
          <w:rStyle w:val="14"/>
          <w:rFonts w:hint="eastAsia" w:ascii="仿宋" w:hAnsi="仿宋" w:eastAsia="仿宋"/>
          <w:b w:val="0"/>
          <w:bCs/>
          <w:color w:val="auto"/>
          <w:sz w:val="32"/>
          <w:szCs w:val="32"/>
        </w:rPr>
        <w:t>。</w:t>
      </w:r>
    </w:p>
    <w:p w14:paraId="46F100CA">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10</w:t>
      </w:r>
      <w:r>
        <w:rPr>
          <w:rStyle w:val="14"/>
          <w:rFonts w:ascii="仿宋" w:hAnsi="仿宋" w:eastAsia="仿宋"/>
          <w:bCs/>
          <w:color w:val="000000"/>
          <w:sz w:val="32"/>
          <w:szCs w:val="32"/>
        </w:rPr>
        <w:t>.</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（类）行政事业单位医疗（款）公务员医疗补助（项）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41.01</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决算数等于调整预算数的主要原因是</w:t>
      </w:r>
      <w:r>
        <w:rPr>
          <w:rStyle w:val="14"/>
          <w:rFonts w:hint="eastAsia" w:ascii="仿宋" w:hAnsi="仿宋" w:eastAsia="仿宋"/>
          <w:b w:val="0"/>
          <w:bCs/>
          <w:color w:val="auto"/>
          <w:sz w:val="32"/>
          <w:szCs w:val="32"/>
          <w:lang w:val="en-US" w:eastAsia="zh-CN"/>
        </w:rPr>
        <w:t>完成预算</w:t>
      </w:r>
      <w:r>
        <w:rPr>
          <w:rStyle w:val="14"/>
          <w:rFonts w:hint="eastAsia" w:ascii="仿宋" w:hAnsi="仿宋" w:eastAsia="仿宋"/>
          <w:b w:val="0"/>
          <w:bCs/>
          <w:color w:val="auto"/>
          <w:sz w:val="32"/>
          <w:szCs w:val="32"/>
        </w:rPr>
        <w:t>。</w:t>
      </w:r>
    </w:p>
    <w:p w14:paraId="512066B0">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11</w:t>
      </w:r>
      <w:r>
        <w:rPr>
          <w:rStyle w:val="14"/>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4"/>
          <w:rFonts w:hint="eastAsia" w:ascii="仿宋" w:hAnsi="仿宋" w:eastAsia="仿宋"/>
          <w:bCs/>
          <w:color w:val="000000"/>
          <w:sz w:val="32"/>
          <w:szCs w:val="32"/>
        </w:rPr>
        <w:t>（类）住房改革支出（款）住房公积金（项）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457.01</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决算数等于调整预算数的主要原因是</w:t>
      </w:r>
      <w:r>
        <w:rPr>
          <w:rStyle w:val="14"/>
          <w:rFonts w:hint="eastAsia" w:ascii="仿宋" w:hAnsi="仿宋" w:eastAsia="仿宋"/>
          <w:b w:val="0"/>
          <w:bCs/>
          <w:color w:val="auto"/>
          <w:sz w:val="32"/>
          <w:szCs w:val="32"/>
          <w:lang w:val="en-US" w:eastAsia="zh-CN"/>
        </w:rPr>
        <w:t>完成预算</w:t>
      </w:r>
      <w:r>
        <w:rPr>
          <w:rStyle w:val="14"/>
          <w:rFonts w:hint="eastAsia" w:ascii="仿宋" w:hAnsi="仿宋" w:eastAsia="仿宋"/>
          <w:b w:val="0"/>
          <w:bCs/>
          <w:color w:val="auto"/>
          <w:sz w:val="32"/>
          <w:szCs w:val="32"/>
        </w:rPr>
        <w:t>。</w:t>
      </w:r>
    </w:p>
    <w:p w14:paraId="7417CA1D">
      <w:pPr>
        <w:tabs>
          <w:tab w:val="right" w:pos="8306"/>
        </w:tabs>
        <w:spacing w:line="600" w:lineRule="exact"/>
        <w:ind w:firstLine="640"/>
        <w:outlineLvl w:val="9"/>
        <w:rPr>
          <w:rFonts w:hint="eastAsia" w:ascii="黑体" w:eastAsia="黑体"/>
          <w:color w:val="auto"/>
          <w:sz w:val="32"/>
          <w:szCs w:val="32"/>
          <w:highlight w:val="none"/>
        </w:rPr>
      </w:pPr>
      <w:bookmarkStart w:id="40" w:name="_Toc15396608"/>
      <w:bookmarkStart w:id="41" w:name="_Toc15377214"/>
    </w:p>
    <w:p w14:paraId="16C94BC7">
      <w:pPr>
        <w:tabs>
          <w:tab w:val="right" w:pos="8306"/>
        </w:tabs>
        <w:spacing w:line="600" w:lineRule="exact"/>
        <w:ind w:firstLine="640"/>
        <w:outlineLvl w:val="1"/>
        <w:rPr>
          <w:rStyle w:val="25"/>
          <w:color w:val="auto"/>
          <w:highlight w:val="none"/>
        </w:rPr>
      </w:pPr>
      <w:bookmarkStart w:id="42" w:name="_Toc8165"/>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40"/>
      <w:bookmarkEnd w:id="41"/>
      <w:bookmarkEnd w:id="42"/>
      <w:r>
        <w:rPr>
          <w:rStyle w:val="25"/>
          <w:rFonts w:ascii="黑体" w:hAnsi="黑体" w:eastAsia="黑体"/>
          <w:b w:val="0"/>
          <w:color w:val="auto"/>
          <w:highlight w:val="none"/>
        </w:rPr>
        <w:tab/>
      </w:r>
    </w:p>
    <w:p w14:paraId="5808AC9D">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年一般公共预算财政拨款基本支出6356.02万元，其中：</w:t>
      </w:r>
    </w:p>
    <w:p w14:paraId="6B297AA5">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6281.74</w:t>
      </w:r>
      <w:r>
        <w:rPr>
          <w:rFonts w:hint="eastAsia" w:ascii="仿宋" w:hAnsi="仿宋" w:eastAsia="仿宋"/>
          <w:color w:val="auto"/>
          <w:sz w:val="32"/>
          <w:szCs w:val="32"/>
          <w:highlight w:val="none"/>
        </w:rPr>
        <w:t>万元，主要包括：基本工资2105.53</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、津贴补贴210.98万元、奖金</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万元、伙食补助费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万元、绩效工资2154.79万元、机关事业单位基本养老保险缴费470.39万元、职业年金缴费114.51万元、职工基本医疗保险缴费310.08万元</w:t>
      </w:r>
      <w:r>
        <w:rPr>
          <w:rFonts w:hint="eastAsia" w:ascii="仿宋" w:hAnsi="仿宋" w:eastAsia="仿宋"/>
          <w:color w:val="auto"/>
          <w:sz w:val="32"/>
          <w:szCs w:val="32"/>
          <w:highlight w:val="none"/>
          <w:lang w:eastAsia="zh-CN"/>
        </w:rPr>
        <w:t>、公务员医疗补助缴费41.01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其他社会保障缴费52.21万元、其他工资福利支出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万元、离休费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万元、退休费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万元、抚恤金25.67万元、生活补助174.51万元、医疗费补助165.06万元、奖励金、住房公积金457.01万元、其他对个人和家庭的补助支出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万元等。</w:t>
      </w:r>
    </w:p>
    <w:p w14:paraId="1F5D2CD3">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74.28</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、印刷费0.65</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、咨询费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、手续费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、邮电费0.59、取暖费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、物业管理费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、因公出国（境）费用</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、租赁费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、会议费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、公务接待费0.12、劳务费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、委托业务费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、工会经费70.58、福利费2.34、公务用车运行维护费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、其他交通费</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、税金及附加费用</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、办公设备购置</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、专用设备购置</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、信息网络及软件购置更新</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、其他资本性支出</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rPr>
        <w:t>等。</w:t>
      </w:r>
    </w:p>
    <w:p w14:paraId="36891331">
      <w:pPr>
        <w:spacing w:line="600" w:lineRule="exact"/>
        <w:ind w:firstLine="640"/>
        <w:rPr>
          <w:rFonts w:ascii="仿宋" w:hAnsi="仿宋" w:eastAsia="仿宋"/>
          <w:b/>
          <w:color w:val="auto"/>
          <w:sz w:val="32"/>
          <w:szCs w:val="32"/>
          <w:highlight w:val="none"/>
        </w:rPr>
      </w:pPr>
    </w:p>
    <w:p w14:paraId="105B43EE">
      <w:pPr>
        <w:spacing w:line="600" w:lineRule="exact"/>
        <w:ind w:firstLine="640"/>
        <w:outlineLvl w:val="1"/>
        <w:rPr>
          <w:rStyle w:val="25"/>
          <w:rFonts w:ascii="黑体" w:hAnsi="黑体" w:eastAsia="黑体"/>
          <w:b w:val="0"/>
          <w:color w:val="auto"/>
          <w:highlight w:val="none"/>
        </w:rPr>
      </w:pPr>
      <w:bookmarkStart w:id="43" w:name="_Toc32136"/>
      <w:bookmarkStart w:id="44" w:name="_Toc15396609"/>
      <w:bookmarkStart w:id="45"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43"/>
      <w:bookmarkEnd w:id="44"/>
      <w:bookmarkEnd w:id="45"/>
    </w:p>
    <w:p w14:paraId="5C853E71">
      <w:pPr>
        <w:spacing w:line="600" w:lineRule="exact"/>
        <w:ind w:firstLine="640"/>
        <w:outlineLvl w:val="2"/>
        <w:rPr>
          <w:rFonts w:ascii="仿宋" w:hAnsi="仿宋" w:eastAsia="仿宋"/>
          <w:b/>
          <w:color w:val="auto"/>
          <w:sz w:val="32"/>
          <w:szCs w:val="32"/>
          <w:highlight w:val="none"/>
        </w:rPr>
      </w:pPr>
      <w:bookmarkStart w:id="46" w:name="_Toc15377216"/>
      <w:r>
        <w:rPr>
          <w:rFonts w:hint="eastAsia" w:ascii="仿宋" w:hAnsi="仿宋" w:eastAsia="仿宋"/>
          <w:b/>
          <w:color w:val="auto"/>
          <w:sz w:val="32"/>
          <w:szCs w:val="32"/>
          <w:highlight w:val="none"/>
        </w:rPr>
        <w:t>（一）“三公”经费财政拨款支出决算总体情况说明</w:t>
      </w:r>
      <w:bookmarkEnd w:id="46"/>
    </w:p>
    <w:p w14:paraId="7A979A1B">
      <w:pPr>
        <w:spacing w:line="600" w:lineRule="exact"/>
        <w:ind w:firstLine="64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年“三公”经费财政拨款支出决算为3.18万元，完成预算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减少1.80万元，下降36.12%。</w:t>
      </w:r>
    </w:p>
    <w:p w14:paraId="15FA35BD">
      <w:pPr>
        <w:spacing w:line="600" w:lineRule="exact"/>
        <w:ind w:firstLine="640"/>
        <w:outlineLvl w:val="2"/>
        <w:rPr>
          <w:rFonts w:hint="eastAsia" w:ascii="仿宋" w:hAnsi="仿宋" w:eastAsia="仿宋"/>
          <w:b/>
          <w:color w:val="auto"/>
          <w:sz w:val="32"/>
          <w:szCs w:val="32"/>
          <w:highlight w:val="none"/>
        </w:rPr>
      </w:pPr>
      <w:bookmarkStart w:id="47" w:name="_Toc15377217"/>
    </w:p>
    <w:p w14:paraId="399F6147">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bookmarkEnd w:id="47"/>
    </w:p>
    <w:p w14:paraId="18BA2458">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；公务用车购置及运行维护费支出决算3.06万元，占</w:t>
      </w:r>
      <w:r>
        <w:rPr>
          <w:rFonts w:hint="eastAsia" w:ascii="仿宋" w:hAnsi="仿宋" w:eastAsia="仿宋"/>
          <w:color w:val="auto"/>
          <w:sz w:val="32"/>
          <w:szCs w:val="32"/>
          <w:highlight w:val="none"/>
          <w:lang w:val="en-US" w:eastAsia="zh-CN"/>
        </w:rPr>
        <w:t>96.23</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3.77</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6E794E96">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14:paraId="589AF277">
      <w:pPr>
        <w:spacing w:line="600" w:lineRule="exact"/>
        <w:ind w:firstLine="640"/>
        <w:rPr>
          <w:rFonts w:hint="eastAsia" w:ascii="仿宋" w:hAnsi="仿宋" w:eastAsia="仿宋"/>
          <w:color w:val="auto"/>
          <w:sz w:val="32"/>
          <w:szCs w:val="32"/>
          <w:highlight w:val="none"/>
        </w:rPr>
      </w:pPr>
      <w:r>
        <w:drawing>
          <wp:anchor distT="0" distB="0" distL="114300" distR="114300" simplePos="0" relativeHeight="251664384" behindDoc="0" locked="0" layoutInCell="1" allowOverlap="1">
            <wp:simplePos x="0" y="0"/>
            <wp:positionH relativeFrom="column">
              <wp:posOffset>144145</wp:posOffset>
            </wp:positionH>
            <wp:positionV relativeFrom="paragraph">
              <wp:posOffset>90170</wp:posOffset>
            </wp:positionV>
            <wp:extent cx="4826000" cy="2743200"/>
            <wp:effectExtent l="4445" t="4445" r="8255" b="14605"/>
            <wp:wrapTopAndBottom/>
            <wp:docPr id="28" name="图表 27" descr="7b0a202020202263686172745265734964223a202232303437353533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280DF3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14:paraId="0E281F76">
      <w:pPr>
        <w:keepNext w:val="0"/>
        <w:keepLines w:val="0"/>
        <w:widowControl/>
        <w:suppressLineNumbers w:val="0"/>
        <w:jc w:val="left"/>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 w:hAnsi="仿宋" w:eastAsia="仿宋"/>
          <w:color w:val="auto"/>
          <w:sz w:val="32"/>
          <w:szCs w:val="32"/>
          <w:highlight w:val="none"/>
        </w:rPr>
        <w:t>3.06</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1.92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38.55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w:t>
      </w:r>
      <w:r>
        <w:rPr>
          <w:rFonts w:ascii="仿宋_GB2312" w:hAnsi="仿宋_GB2312" w:eastAsia="仿宋_GB2312" w:cs="仿宋_GB2312"/>
          <w:color w:val="000000"/>
          <w:kern w:val="0"/>
          <w:sz w:val="31"/>
          <w:szCs w:val="31"/>
          <w:lang w:val="en-US" w:eastAsia="zh-CN" w:bidi="ar"/>
        </w:rPr>
        <w:t>一是继续落实</w:t>
      </w:r>
      <w:r>
        <w:rPr>
          <w:rFonts w:hint="eastAsia" w:ascii="仿宋_GB2312" w:hAnsi="仿宋_GB2312" w:eastAsia="仿宋_GB2312" w:cs="仿宋_GB2312"/>
          <w:color w:val="000000"/>
          <w:kern w:val="0"/>
          <w:sz w:val="31"/>
          <w:szCs w:val="31"/>
          <w:lang w:val="en-US" w:eastAsia="zh-CN" w:bidi="ar"/>
        </w:rPr>
        <w:t>主管单位</w:t>
      </w:r>
      <w:r>
        <w:rPr>
          <w:rFonts w:ascii="仿宋_GB2312" w:hAnsi="仿宋_GB2312" w:eastAsia="仿宋_GB2312" w:cs="仿宋_GB2312"/>
          <w:color w:val="000000"/>
          <w:kern w:val="0"/>
          <w:sz w:val="31"/>
          <w:szCs w:val="31"/>
          <w:lang w:val="en-US" w:eastAsia="zh-CN" w:bidi="ar"/>
        </w:rPr>
        <w:t>过紧日子要求，压减</w:t>
      </w:r>
      <w:bookmarkStart w:id="93" w:name="_GoBack"/>
      <w:r>
        <w:rPr>
          <w:rFonts w:hint="eastAsia" w:ascii="仿宋_GB2312" w:hAnsi="仿宋_GB2312" w:eastAsia="仿宋_GB2312" w:cs="仿宋_GB2312"/>
          <w:color w:val="000000"/>
          <w:kern w:val="0"/>
          <w:sz w:val="31"/>
          <w:szCs w:val="31"/>
          <w:lang w:val="en-US" w:eastAsia="zh-CN" w:bidi="ar"/>
        </w:rPr>
        <w:t>三公</w:t>
      </w:r>
      <w:r>
        <w:rPr>
          <w:rFonts w:ascii="仿宋_GB2312" w:hAnsi="仿宋_GB2312" w:eastAsia="仿宋_GB2312" w:cs="仿宋_GB2312"/>
          <w:color w:val="000000"/>
          <w:kern w:val="0"/>
          <w:sz w:val="31"/>
          <w:szCs w:val="31"/>
          <w:lang w:val="en-US" w:eastAsia="zh-CN" w:bidi="ar"/>
        </w:rPr>
        <w:t>经费</w:t>
      </w:r>
      <w:bookmarkEnd w:id="93"/>
      <w:r>
        <w:rPr>
          <w:rFonts w:ascii="仿宋_GB2312" w:hAnsi="仿宋_GB2312" w:eastAsia="仿宋_GB2312" w:cs="仿宋_GB2312"/>
          <w:color w:val="000000"/>
          <w:kern w:val="0"/>
          <w:sz w:val="31"/>
          <w:szCs w:val="31"/>
          <w:lang w:val="en-US" w:eastAsia="zh-CN" w:bidi="ar"/>
        </w:rPr>
        <w:t xml:space="preserve">支出；二是受疫情影响，公务出行、 </w:t>
      </w:r>
    </w:p>
    <w:p w14:paraId="7929FE70">
      <w:pPr>
        <w:keepNext w:val="0"/>
        <w:keepLines w:val="0"/>
        <w:widowControl/>
        <w:suppressLineNumbers w:val="0"/>
        <w:jc w:val="left"/>
        <w:rPr>
          <w:rFonts w:ascii="仿宋_GB2312" w:eastAsia="仿宋_GB2312"/>
          <w:b/>
          <w:color w:val="auto"/>
          <w:sz w:val="32"/>
          <w:szCs w:val="32"/>
          <w:highlight w:val="none"/>
        </w:rPr>
      </w:pPr>
      <w:r>
        <w:rPr>
          <w:rFonts w:ascii="仿宋_GB2312" w:hAnsi="仿宋_GB2312" w:eastAsia="仿宋_GB2312" w:cs="仿宋_GB2312"/>
          <w:color w:val="000000"/>
          <w:kern w:val="0"/>
          <w:sz w:val="31"/>
          <w:szCs w:val="31"/>
          <w:lang w:val="en-US" w:eastAsia="zh-CN" w:bidi="ar"/>
        </w:rPr>
        <w:t>接待任务、</w:t>
      </w:r>
      <w:r>
        <w:rPr>
          <w:rFonts w:hint="eastAsia" w:ascii="仿宋_GB2312" w:hAnsi="仿宋_GB2312" w:eastAsia="仿宋_GB2312" w:cs="仿宋_GB2312"/>
          <w:color w:val="000000"/>
          <w:kern w:val="0"/>
          <w:sz w:val="31"/>
          <w:szCs w:val="31"/>
          <w:lang w:val="en-US" w:eastAsia="zh-CN" w:bidi="ar"/>
        </w:rPr>
        <w:t>教职工参加</w:t>
      </w:r>
      <w:r>
        <w:rPr>
          <w:rFonts w:ascii="仿宋_GB2312" w:hAnsi="仿宋_GB2312" w:eastAsia="仿宋_GB2312" w:cs="仿宋_GB2312"/>
          <w:color w:val="000000"/>
          <w:kern w:val="0"/>
          <w:sz w:val="31"/>
          <w:szCs w:val="31"/>
          <w:lang w:val="en-US" w:eastAsia="zh-CN" w:bidi="ar"/>
        </w:rPr>
        <w:t>会议等</w:t>
      </w:r>
      <w:r>
        <w:rPr>
          <w:rFonts w:hint="eastAsia" w:ascii="仿宋_GB2312" w:hAnsi="仿宋_GB2312" w:eastAsia="仿宋_GB2312" w:cs="仿宋_GB2312"/>
          <w:color w:val="000000"/>
          <w:kern w:val="0"/>
          <w:sz w:val="31"/>
          <w:szCs w:val="31"/>
          <w:lang w:val="en-US" w:eastAsia="zh-CN" w:bidi="ar"/>
        </w:rPr>
        <w:t>活动</w:t>
      </w:r>
      <w:r>
        <w:rPr>
          <w:rFonts w:ascii="仿宋_GB2312" w:hAnsi="仿宋_GB2312" w:eastAsia="仿宋_GB2312" w:cs="仿宋_GB2312"/>
          <w:color w:val="000000"/>
          <w:kern w:val="0"/>
          <w:sz w:val="31"/>
          <w:szCs w:val="31"/>
          <w:lang w:val="en-US" w:eastAsia="zh-CN" w:bidi="ar"/>
        </w:rPr>
        <w:t>有所减少</w:t>
      </w:r>
      <w:r>
        <w:rPr>
          <w:rFonts w:hint="eastAsia" w:ascii="仿宋_GB2312" w:eastAsia="仿宋_GB2312"/>
          <w:color w:val="auto"/>
          <w:sz w:val="32"/>
          <w:szCs w:val="32"/>
          <w:highlight w:val="none"/>
        </w:rPr>
        <w:t>。</w:t>
      </w:r>
    </w:p>
    <w:p w14:paraId="55782491">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大型</w:t>
      </w:r>
      <w:r>
        <w:rPr>
          <w:rFonts w:hint="eastAsia" w:ascii="仿宋_GB2312" w:eastAsia="仿宋_GB2312"/>
          <w:color w:val="auto"/>
          <w:sz w:val="32"/>
          <w:szCs w:val="32"/>
          <w:highlight w:val="none"/>
        </w:rPr>
        <w:t>载客汽车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中型</w:t>
      </w:r>
      <w:r>
        <w:rPr>
          <w:rFonts w:hint="eastAsia" w:ascii="仿宋_GB2312" w:eastAsia="仿宋_GB2312"/>
          <w:color w:val="auto"/>
          <w:sz w:val="32"/>
          <w:szCs w:val="32"/>
          <w:highlight w:val="none"/>
        </w:rPr>
        <w:t>载客</w:t>
      </w:r>
      <w:r>
        <w:rPr>
          <w:rFonts w:hint="eastAsia" w:ascii="仿宋_GB2312" w:eastAsia="仿宋_GB2312"/>
          <w:color w:val="auto"/>
          <w:sz w:val="32"/>
          <w:szCs w:val="32"/>
          <w:highlight w:val="none"/>
          <w:lang w:val="en-US" w:eastAsia="zh-CN"/>
        </w:rPr>
        <w:t>汽车1辆</w:t>
      </w:r>
      <w:r>
        <w:rPr>
          <w:rFonts w:hint="eastAsia" w:ascii="仿宋_GB2312" w:eastAsia="仿宋_GB2312"/>
          <w:color w:val="auto"/>
          <w:sz w:val="32"/>
          <w:szCs w:val="32"/>
          <w:highlight w:val="none"/>
        </w:rPr>
        <w:t>。</w:t>
      </w:r>
    </w:p>
    <w:p w14:paraId="76802812">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 w:hAnsi="仿宋" w:eastAsia="仿宋"/>
          <w:color w:val="auto"/>
          <w:sz w:val="32"/>
          <w:szCs w:val="32"/>
          <w:highlight w:val="none"/>
        </w:rPr>
        <w:t>3.06</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学校教职工外派培训</w:t>
      </w:r>
      <w:r>
        <w:rPr>
          <w:rFonts w:hint="eastAsia" w:ascii="仿宋_GB2312" w:eastAsia="仿宋_GB2312"/>
          <w:color w:val="auto"/>
          <w:sz w:val="32"/>
          <w:szCs w:val="32"/>
          <w:highlight w:val="none"/>
        </w:rPr>
        <w:t>等所需的公务用车燃料费、维修费、过路过桥费、保险费等支出。</w:t>
      </w:r>
    </w:p>
    <w:p w14:paraId="03EEF15A">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0.12</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0.12</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2021年未产生公务接待费，同时2022年因学校接待工作需要发生一笔接待业务</w:t>
      </w:r>
      <w:r>
        <w:rPr>
          <w:rFonts w:hint="eastAsia" w:ascii="仿宋_GB2312" w:eastAsia="仿宋_GB2312"/>
          <w:color w:val="auto"/>
          <w:sz w:val="32"/>
          <w:szCs w:val="32"/>
          <w:highlight w:val="none"/>
        </w:rPr>
        <w:t>。其中：</w:t>
      </w:r>
    </w:p>
    <w:p w14:paraId="652022CF">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0.12</w:t>
      </w:r>
      <w:r>
        <w:rPr>
          <w:rFonts w:hint="eastAsia" w:ascii="仿宋_GB2312" w:eastAsia="仿宋_GB2312"/>
          <w:color w:val="auto"/>
          <w:sz w:val="32"/>
          <w:szCs w:val="32"/>
          <w:highlight w:val="none"/>
        </w:rPr>
        <w:t>万元，主要用于开展业务活动开支住宿费、用餐费等。国内公务接待</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0.12</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接待木里中学德育处副主任到大河中学挂职学习锻炼，随行人数5人，陪同人数2人，接待标准180元/人.餐厅，共发生接待费0.12万元</w:t>
      </w:r>
      <w:r>
        <w:rPr>
          <w:rFonts w:hint="eastAsia" w:ascii="仿宋_GB2312" w:eastAsia="仿宋_GB2312"/>
          <w:color w:val="auto"/>
          <w:sz w:val="32"/>
          <w:szCs w:val="32"/>
          <w:highlight w:val="none"/>
        </w:rPr>
        <w:t>。</w:t>
      </w:r>
    </w:p>
    <w:p w14:paraId="719A184A">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E96A9A7">
      <w:pPr>
        <w:spacing w:line="600" w:lineRule="exact"/>
        <w:ind w:firstLine="640"/>
        <w:outlineLvl w:val="9"/>
        <w:rPr>
          <w:rFonts w:ascii="黑体" w:eastAsia="黑体"/>
          <w:color w:val="auto"/>
          <w:sz w:val="32"/>
          <w:szCs w:val="32"/>
          <w:highlight w:val="none"/>
        </w:rPr>
      </w:pPr>
      <w:bookmarkStart w:id="48" w:name="_Toc15396610"/>
      <w:bookmarkStart w:id="49" w:name="_Toc15377218"/>
    </w:p>
    <w:p w14:paraId="1C27B884">
      <w:pPr>
        <w:spacing w:line="600" w:lineRule="exact"/>
        <w:ind w:firstLine="640"/>
        <w:outlineLvl w:val="1"/>
        <w:rPr>
          <w:rStyle w:val="25"/>
          <w:rFonts w:ascii="黑体" w:hAnsi="黑体" w:eastAsia="黑体"/>
          <w:color w:val="auto"/>
          <w:highlight w:val="none"/>
        </w:rPr>
      </w:pPr>
      <w:bookmarkStart w:id="50" w:name="_Toc10188"/>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8"/>
      <w:bookmarkEnd w:id="49"/>
      <w:bookmarkEnd w:id="50"/>
    </w:p>
    <w:p w14:paraId="1A0ACEB3">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D608383">
      <w:pPr>
        <w:spacing w:line="600" w:lineRule="exact"/>
        <w:ind w:firstLine="640"/>
        <w:rPr>
          <w:rFonts w:ascii="仿宋_GB2312" w:eastAsia="仿宋_GB2312"/>
          <w:color w:val="auto"/>
          <w:sz w:val="32"/>
          <w:szCs w:val="32"/>
          <w:highlight w:val="none"/>
        </w:rPr>
      </w:pPr>
    </w:p>
    <w:p w14:paraId="306B73DB">
      <w:pPr>
        <w:numPr>
          <w:ilvl w:val="0"/>
          <w:numId w:val="3"/>
        </w:numPr>
        <w:spacing w:line="600" w:lineRule="exact"/>
        <w:ind w:firstLine="640"/>
        <w:outlineLvl w:val="1"/>
        <w:rPr>
          <w:rStyle w:val="25"/>
          <w:rFonts w:ascii="黑体" w:hAnsi="黑体" w:eastAsia="黑体"/>
          <w:b w:val="0"/>
          <w:color w:val="auto"/>
          <w:highlight w:val="none"/>
        </w:rPr>
      </w:pPr>
      <w:bookmarkStart w:id="51" w:name="_Toc26027"/>
      <w:bookmarkStart w:id="52" w:name="_Toc15377219"/>
      <w:bookmarkStart w:id="53" w:name="_Toc15396611"/>
      <w:r>
        <w:rPr>
          <w:rStyle w:val="25"/>
          <w:rFonts w:hint="eastAsia" w:ascii="黑体" w:hAnsi="黑体" w:eastAsia="黑体"/>
          <w:b w:val="0"/>
          <w:color w:val="auto"/>
          <w:highlight w:val="none"/>
        </w:rPr>
        <w:t>国有资本经营预算支出决算情况说明</w:t>
      </w:r>
      <w:bookmarkEnd w:id="51"/>
      <w:bookmarkEnd w:id="52"/>
      <w:bookmarkEnd w:id="53"/>
    </w:p>
    <w:p w14:paraId="7C5F67BA">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83902F0">
      <w:pPr>
        <w:spacing w:line="580" w:lineRule="exact"/>
        <w:jc w:val="center"/>
        <w:rPr>
          <w:rFonts w:ascii="方正小标宋简体" w:hAnsi="方正小标宋简体" w:eastAsia="方正小标宋简体" w:cs="方正小标宋简体"/>
          <w:color w:val="auto"/>
          <w:sz w:val="44"/>
          <w:szCs w:val="44"/>
          <w:highlight w:val="none"/>
        </w:rPr>
      </w:pPr>
    </w:p>
    <w:p w14:paraId="585849E2">
      <w:pPr>
        <w:numPr>
          <w:ilvl w:val="0"/>
          <w:numId w:val="3"/>
        </w:numPr>
        <w:spacing w:line="600" w:lineRule="exact"/>
        <w:ind w:firstLine="640"/>
        <w:outlineLvl w:val="1"/>
        <w:rPr>
          <w:rStyle w:val="25"/>
          <w:rFonts w:hint="eastAsia" w:ascii="黑体" w:hAnsi="黑体" w:eastAsia="黑体"/>
          <w:b w:val="0"/>
          <w:color w:val="auto"/>
          <w:highlight w:val="none"/>
        </w:rPr>
      </w:pPr>
      <w:bookmarkStart w:id="54" w:name="_Toc15396612"/>
      <w:bookmarkStart w:id="55" w:name="_Toc15377221"/>
      <w:bookmarkStart w:id="56" w:name="_Toc9081"/>
      <w:r>
        <w:rPr>
          <w:rStyle w:val="25"/>
          <w:rFonts w:hint="eastAsia" w:ascii="黑体" w:hAnsi="黑体" w:eastAsia="黑体"/>
          <w:b w:val="0"/>
          <w:color w:val="auto"/>
          <w:highlight w:val="none"/>
        </w:rPr>
        <w:t>其他重要事项的情况说明</w:t>
      </w:r>
      <w:bookmarkEnd w:id="54"/>
      <w:bookmarkEnd w:id="55"/>
      <w:bookmarkEnd w:id="56"/>
    </w:p>
    <w:p w14:paraId="1F2798F7">
      <w:pPr>
        <w:spacing w:line="600" w:lineRule="exact"/>
        <w:ind w:firstLine="643" w:firstLineChars="200"/>
        <w:outlineLvl w:val="2"/>
        <w:rPr>
          <w:rFonts w:ascii="仿宋" w:hAnsi="仿宋" w:eastAsia="仿宋"/>
          <w:color w:val="auto"/>
          <w:sz w:val="32"/>
          <w:szCs w:val="32"/>
          <w:highlight w:val="none"/>
        </w:rPr>
      </w:pPr>
      <w:bookmarkStart w:id="57" w:name="_Toc15377222"/>
      <w:r>
        <w:rPr>
          <w:rFonts w:hint="eastAsia" w:ascii="仿宋" w:hAnsi="仿宋" w:eastAsia="仿宋"/>
          <w:b/>
          <w:color w:val="auto"/>
          <w:sz w:val="32"/>
          <w:szCs w:val="32"/>
          <w:highlight w:val="none"/>
        </w:rPr>
        <w:t>（一）机关运行经费支出情况</w:t>
      </w:r>
      <w:bookmarkEnd w:id="57"/>
    </w:p>
    <w:p w14:paraId="3F1918AD">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四川省攀枝花市大河中学校属于财政全额拨款事业单位，无机关运行经费。</w:t>
      </w:r>
    </w:p>
    <w:p w14:paraId="27FBE068">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rPr>
      </w:pPr>
      <w:bookmarkStart w:id="58" w:name="_Toc15377223"/>
    </w:p>
    <w:p w14:paraId="013EE1EF">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58"/>
    </w:p>
    <w:p w14:paraId="25738FCD">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33.48</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33.48</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3C53A359">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rPr>
      </w:pPr>
      <w:bookmarkStart w:id="59" w:name="_Toc15377224"/>
    </w:p>
    <w:p w14:paraId="12A96650">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bookmarkEnd w:id="59"/>
    </w:p>
    <w:p w14:paraId="5B7ADB24">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四川省攀枝花市大河中学</w:t>
      </w:r>
      <w:r>
        <w:rPr>
          <w:rFonts w:hint="eastAsia" w:ascii="仿宋_GB2312" w:eastAsia="仿宋_GB2312"/>
          <w:color w:val="auto"/>
          <w:sz w:val="32"/>
          <w:szCs w:val="32"/>
          <w:highlight w:val="none"/>
        </w:rPr>
        <w:t>共有</w:t>
      </w:r>
      <w:r>
        <w:rPr>
          <w:rFonts w:hint="eastAsia" w:ascii="仿宋_GB2312" w:eastAsia="仿宋_GB2312"/>
          <w:color w:val="auto"/>
          <w:sz w:val="32"/>
          <w:szCs w:val="32"/>
          <w:highlight w:val="none"/>
          <w:lang w:val="en-US" w:eastAsia="zh-CN"/>
        </w:rPr>
        <w:t>公务</w:t>
      </w:r>
      <w:r>
        <w:rPr>
          <w:rFonts w:hint="eastAsia" w:ascii="仿宋_GB2312" w:eastAsia="仿宋_GB2312"/>
          <w:color w:val="auto"/>
          <w:sz w:val="32"/>
          <w:szCs w:val="32"/>
          <w:highlight w:val="none"/>
        </w:rPr>
        <w:t>车辆</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val="en-US" w:eastAsia="zh-CN"/>
        </w:rPr>
        <w:t>学校教职工因公外出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台（套）。</w:t>
      </w:r>
    </w:p>
    <w:p w14:paraId="49BF0E39">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rPr>
      </w:pPr>
    </w:p>
    <w:p w14:paraId="645258A0">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67568AFA">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根据预算绩效管理要求，本单位在</w:t>
      </w: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度</w:t>
      </w:r>
      <w:r>
        <w:rPr>
          <w:rFonts w:hint="eastAsia" w:ascii="仿宋_GB2312" w:eastAsia="仿宋_GB2312"/>
          <w:color w:val="auto"/>
          <w:sz w:val="32"/>
          <w:szCs w:val="32"/>
          <w:highlight w:val="none"/>
        </w:rPr>
        <w:t>预算编制阶段，组织对</w:t>
      </w:r>
      <w:r>
        <w:rPr>
          <w:rFonts w:hint="eastAsia" w:ascii="仿宋_GB2312" w:eastAsia="仿宋_GB2312"/>
          <w:color w:val="auto"/>
          <w:sz w:val="32"/>
          <w:szCs w:val="32"/>
          <w:highlight w:val="none"/>
          <w:lang w:val="en-US" w:eastAsia="zh-CN"/>
        </w:rPr>
        <w:t>教育教学管理经费、高中生均公用经费等项目</w:t>
      </w:r>
      <w:r>
        <w:rPr>
          <w:rFonts w:hint="eastAsia" w:ascii="仿宋_GB2312" w:eastAsia="仿宋_GB2312"/>
          <w:color w:val="auto"/>
          <w:sz w:val="32"/>
          <w:szCs w:val="32"/>
          <w:highlight w:val="none"/>
        </w:rPr>
        <w:t>开展了预算事前绩效评估，对</w:t>
      </w:r>
      <w:r>
        <w:rPr>
          <w:rFonts w:hint="eastAsia" w:ascii="仿宋_GB2312" w:eastAsia="仿宋_GB2312"/>
          <w:color w:val="auto"/>
          <w:sz w:val="32"/>
          <w:szCs w:val="32"/>
          <w:highlight w:val="none"/>
          <w:lang w:val="en-US" w:eastAsia="zh-CN"/>
        </w:rPr>
        <w:t>以上两</w:t>
      </w:r>
      <w:r>
        <w:rPr>
          <w:rFonts w:hint="eastAsia" w:ascii="仿宋_GB2312" w:eastAsia="仿宋_GB2312"/>
          <w:color w:val="auto"/>
          <w:sz w:val="32"/>
          <w:szCs w:val="32"/>
          <w:highlight w:val="none"/>
        </w:rPr>
        <w:t>个项目编制了绩效目标，预算执行过程中，选取</w:t>
      </w:r>
      <w:r>
        <w:rPr>
          <w:rFonts w:hint="eastAsia" w:ascii="仿宋_GB2312" w:eastAsia="仿宋_GB2312"/>
          <w:color w:val="auto"/>
          <w:sz w:val="32"/>
          <w:szCs w:val="32"/>
          <w:highlight w:val="none"/>
          <w:lang w:val="en-US" w:eastAsia="zh-CN"/>
        </w:rPr>
        <w:t>以上两</w:t>
      </w:r>
      <w:r>
        <w:rPr>
          <w:rFonts w:hint="eastAsia" w:ascii="仿宋_GB2312" w:eastAsia="仿宋_GB2312"/>
          <w:color w:val="auto"/>
          <w:sz w:val="32"/>
          <w:szCs w:val="32"/>
          <w:highlight w:val="none"/>
        </w:rPr>
        <w:t>个项目开展绩效监控</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年终执行完毕后，</w:t>
      </w:r>
      <w:r>
        <w:rPr>
          <w:rFonts w:hint="eastAsia" w:ascii="仿宋_GB2312" w:eastAsia="仿宋_GB2312"/>
          <w:color w:val="auto"/>
          <w:sz w:val="32"/>
          <w:szCs w:val="32"/>
          <w:highlight w:val="none"/>
          <w:lang w:val="en-US" w:eastAsia="zh-CN"/>
        </w:rPr>
        <w:t>学校组织对2022年度一般公共预算支出全面开展绩效自评，形成单位整体绩效自评报告。绩效自评综述：2022 年我校单位整体支出绩效自查自评结果良好，全年基本支出保证了单位的正常运转，项目支出保障了重点工作的开展。</w:t>
      </w:r>
    </w:p>
    <w:p w14:paraId="6836F8D4">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《2022年四川省攀枝花市大河中学校整体绩效评价报告》见附件。</w:t>
      </w:r>
    </w:p>
    <w:p w14:paraId="355EB33F">
      <w:pPr>
        <w:rPr>
          <w:rFonts w:hint="eastAsia" w:ascii="仿宋_GB2312" w:eastAsia="仿宋_GB2312"/>
          <w:color w:val="FF0000"/>
          <w:sz w:val="32"/>
          <w:szCs w:val="32"/>
          <w:highlight w:val="none"/>
          <w:lang w:val="en-US" w:eastAsia="zh-CN"/>
        </w:rPr>
      </w:pPr>
      <w:r>
        <w:rPr>
          <w:rFonts w:hint="eastAsia" w:ascii="仿宋_GB2312" w:eastAsia="仿宋_GB2312"/>
          <w:color w:val="FF0000"/>
          <w:sz w:val="32"/>
          <w:szCs w:val="32"/>
          <w:highlight w:val="none"/>
          <w:lang w:val="en-US" w:eastAsia="zh-CN"/>
        </w:rPr>
        <w:br w:type="page"/>
      </w:r>
    </w:p>
    <w:p w14:paraId="634472C4">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60" w:name="_Toc15396613"/>
      <w:bookmarkStart w:id="61" w:name="_Toc15377225"/>
      <w:bookmarkStart w:id="62" w:name="_Toc15232"/>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60"/>
      <w:bookmarkEnd w:id="61"/>
      <w:bookmarkEnd w:id="62"/>
    </w:p>
    <w:p w14:paraId="1D82ADCA">
      <w:pPr>
        <w:spacing w:line="600" w:lineRule="exact"/>
        <w:jc w:val="left"/>
        <w:rPr>
          <w:rFonts w:ascii="宋体"/>
          <w:b/>
          <w:color w:val="auto"/>
          <w:sz w:val="44"/>
          <w:szCs w:val="44"/>
          <w:highlight w:val="none"/>
        </w:rPr>
      </w:pPr>
    </w:p>
    <w:p w14:paraId="04BDEA68">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取得的财政预算资金。</w:t>
      </w:r>
    </w:p>
    <w:p w14:paraId="4920B40D">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6F932434">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1909CC3F">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14:paraId="4D7B6491">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42B266EB">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786AD8AF">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57416CDC">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0BF26E08">
      <w:pPr>
        <w:spacing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.教育</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Style w:val="14"/>
          <w:rFonts w:hint="eastAsia" w:ascii="仿宋" w:hAnsi="仿宋" w:eastAsia="仿宋" w:cs="仿宋"/>
          <w:b w:val="0"/>
          <w:bCs w:val="0"/>
          <w:color w:val="000000"/>
          <w:sz w:val="32"/>
          <w:szCs w:val="32"/>
          <w:lang w:val="en-US" w:eastAsia="zh-CN"/>
        </w:rPr>
        <w:t>普通教育</w:t>
      </w:r>
      <w:r>
        <w:rPr>
          <w:rFonts w:hint="eastAsia" w:ascii="仿宋" w:hAnsi="仿宋" w:eastAsia="仿宋" w:cs="仿宋"/>
          <w:color w:val="000000"/>
          <w:sz w:val="32"/>
          <w:szCs w:val="32"/>
        </w:rPr>
        <w:t>（款）学前教育（项）：指财政</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安排的事业单位用于</w:t>
      </w:r>
      <w:r>
        <w:rPr>
          <w:rFonts w:hint="eastAsia" w:ascii="仿宋" w:hAnsi="仿宋" w:eastAsia="仿宋" w:cs="仿宋"/>
          <w:color w:val="000000"/>
          <w:sz w:val="32"/>
          <w:szCs w:val="32"/>
          <w:lang w:eastAsia="zh-CN"/>
        </w:rPr>
        <w:t>学前教育活动</w:t>
      </w:r>
      <w:r>
        <w:rPr>
          <w:rFonts w:hint="eastAsia" w:ascii="仿宋" w:hAnsi="仿宋" w:eastAsia="仿宋"/>
          <w:color w:val="000000"/>
          <w:sz w:val="32"/>
          <w:szCs w:val="32"/>
          <w:lang w:eastAsia="zh-CN"/>
        </w:rPr>
        <w:t>日常</w:t>
      </w:r>
      <w:r>
        <w:rPr>
          <w:rFonts w:hint="eastAsia" w:ascii="仿宋" w:hAnsi="仿宋" w:eastAsia="仿宋"/>
          <w:color w:val="000000"/>
          <w:sz w:val="32"/>
          <w:szCs w:val="32"/>
        </w:rPr>
        <w:t>公用</w:t>
      </w:r>
      <w:r>
        <w:rPr>
          <w:rFonts w:hint="eastAsia" w:ascii="仿宋" w:hAnsi="仿宋" w:eastAsia="仿宋" w:cs="仿宋"/>
          <w:color w:val="000000"/>
          <w:sz w:val="32"/>
          <w:szCs w:val="32"/>
          <w:lang w:eastAsia="zh-CN"/>
        </w:rPr>
        <w:t>经费</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eastAsia="zh-CN"/>
        </w:rPr>
        <w:t>，</w:t>
      </w:r>
      <w:r>
        <w:rPr>
          <w:rFonts w:hint="eastAsia" w:ascii="仿宋" w:hAnsi="仿宋" w:eastAsia="仿宋"/>
          <w:color w:val="000000"/>
          <w:sz w:val="32"/>
          <w:szCs w:val="32"/>
        </w:rPr>
        <w:t>主要包括：办公费、印刷费、咨询费、手续费、水费、电费、邮电费、物业管理费、差旅费、维修（护）费、租赁费</w:t>
      </w:r>
      <w:r>
        <w:rPr>
          <w:rFonts w:hint="eastAsia" w:ascii="仿宋" w:hAnsi="仿宋" w:eastAsia="仿宋"/>
          <w:color w:val="000000"/>
          <w:sz w:val="32"/>
          <w:szCs w:val="32"/>
          <w:lang w:eastAsia="zh-CN"/>
        </w:rPr>
        <w:t>、</w:t>
      </w:r>
      <w:r>
        <w:rPr>
          <w:rFonts w:hint="eastAsia" w:ascii="仿宋" w:hAnsi="仿宋" w:eastAsia="仿宋"/>
          <w:color w:val="000000"/>
          <w:sz w:val="32"/>
          <w:szCs w:val="32"/>
        </w:rPr>
        <w:t>培训费、劳务费、委托业务费、其他交通费、其他商品和服务支出、办公设备购置、专用设备购置、信息网络及软件购置更新、其他资本性支出等。</w:t>
      </w:r>
    </w:p>
    <w:p w14:paraId="500E3BD3">
      <w:pPr>
        <w:spacing w:line="600" w:lineRule="exact"/>
        <w:ind w:firstLine="645"/>
        <w:rPr>
          <w:rFonts w:ascii="仿宋" w:hAnsi="仿宋" w:eastAsia="仿宋"/>
          <w:b/>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教育</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Style w:val="14"/>
          <w:rFonts w:hint="eastAsia" w:ascii="仿宋" w:hAnsi="仿宋" w:eastAsia="仿宋" w:cs="仿宋"/>
          <w:b w:val="0"/>
          <w:bCs w:val="0"/>
          <w:color w:val="000000"/>
          <w:sz w:val="32"/>
          <w:szCs w:val="32"/>
          <w:lang w:val="en-US" w:eastAsia="zh-CN"/>
        </w:rPr>
        <w:t>普通教育</w:t>
      </w:r>
      <w:r>
        <w:rPr>
          <w:rFonts w:hint="eastAsia" w:ascii="仿宋" w:hAnsi="仿宋" w:eastAsia="仿宋" w:cs="仿宋"/>
          <w:color w:val="000000"/>
          <w:sz w:val="32"/>
          <w:szCs w:val="32"/>
        </w:rPr>
        <w:t>（款）小学教育（项）：指财政</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安排的事业单位用于</w:t>
      </w:r>
      <w:r>
        <w:rPr>
          <w:rFonts w:hint="eastAsia" w:ascii="仿宋" w:hAnsi="仿宋" w:eastAsia="仿宋" w:cs="仿宋"/>
          <w:color w:val="000000"/>
          <w:sz w:val="32"/>
          <w:szCs w:val="32"/>
          <w:lang w:eastAsia="zh-CN"/>
        </w:rPr>
        <w:t>小学教育活动</w:t>
      </w:r>
      <w:r>
        <w:rPr>
          <w:rFonts w:hint="eastAsia" w:ascii="仿宋" w:hAnsi="仿宋" w:eastAsia="仿宋"/>
          <w:color w:val="000000"/>
          <w:sz w:val="32"/>
          <w:szCs w:val="32"/>
        </w:rPr>
        <w:t>人员经费</w:t>
      </w:r>
      <w:r>
        <w:rPr>
          <w:rFonts w:hint="eastAsia" w:ascii="仿宋" w:hAnsi="仿宋" w:eastAsia="仿宋"/>
          <w:color w:val="000000"/>
          <w:sz w:val="32"/>
          <w:szCs w:val="32"/>
          <w:lang w:eastAsia="zh-CN"/>
        </w:rPr>
        <w:t>和日常</w:t>
      </w:r>
      <w:r>
        <w:rPr>
          <w:rFonts w:hint="eastAsia" w:ascii="仿宋" w:hAnsi="仿宋" w:eastAsia="仿宋"/>
          <w:color w:val="000000"/>
          <w:sz w:val="32"/>
          <w:szCs w:val="32"/>
        </w:rPr>
        <w:t>公用</w:t>
      </w:r>
      <w:r>
        <w:rPr>
          <w:rFonts w:hint="eastAsia" w:ascii="仿宋" w:hAnsi="仿宋" w:eastAsia="仿宋" w:cs="仿宋"/>
          <w:color w:val="000000"/>
          <w:sz w:val="32"/>
          <w:szCs w:val="32"/>
          <w:lang w:eastAsia="zh-CN"/>
        </w:rPr>
        <w:t>经费</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eastAsia="zh-CN"/>
        </w:rPr>
        <w:t>，人员经费支出</w:t>
      </w:r>
      <w:r>
        <w:rPr>
          <w:rFonts w:hint="eastAsia" w:ascii="仿宋" w:hAnsi="仿宋" w:eastAsia="仿宋"/>
          <w:color w:val="000000"/>
          <w:sz w:val="32"/>
          <w:szCs w:val="32"/>
        </w:rPr>
        <w:t>主要包括：基本工资、津贴补贴、奖金、伙食补助费、绩效工资、其他社会保障缴费、其他工资福利支出、生活补助、奖励金、住房公积金、其他对个人和家庭的补助支出等</w:t>
      </w:r>
      <w:r>
        <w:rPr>
          <w:rFonts w:hint="eastAsia" w:ascii="仿宋" w:hAnsi="仿宋" w:eastAsia="仿宋"/>
          <w:color w:val="000000"/>
          <w:sz w:val="32"/>
          <w:szCs w:val="32"/>
          <w:lang w:eastAsia="zh-CN"/>
        </w:rPr>
        <w:t>；日常</w:t>
      </w:r>
      <w:r>
        <w:rPr>
          <w:rFonts w:hint="eastAsia" w:ascii="仿宋" w:hAnsi="仿宋" w:eastAsia="仿宋"/>
          <w:color w:val="000000"/>
          <w:sz w:val="32"/>
          <w:szCs w:val="32"/>
        </w:rPr>
        <w:t>公用经费</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主要包括：办公费、印刷费、咨询费、手续费、水费、电费、邮电费、物业管理费、差旅费、维修（护）费、租赁费、培训费、劳务费、委托业务费、工会经费、福利费、公务用车运行维护费、其他交通费、其他商品和服务支出、办公设备购置、专用设备购置、信息网络及软件购置更新、其他资本性支出等。</w:t>
      </w:r>
    </w:p>
    <w:p w14:paraId="1FA2B4C9">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教育</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Style w:val="14"/>
          <w:rFonts w:hint="eastAsia" w:ascii="仿宋" w:hAnsi="仿宋" w:eastAsia="仿宋" w:cs="仿宋"/>
          <w:b w:val="0"/>
          <w:bCs w:val="0"/>
          <w:color w:val="000000"/>
          <w:sz w:val="32"/>
          <w:szCs w:val="32"/>
          <w:lang w:val="en-US" w:eastAsia="zh-CN"/>
        </w:rPr>
        <w:t>教育费附加安排的支出</w:t>
      </w:r>
      <w:r>
        <w:rPr>
          <w:rFonts w:hint="eastAsia" w:ascii="仿宋" w:hAnsi="仿宋" w:eastAsia="仿宋" w:cs="仿宋"/>
          <w:color w:val="000000"/>
          <w:sz w:val="32"/>
          <w:szCs w:val="32"/>
        </w:rPr>
        <w:t>（款）其他教育费附加安排的支出（项）：指财政</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安排的事业单位用于</w:t>
      </w:r>
      <w:r>
        <w:rPr>
          <w:rFonts w:hint="eastAsia" w:ascii="仿宋" w:hAnsi="仿宋" w:eastAsia="仿宋" w:cs="仿宋"/>
          <w:color w:val="000000"/>
          <w:sz w:val="32"/>
          <w:szCs w:val="32"/>
          <w:lang w:eastAsia="zh-CN"/>
        </w:rPr>
        <w:t>教育活动</w:t>
      </w:r>
      <w:r>
        <w:rPr>
          <w:rFonts w:hint="eastAsia" w:ascii="仿宋" w:hAnsi="仿宋" w:eastAsia="仿宋"/>
          <w:color w:val="000000"/>
          <w:sz w:val="32"/>
          <w:szCs w:val="32"/>
        </w:rPr>
        <w:t>人员经费</w:t>
      </w:r>
      <w:r>
        <w:rPr>
          <w:rFonts w:hint="eastAsia" w:ascii="仿宋" w:hAnsi="仿宋" w:eastAsia="仿宋"/>
          <w:color w:val="000000"/>
          <w:sz w:val="32"/>
          <w:szCs w:val="32"/>
          <w:lang w:eastAsia="zh-CN"/>
        </w:rPr>
        <w:t>和日常</w:t>
      </w:r>
      <w:r>
        <w:rPr>
          <w:rFonts w:hint="eastAsia" w:ascii="仿宋" w:hAnsi="仿宋" w:eastAsia="仿宋"/>
          <w:color w:val="000000"/>
          <w:sz w:val="32"/>
          <w:szCs w:val="32"/>
        </w:rPr>
        <w:t>公用</w:t>
      </w:r>
      <w:r>
        <w:rPr>
          <w:rFonts w:hint="eastAsia" w:ascii="仿宋" w:hAnsi="仿宋" w:eastAsia="仿宋" w:cs="仿宋"/>
          <w:color w:val="000000"/>
          <w:sz w:val="32"/>
          <w:szCs w:val="32"/>
          <w:lang w:eastAsia="zh-CN"/>
        </w:rPr>
        <w:t>经费</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eastAsia="zh-CN"/>
        </w:rPr>
        <w:t>，主要包括：业务委托费、</w:t>
      </w:r>
      <w:r>
        <w:rPr>
          <w:rFonts w:hint="eastAsia" w:ascii="仿宋" w:hAnsi="仿宋" w:eastAsia="仿宋" w:cs="仿宋"/>
          <w:color w:val="000000"/>
          <w:sz w:val="32"/>
          <w:szCs w:val="32"/>
          <w:lang w:val="en-US" w:eastAsia="zh-CN"/>
        </w:rPr>
        <w:t>劳务费、</w:t>
      </w:r>
      <w:r>
        <w:rPr>
          <w:rFonts w:hint="eastAsia" w:ascii="仿宋" w:hAnsi="仿宋" w:eastAsia="仿宋"/>
          <w:color w:val="000000"/>
          <w:sz w:val="32"/>
          <w:szCs w:val="32"/>
        </w:rPr>
        <w:t>其他对个人和家庭的补助</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其他商品和服务支出、办公设备购置、其他资本性支出</w:t>
      </w:r>
      <w:r>
        <w:rPr>
          <w:rFonts w:hint="eastAsia" w:ascii="仿宋" w:hAnsi="仿宋" w:eastAsia="仿宋"/>
          <w:color w:val="000000"/>
          <w:sz w:val="32"/>
          <w:szCs w:val="32"/>
          <w:lang w:eastAsia="zh-CN"/>
        </w:rPr>
        <w:t>等</w:t>
      </w:r>
      <w:r>
        <w:rPr>
          <w:rFonts w:hint="eastAsia" w:ascii="仿宋" w:hAnsi="仿宋" w:eastAsia="仿宋" w:cs="仿宋"/>
          <w:color w:val="000000"/>
          <w:sz w:val="32"/>
          <w:szCs w:val="32"/>
        </w:rPr>
        <w:t>。</w:t>
      </w:r>
    </w:p>
    <w:p w14:paraId="12D9E0E6">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.社会保障和就业</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Fonts w:hint="eastAsia" w:ascii="仿宋" w:hAnsi="仿宋" w:eastAsia="仿宋" w:cs="仿宋"/>
          <w:color w:val="000000"/>
          <w:sz w:val="32"/>
          <w:szCs w:val="32"/>
          <w:lang w:eastAsia="zh-CN"/>
        </w:rPr>
        <w:t>行政事业单位养老支出</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事业单位离退休</w:t>
      </w:r>
      <w:r>
        <w:rPr>
          <w:rFonts w:hint="eastAsia" w:ascii="仿宋" w:hAnsi="仿宋" w:eastAsia="仿宋" w:cs="仿宋"/>
          <w:color w:val="000000"/>
          <w:sz w:val="32"/>
          <w:szCs w:val="32"/>
        </w:rPr>
        <w:t>（项）：指财政</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安排的事业单位用于单位</w:t>
      </w:r>
      <w:r>
        <w:rPr>
          <w:rFonts w:hint="eastAsia" w:ascii="仿宋" w:hAnsi="仿宋" w:eastAsia="仿宋" w:cs="仿宋"/>
          <w:color w:val="000000"/>
          <w:sz w:val="32"/>
          <w:szCs w:val="32"/>
          <w:lang w:eastAsia="zh-CN"/>
        </w:rPr>
        <w:t>离退休人员经费</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eastAsia="zh-CN"/>
        </w:rPr>
        <w:t>，主要包括：</w:t>
      </w:r>
      <w:r>
        <w:rPr>
          <w:rFonts w:hint="eastAsia" w:ascii="仿宋" w:hAnsi="仿宋" w:eastAsia="仿宋"/>
          <w:color w:val="000000"/>
          <w:sz w:val="32"/>
          <w:szCs w:val="32"/>
        </w:rPr>
        <w:t>退休费、</w:t>
      </w:r>
      <w:r>
        <w:rPr>
          <w:rFonts w:hint="eastAsia" w:ascii="仿宋" w:hAnsi="仿宋" w:eastAsia="仿宋"/>
          <w:color w:val="000000"/>
          <w:sz w:val="32"/>
          <w:szCs w:val="32"/>
          <w:lang w:eastAsia="zh-CN"/>
        </w:rPr>
        <w:t>福利费、其他商品和服务支出、</w:t>
      </w:r>
      <w:r>
        <w:rPr>
          <w:rFonts w:hint="eastAsia" w:ascii="仿宋" w:hAnsi="仿宋" w:eastAsia="仿宋"/>
          <w:color w:val="000000"/>
          <w:sz w:val="32"/>
          <w:szCs w:val="32"/>
        </w:rPr>
        <w:t>抚恤金、奖励金、</w:t>
      </w:r>
      <w:r>
        <w:rPr>
          <w:rFonts w:hint="eastAsia" w:ascii="仿宋" w:hAnsi="仿宋" w:eastAsia="仿宋"/>
          <w:color w:val="000000"/>
          <w:sz w:val="32"/>
          <w:szCs w:val="32"/>
          <w:lang w:eastAsia="zh-CN"/>
        </w:rPr>
        <w:t>职业年金缴费</w:t>
      </w:r>
      <w:r>
        <w:rPr>
          <w:rFonts w:hint="eastAsia" w:ascii="仿宋" w:hAnsi="仿宋" w:eastAsia="仿宋"/>
          <w:color w:val="000000"/>
          <w:sz w:val="32"/>
          <w:szCs w:val="32"/>
        </w:rPr>
        <w:t>等。</w:t>
      </w:r>
    </w:p>
    <w:p w14:paraId="3E1A6514">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社会保障和就业</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Fonts w:hint="eastAsia" w:ascii="仿宋" w:hAnsi="仿宋" w:eastAsia="仿宋" w:cs="仿宋"/>
          <w:color w:val="000000"/>
          <w:sz w:val="32"/>
          <w:szCs w:val="32"/>
          <w:lang w:eastAsia="zh-CN"/>
        </w:rPr>
        <w:t>行政事业单位养老支出</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机关事业单位基本养老保险缴费支出</w:t>
      </w:r>
      <w:r>
        <w:rPr>
          <w:rFonts w:hint="eastAsia" w:ascii="仿宋" w:hAnsi="仿宋" w:eastAsia="仿宋" w:cs="仿宋"/>
          <w:color w:val="000000"/>
          <w:sz w:val="32"/>
          <w:szCs w:val="32"/>
        </w:rPr>
        <w:t>（项）：指财政</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安排的事业单位用于缴纳单位</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eastAsia="zh-CN"/>
        </w:rPr>
        <w:t>支出</w:t>
      </w:r>
      <w:r>
        <w:rPr>
          <w:rFonts w:hint="eastAsia" w:ascii="仿宋" w:hAnsi="仿宋" w:eastAsia="仿宋" w:cs="仿宋"/>
          <w:color w:val="000000"/>
          <w:sz w:val="32"/>
          <w:szCs w:val="32"/>
        </w:rPr>
        <w:t>。</w:t>
      </w:r>
    </w:p>
    <w:p w14:paraId="3845882F">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社会保障和就业</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Fonts w:hint="eastAsia" w:ascii="仿宋" w:hAnsi="仿宋" w:eastAsia="仿宋" w:cs="仿宋"/>
          <w:color w:val="000000"/>
          <w:sz w:val="32"/>
          <w:szCs w:val="32"/>
          <w:lang w:eastAsia="zh-CN"/>
        </w:rPr>
        <w:t>行政事业单位养老支出</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机关事业单位职业年金缴费支出</w:t>
      </w:r>
      <w:r>
        <w:rPr>
          <w:rFonts w:hint="eastAsia" w:ascii="仿宋" w:hAnsi="仿宋" w:eastAsia="仿宋" w:cs="仿宋"/>
          <w:color w:val="000000"/>
          <w:sz w:val="32"/>
          <w:szCs w:val="32"/>
        </w:rPr>
        <w:t>（项）：指财政</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安排的事业单位用于缴纳单位</w:t>
      </w:r>
      <w:r>
        <w:rPr>
          <w:rFonts w:hint="eastAsia" w:ascii="仿宋" w:hAnsi="仿宋" w:eastAsia="仿宋" w:cs="仿宋"/>
          <w:color w:val="000000"/>
          <w:sz w:val="32"/>
          <w:szCs w:val="32"/>
          <w:lang w:eastAsia="zh-CN"/>
        </w:rPr>
        <w:t>职业年金</w:t>
      </w:r>
      <w:r>
        <w:rPr>
          <w:rFonts w:hint="eastAsia" w:ascii="仿宋" w:hAnsi="仿宋" w:eastAsia="仿宋" w:cs="仿宋"/>
          <w:color w:val="000000"/>
          <w:sz w:val="32"/>
          <w:szCs w:val="32"/>
        </w:rPr>
        <w:t>支出。</w:t>
      </w:r>
    </w:p>
    <w:p w14:paraId="355A8224">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15.卫生健康支出（类）行政事业单位医疗（款）事业单位医疗（项）：指财政单位安排的事业单位用于缴纳单位基本医疗保险支出。</w:t>
      </w:r>
    </w:p>
    <w:p w14:paraId="479931F3">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16.卫生健康支出（类）行政事业单位医疗（款）公务员医疗补助（项</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指</w:t>
      </w:r>
      <w:r>
        <w:rPr>
          <w:rFonts w:hint="eastAsia" w:ascii="仿宋" w:hAnsi="仿宋" w:eastAsia="仿宋" w:cs="仿宋"/>
          <w:color w:val="000000"/>
          <w:sz w:val="32"/>
          <w:szCs w:val="32"/>
        </w:rPr>
        <w:t>财政</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安排的</w:t>
      </w:r>
      <w:r>
        <w:rPr>
          <w:rFonts w:hint="eastAsia" w:ascii="仿宋" w:hAnsi="仿宋" w:eastAsia="仿宋" w:cs="仿宋"/>
          <w:color w:val="000000"/>
          <w:sz w:val="32"/>
          <w:szCs w:val="32"/>
          <w:lang w:eastAsia="zh-CN"/>
        </w:rPr>
        <w:t>事业单位</w:t>
      </w:r>
      <w:r>
        <w:rPr>
          <w:rFonts w:hint="eastAsia" w:ascii="仿宋" w:hAnsi="仿宋" w:eastAsia="仿宋" w:cs="仿宋"/>
          <w:color w:val="000000"/>
          <w:sz w:val="32"/>
          <w:szCs w:val="32"/>
        </w:rPr>
        <w:t>用于集中缴纳公务员医疗补助支出。</w:t>
      </w:r>
    </w:p>
    <w:p w14:paraId="4A6F51AC">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卫生健康</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Fonts w:hint="eastAsia" w:ascii="仿宋" w:hAnsi="仿宋" w:eastAsia="仿宋" w:cs="仿宋"/>
          <w:color w:val="000000"/>
          <w:sz w:val="32"/>
          <w:szCs w:val="32"/>
          <w:lang w:eastAsia="zh-CN"/>
        </w:rPr>
        <w:t>医疗保障管理事务</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其他医疗保障管理事务支出</w:t>
      </w:r>
      <w:r>
        <w:rPr>
          <w:rFonts w:hint="eastAsia" w:ascii="仿宋" w:hAnsi="仿宋" w:eastAsia="仿宋" w:cs="仿宋"/>
          <w:color w:val="000000"/>
          <w:sz w:val="32"/>
          <w:szCs w:val="32"/>
        </w:rPr>
        <w:t>（项）：指财政</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安排的事业单位用于</w:t>
      </w:r>
      <w:r>
        <w:rPr>
          <w:rFonts w:hint="eastAsia" w:ascii="仿宋" w:hAnsi="仿宋" w:eastAsia="仿宋" w:cs="仿宋"/>
          <w:color w:val="000000"/>
          <w:sz w:val="32"/>
          <w:szCs w:val="32"/>
          <w:lang w:val="en-US" w:eastAsia="zh-CN"/>
        </w:rPr>
        <w:t>医保扩面专项资金支出</w:t>
      </w:r>
      <w:r>
        <w:rPr>
          <w:rFonts w:hint="eastAsia" w:ascii="仿宋" w:hAnsi="仿宋" w:eastAsia="仿宋" w:cs="仿宋"/>
          <w:color w:val="000000"/>
          <w:sz w:val="32"/>
          <w:szCs w:val="32"/>
        </w:rPr>
        <w:t>。</w:t>
      </w:r>
    </w:p>
    <w:p w14:paraId="4A31CE30">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.住房保障</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Fonts w:hint="eastAsia" w:ascii="仿宋" w:hAnsi="仿宋" w:eastAsia="仿宋" w:cs="仿宋"/>
          <w:color w:val="000000"/>
          <w:sz w:val="32"/>
          <w:szCs w:val="32"/>
          <w:lang w:eastAsia="zh-CN"/>
        </w:rPr>
        <w:t>住房改革支出</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住房公积金</w:t>
      </w:r>
      <w:r>
        <w:rPr>
          <w:rFonts w:hint="eastAsia" w:ascii="仿宋" w:hAnsi="仿宋" w:eastAsia="仿宋" w:cs="仿宋"/>
          <w:color w:val="000000"/>
          <w:sz w:val="32"/>
          <w:szCs w:val="32"/>
        </w:rPr>
        <w:t>（项）：指财政</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安排的事业单位用于缴纳单位</w:t>
      </w:r>
      <w:r>
        <w:rPr>
          <w:rFonts w:hint="eastAsia" w:ascii="仿宋" w:hAnsi="仿宋" w:eastAsia="仿宋" w:cs="仿宋"/>
          <w:color w:val="000000"/>
          <w:sz w:val="32"/>
          <w:szCs w:val="32"/>
          <w:lang w:eastAsia="zh-CN"/>
        </w:rPr>
        <w:t>住房公积金</w:t>
      </w:r>
      <w:r>
        <w:rPr>
          <w:rFonts w:hint="eastAsia" w:ascii="仿宋" w:hAnsi="仿宋" w:eastAsia="仿宋" w:cs="仿宋"/>
          <w:color w:val="000000"/>
          <w:sz w:val="32"/>
          <w:szCs w:val="32"/>
        </w:rPr>
        <w:t>支出。</w:t>
      </w:r>
    </w:p>
    <w:p w14:paraId="7EE5BAFB">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.基本支出：指为保障机构正常运转、完成日常工作任务而发生的人员支出和公用支出。</w:t>
      </w:r>
    </w:p>
    <w:p w14:paraId="4F5086CD">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 xml:space="preserve">.项目支出：指在基本支出之外为完成特定行政任务和事业发展目标所发生的支出。 </w:t>
      </w:r>
    </w:p>
    <w:p w14:paraId="66B092D3">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.经营支出：指事业单位在专业业务活动及其辅助活动之外开展非独立核算经营活动发生的支出。</w:t>
      </w:r>
    </w:p>
    <w:p w14:paraId="5C902B6D">
      <w:pPr>
        <w:pStyle w:val="22"/>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hAnsi="仿宋" w:cs="仿宋"/>
          <w:sz w:val="32"/>
          <w:szCs w:val="32"/>
          <w:lang w:val="en-US" w:eastAsia="zh-CN"/>
        </w:rPr>
        <w:t>2</w:t>
      </w:r>
      <w:r>
        <w:rPr>
          <w:rFonts w:hint="eastAsia" w:ascii="仿宋" w:hAnsi="仿宋" w:eastAsia="仿宋" w:cs="仿宋"/>
          <w:sz w:val="32"/>
          <w:szCs w:val="32"/>
        </w:rPr>
        <w:t>.“三公”经费：指</w:t>
      </w:r>
      <w:r>
        <w:rPr>
          <w:rFonts w:hint="eastAsia" w:hAnsi="仿宋" w:cs="仿宋"/>
          <w:sz w:val="32"/>
          <w:szCs w:val="32"/>
          <w:lang w:eastAsia="zh-CN"/>
        </w:rPr>
        <w:t>单位</w:t>
      </w:r>
      <w:r>
        <w:rPr>
          <w:rFonts w:hint="eastAsia" w:ascii="仿宋" w:hAnsi="仿宋" w:eastAsia="仿宋" w:cs="仿宋"/>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4B55D5F">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br w:type="page"/>
      </w:r>
    </w:p>
    <w:p w14:paraId="60E544D1">
      <w:pPr>
        <w:pStyle w:val="2"/>
        <w:numPr>
          <w:ilvl w:val="0"/>
          <w:numId w:val="4"/>
        </w:numPr>
        <w:bidi w:val="0"/>
        <w:ind w:left="0" w:leftChars="0" w:firstLine="0" w:firstLineChars="0"/>
        <w:jc w:val="center"/>
        <w:rPr>
          <w:rFonts w:hint="default"/>
          <w:lang w:val="en-US" w:eastAsia="zh-CN"/>
        </w:rPr>
      </w:pPr>
      <w:bookmarkStart w:id="63" w:name="_Toc6152"/>
      <w:r>
        <w:rPr>
          <w:rFonts w:hint="eastAsia"/>
          <w:lang w:val="en-US" w:eastAsia="zh-CN"/>
        </w:rPr>
        <w:t>附件</w:t>
      </w:r>
      <w:bookmarkEnd w:id="63"/>
    </w:p>
    <w:p w14:paraId="058560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1.四川省攀枝花市大河中学校2022年单位整体绩效评价报告详见附件。</w:t>
      </w:r>
    </w:p>
    <w:p w14:paraId="12F531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b/>
          <w:color w:val="auto"/>
          <w:sz w:val="32"/>
          <w:szCs w:val="32"/>
          <w:highlight w:val="none"/>
          <w:lang w:val="en-US" w:eastAsia="zh-CN"/>
        </w:rPr>
        <w:sectPr>
          <w:footerReference r:id="rId10"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32"/>
          <w:szCs w:val="32"/>
          <w:lang w:val="en-US" w:eastAsia="zh-CN" w:bidi="ar-SA"/>
        </w:rPr>
        <w:t>2.四川省攀枝花市大河中学校2022年单位预算项目支出绩效自评表详见下表。</w:t>
      </w:r>
    </w:p>
    <w:tbl>
      <w:tblPr>
        <w:tblStyle w:val="12"/>
        <w:tblW w:w="622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347"/>
        <w:gridCol w:w="2036"/>
        <w:gridCol w:w="2598"/>
        <w:gridCol w:w="624"/>
        <w:gridCol w:w="1925"/>
        <w:gridCol w:w="603"/>
        <w:gridCol w:w="1363"/>
        <w:gridCol w:w="665"/>
        <w:gridCol w:w="665"/>
        <w:gridCol w:w="2976"/>
        <w:gridCol w:w="665"/>
        <w:gridCol w:w="665"/>
        <w:gridCol w:w="665"/>
        <w:gridCol w:w="665"/>
        <w:gridCol w:w="665"/>
        <w:gridCol w:w="710"/>
      </w:tblGrid>
      <w:tr w14:paraId="7461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B241D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64" w:name="_Toc15377226"/>
            <w:bookmarkStart w:id="65" w:name="_Toc15396618"/>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5732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FDC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593B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51041121Y000000068013-基本公用经费定额（事业）</w:t>
            </w:r>
          </w:p>
        </w:tc>
      </w:tr>
      <w:tr w14:paraId="6E9A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D17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61EC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35B6EEE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603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34CF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612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0C0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53E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5B291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B912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70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210C1">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EB1F3">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4B5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047D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2022年已完成年度目标</w:t>
            </w:r>
          </w:p>
        </w:tc>
      </w:tr>
      <w:tr w14:paraId="506D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6C6B">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79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CA6983">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保障单位日常运转</w:t>
            </w:r>
            <w:r>
              <w:rPr>
                <w:rFonts w:hint="eastAsia" w:ascii="宋体" w:hAnsi="宋体" w:cs="宋体"/>
                <w:i w:val="0"/>
                <w:iCs w:val="0"/>
                <w:color w:val="000000"/>
                <w:kern w:val="0"/>
                <w:sz w:val="18"/>
                <w:szCs w:val="18"/>
                <w:u w:val="none"/>
                <w:lang w:val="en-US" w:eastAsia="zh-CN" w:bidi="ar"/>
              </w:rPr>
              <w:t>，按工作安排开展活动并执行支付计划</w:t>
            </w:r>
          </w:p>
        </w:tc>
      </w:tr>
      <w:tr w14:paraId="7AF4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B2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A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85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E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BB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8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8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D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46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B2E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289A4">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3A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6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125.61</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F147">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73.39</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8D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73.39</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0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67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10C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96CC0">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4D96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24286">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6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1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125.61</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BF0D">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73.39</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4A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73.39</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A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6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E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0FB5A">
            <w:pPr>
              <w:rPr>
                <w:rFonts w:hint="eastAsia" w:ascii="黑体" w:hAnsi="黑体" w:eastAsia="黑体" w:cs="黑体"/>
                <w:i/>
                <w:iCs/>
                <w:color w:val="000000"/>
                <w:sz w:val="18"/>
                <w:szCs w:val="18"/>
                <w:u w:val="none"/>
              </w:rPr>
            </w:pPr>
          </w:p>
        </w:tc>
      </w:tr>
      <w:tr w14:paraId="5DC3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4040">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2B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9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98033">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A9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6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8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4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5893">
            <w:pPr>
              <w:rPr>
                <w:rFonts w:hint="eastAsia" w:ascii="黑体" w:hAnsi="黑体" w:eastAsia="黑体" w:cs="黑体"/>
                <w:i/>
                <w:iCs/>
                <w:color w:val="000000"/>
                <w:sz w:val="18"/>
                <w:szCs w:val="18"/>
                <w:u w:val="none"/>
              </w:rPr>
            </w:pPr>
          </w:p>
        </w:tc>
      </w:tr>
      <w:tr w14:paraId="70AC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E000C">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8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9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57E6">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6B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9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68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D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69AF6">
            <w:pPr>
              <w:rPr>
                <w:rFonts w:hint="eastAsia" w:ascii="黑体" w:hAnsi="黑体" w:eastAsia="黑体" w:cs="黑体"/>
                <w:i/>
                <w:iCs/>
                <w:color w:val="000000"/>
                <w:sz w:val="18"/>
                <w:szCs w:val="18"/>
                <w:u w:val="none"/>
              </w:rPr>
            </w:pPr>
          </w:p>
        </w:tc>
      </w:tr>
      <w:tr w14:paraId="3FAB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6C78A">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C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06DC">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CFB51">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A678E">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CD90B">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7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A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B7087">
            <w:pPr>
              <w:rPr>
                <w:rFonts w:hint="eastAsia" w:ascii="黑体" w:hAnsi="黑体" w:eastAsia="黑体" w:cs="黑体"/>
                <w:i/>
                <w:iCs/>
                <w:color w:val="000000"/>
                <w:sz w:val="18"/>
                <w:szCs w:val="18"/>
                <w:u w:val="none"/>
              </w:rPr>
            </w:pPr>
          </w:p>
        </w:tc>
      </w:tr>
      <w:tr w14:paraId="172C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AB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47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2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F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2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6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4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E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A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8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61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635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5AE41">
            <w:pPr>
              <w:jc w:val="center"/>
              <w:rPr>
                <w:rFonts w:hint="eastAsia" w:ascii="宋体" w:hAnsi="宋体" w:eastAsia="宋体" w:cs="宋体"/>
                <w:i w:val="0"/>
                <w:iCs w:val="0"/>
                <w:color w:val="000000"/>
                <w:sz w:val="18"/>
                <w:szCs w:val="18"/>
                <w:u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A0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A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C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5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9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7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FE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4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B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308F">
            <w:pPr>
              <w:jc w:val="center"/>
              <w:rPr>
                <w:rFonts w:hint="eastAsia" w:ascii="微软雅黑" w:hAnsi="微软雅黑" w:eastAsia="微软雅黑" w:cs="微软雅黑"/>
                <w:i/>
                <w:iCs/>
                <w:color w:val="000000"/>
                <w:sz w:val="16"/>
                <w:szCs w:val="16"/>
                <w:u w:val="none"/>
              </w:rPr>
            </w:pPr>
          </w:p>
        </w:tc>
      </w:tr>
      <w:tr w14:paraId="4A6E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7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BC121">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2EA8">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D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0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D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12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3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92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1A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A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D773">
            <w:pPr>
              <w:jc w:val="center"/>
              <w:rPr>
                <w:rFonts w:hint="eastAsia" w:ascii="微软雅黑" w:hAnsi="微软雅黑" w:eastAsia="微软雅黑" w:cs="微软雅黑"/>
                <w:i/>
                <w:iCs/>
                <w:color w:val="000000"/>
                <w:sz w:val="16"/>
                <w:szCs w:val="16"/>
                <w:u w:val="none"/>
              </w:rPr>
            </w:pPr>
          </w:p>
        </w:tc>
      </w:tr>
      <w:tr w14:paraId="4AA3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904"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6B145">
            <w:pPr>
              <w:jc w:val="center"/>
              <w:rPr>
                <w:rFonts w:hint="eastAsia" w:ascii="宋体" w:hAnsi="宋体" w:eastAsia="宋体" w:cs="宋体"/>
                <w:i w:val="0"/>
                <w:iCs w:val="0"/>
                <w:color w:val="000000"/>
                <w:sz w:val="18"/>
                <w:szCs w:val="18"/>
                <w:u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D3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70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B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C2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B7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E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A9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158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F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5865">
            <w:pPr>
              <w:jc w:val="center"/>
              <w:rPr>
                <w:rFonts w:hint="eastAsia" w:ascii="微软雅黑" w:hAnsi="微软雅黑" w:eastAsia="微软雅黑" w:cs="微软雅黑"/>
                <w:i/>
                <w:iCs/>
                <w:color w:val="000000"/>
                <w:sz w:val="16"/>
                <w:szCs w:val="16"/>
                <w:u w:val="none"/>
              </w:rPr>
            </w:pPr>
          </w:p>
        </w:tc>
      </w:tr>
      <w:tr w14:paraId="5EEA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0D4D0">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443F8">
            <w:pPr>
              <w:jc w:val="center"/>
              <w:rPr>
                <w:rFonts w:hint="eastAsia" w:ascii="宋体" w:hAnsi="宋体" w:eastAsia="宋体" w:cs="宋体"/>
                <w:i w:val="0"/>
                <w:iCs w:val="0"/>
                <w:color w:val="000000"/>
                <w:sz w:val="18"/>
                <w:szCs w:val="18"/>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D2AE2">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D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9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7F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9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18B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8D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9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42C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r>
      <w:tr w14:paraId="0B28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D1F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54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0275">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FD11">
            <w:pPr>
              <w:rPr>
                <w:rFonts w:hint="eastAsia" w:ascii="宋体" w:hAnsi="宋体" w:eastAsia="宋体" w:cs="宋体"/>
                <w:i w:val="0"/>
                <w:iCs w:val="0"/>
                <w:color w:val="000000"/>
                <w:sz w:val="18"/>
                <w:szCs w:val="18"/>
                <w:u w:val="none"/>
              </w:rPr>
            </w:pPr>
          </w:p>
        </w:tc>
      </w:tr>
      <w:tr w14:paraId="52CE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0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E2E6C8">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415E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2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383FE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14:paraId="5570F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2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65FF2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8EA1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27FA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7723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AE72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1F8156BC">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0530813F">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1C148D4E">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62476A64">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58394B6F">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6C501F74">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183E9E10">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18AA3CBA">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75089B39">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73CBE65C">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4659F417">
            <w:pPr>
              <w:rPr>
                <w:rFonts w:hint="eastAsia" w:ascii="宋体" w:hAnsi="宋体" w:eastAsia="宋体" w:cs="宋体"/>
                <w:i w:val="0"/>
                <w:iCs w:val="0"/>
                <w:color w:val="000000"/>
                <w:sz w:val="18"/>
                <w:szCs w:val="18"/>
                <w:u w:val="none"/>
              </w:rPr>
            </w:pPr>
          </w:p>
        </w:tc>
      </w:tr>
      <w:tr w14:paraId="2830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39359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4154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427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1FE0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51041121Y000000068025-离退休公用经费（事业）</w:t>
            </w:r>
          </w:p>
        </w:tc>
      </w:tr>
      <w:tr w14:paraId="079A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D91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7F0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189BFA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A7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2975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3F1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49D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9A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AB84F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6C3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70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7EDF7">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E9EF8">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2B3E46">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D2B653">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2022年已完成年度目标</w:t>
            </w:r>
          </w:p>
        </w:tc>
      </w:tr>
      <w:tr w14:paraId="7E08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0C2D">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CB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F504B0">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保障单位日常运转</w:t>
            </w:r>
            <w:r>
              <w:rPr>
                <w:rFonts w:hint="eastAsia" w:ascii="宋体" w:hAnsi="宋体" w:cs="宋体"/>
                <w:i w:val="0"/>
                <w:iCs w:val="0"/>
                <w:color w:val="000000"/>
                <w:kern w:val="0"/>
                <w:sz w:val="18"/>
                <w:szCs w:val="18"/>
                <w:u w:val="none"/>
                <w:lang w:val="en-US" w:eastAsia="zh-CN" w:bidi="ar"/>
              </w:rPr>
              <w:t>，按工作安排开展活动并执行支付计划</w:t>
            </w:r>
          </w:p>
        </w:tc>
      </w:tr>
      <w:tr w14:paraId="30A0F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1C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D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6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E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0C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3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C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1B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7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652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9F638">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0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A1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F34D">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0.24</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04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C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B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38D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EA019">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3582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E2220">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4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0B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AC3C">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0.24</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49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1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02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8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8236D">
            <w:pPr>
              <w:rPr>
                <w:rFonts w:hint="eastAsia" w:ascii="黑体" w:hAnsi="黑体" w:eastAsia="黑体" w:cs="黑体"/>
                <w:i/>
                <w:iCs/>
                <w:color w:val="000000"/>
                <w:sz w:val="18"/>
                <w:szCs w:val="18"/>
                <w:u w:val="none"/>
              </w:rPr>
            </w:pPr>
          </w:p>
        </w:tc>
      </w:tr>
      <w:tr w14:paraId="24C9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3DC96">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8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6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A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4E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9B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1B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D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DCCE4">
            <w:pPr>
              <w:rPr>
                <w:rFonts w:hint="eastAsia" w:ascii="黑体" w:hAnsi="黑体" w:eastAsia="黑体" w:cs="黑体"/>
                <w:i/>
                <w:iCs/>
                <w:color w:val="000000"/>
                <w:sz w:val="18"/>
                <w:szCs w:val="18"/>
                <w:u w:val="none"/>
              </w:rPr>
            </w:pPr>
          </w:p>
        </w:tc>
      </w:tr>
      <w:tr w14:paraId="7F12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67F78">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A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0C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B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07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8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18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BE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EDC4">
            <w:pPr>
              <w:rPr>
                <w:rFonts w:hint="eastAsia" w:ascii="黑体" w:hAnsi="黑体" w:eastAsia="黑体" w:cs="黑体"/>
                <w:i/>
                <w:iCs/>
                <w:color w:val="000000"/>
                <w:sz w:val="18"/>
                <w:szCs w:val="18"/>
                <w:u w:val="none"/>
              </w:rPr>
            </w:pPr>
          </w:p>
        </w:tc>
      </w:tr>
      <w:tr w14:paraId="6427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6B3E0">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1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98C0B">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F42B5">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BDE22">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48BD">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5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5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6F9C7">
            <w:pPr>
              <w:rPr>
                <w:rFonts w:hint="eastAsia" w:ascii="黑体" w:hAnsi="黑体" w:eastAsia="黑体" w:cs="黑体"/>
                <w:i/>
                <w:iCs/>
                <w:color w:val="000000"/>
                <w:sz w:val="18"/>
                <w:szCs w:val="18"/>
                <w:u w:val="none"/>
              </w:rPr>
            </w:pPr>
          </w:p>
        </w:tc>
      </w:tr>
      <w:tr w14:paraId="359C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1D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EA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7C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9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A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5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3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C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A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6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2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D19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29CB0">
            <w:pPr>
              <w:jc w:val="center"/>
              <w:rPr>
                <w:rFonts w:hint="eastAsia" w:ascii="宋体" w:hAnsi="宋体" w:eastAsia="宋体" w:cs="宋体"/>
                <w:i w:val="0"/>
                <w:iCs w:val="0"/>
                <w:color w:val="000000"/>
                <w:sz w:val="18"/>
                <w:szCs w:val="18"/>
                <w:u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43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D3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1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E2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58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D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FDD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E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F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BDD6">
            <w:pPr>
              <w:jc w:val="center"/>
              <w:rPr>
                <w:rFonts w:hint="eastAsia" w:ascii="微软雅黑" w:hAnsi="微软雅黑" w:eastAsia="微软雅黑" w:cs="微软雅黑"/>
                <w:i/>
                <w:iCs/>
                <w:color w:val="000000"/>
                <w:sz w:val="16"/>
                <w:szCs w:val="16"/>
                <w:u w:val="none"/>
              </w:rPr>
            </w:pPr>
          </w:p>
        </w:tc>
      </w:tr>
      <w:tr w14:paraId="59FA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7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1462F">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37C8C">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6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FC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5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E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4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96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2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0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3344">
            <w:pPr>
              <w:jc w:val="center"/>
              <w:rPr>
                <w:rFonts w:hint="eastAsia" w:ascii="微软雅黑" w:hAnsi="微软雅黑" w:eastAsia="微软雅黑" w:cs="微软雅黑"/>
                <w:i/>
                <w:iCs/>
                <w:color w:val="000000"/>
                <w:sz w:val="16"/>
                <w:szCs w:val="16"/>
                <w:u w:val="none"/>
              </w:rPr>
            </w:pPr>
          </w:p>
        </w:tc>
      </w:tr>
      <w:tr w14:paraId="1698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904"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48A10">
            <w:pPr>
              <w:jc w:val="center"/>
              <w:rPr>
                <w:rFonts w:hint="eastAsia" w:ascii="宋体" w:hAnsi="宋体" w:eastAsia="宋体" w:cs="宋体"/>
                <w:i w:val="0"/>
                <w:iCs w:val="0"/>
                <w:color w:val="000000"/>
                <w:sz w:val="18"/>
                <w:szCs w:val="18"/>
                <w:u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58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11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81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1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3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D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9C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7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3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77FB">
            <w:pPr>
              <w:jc w:val="center"/>
              <w:rPr>
                <w:rFonts w:hint="eastAsia" w:ascii="微软雅黑" w:hAnsi="微软雅黑" w:eastAsia="微软雅黑" w:cs="微软雅黑"/>
                <w:i/>
                <w:iCs/>
                <w:color w:val="000000"/>
                <w:sz w:val="16"/>
                <w:szCs w:val="16"/>
                <w:u w:val="none"/>
              </w:rPr>
            </w:pPr>
          </w:p>
        </w:tc>
      </w:tr>
      <w:tr w14:paraId="398D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3B31C">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DEBBD">
            <w:pPr>
              <w:jc w:val="center"/>
              <w:rPr>
                <w:rFonts w:hint="eastAsia" w:ascii="宋体" w:hAnsi="宋体" w:eastAsia="宋体" w:cs="宋体"/>
                <w:i w:val="0"/>
                <w:iCs w:val="0"/>
                <w:color w:val="000000"/>
                <w:sz w:val="18"/>
                <w:szCs w:val="18"/>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DE7E0">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59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3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B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F6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1D0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B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9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129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r>
      <w:tr w14:paraId="63B5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203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F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9A7E">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F95C7">
            <w:pPr>
              <w:rPr>
                <w:rFonts w:hint="eastAsia" w:ascii="宋体" w:hAnsi="宋体" w:eastAsia="宋体" w:cs="宋体"/>
                <w:i w:val="0"/>
                <w:iCs w:val="0"/>
                <w:color w:val="000000"/>
                <w:sz w:val="18"/>
                <w:szCs w:val="18"/>
                <w:u w:val="none"/>
              </w:rPr>
            </w:pPr>
          </w:p>
        </w:tc>
      </w:tr>
      <w:tr w14:paraId="7803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6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40414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7172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D8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39081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64D4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4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177AE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22E7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6EE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C1B3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F79D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6F9B83F7">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72503C45">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17168229">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01B12E7C">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3BB3415D">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1BF5C239">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25AA7B69">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5D886BC0">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352596CC">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4CE4D2E6">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05F267A4">
            <w:pPr>
              <w:rPr>
                <w:rFonts w:hint="eastAsia" w:ascii="宋体" w:hAnsi="宋体" w:eastAsia="宋体" w:cs="宋体"/>
                <w:i w:val="0"/>
                <w:iCs w:val="0"/>
                <w:color w:val="000000"/>
                <w:sz w:val="18"/>
                <w:szCs w:val="18"/>
                <w:u w:val="none"/>
              </w:rPr>
            </w:pPr>
          </w:p>
        </w:tc>
      </w:tr>
      <w:tr w14:paraId="0EBD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ACCD4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249C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709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3D4A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51041121Y000000106552-党建经费（事业）</w:t>
            </w:r>
          </w:p>
        </w:tc>
      </w:tr>
      <w:tr w14:paraId="1EC9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687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199A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1A94845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46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688F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498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73A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FC1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94FB3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890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70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4E638">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5961A">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140F48">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B204CF">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2022年已完成年度目标</w:t>
            </w:r>
          </w:p>
        </w:tc>
      </w:tr>
      <w:tr w14:paraId="61DD8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ED545">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60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E9A46E">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保障单位日常运转</w:t>
            </w:r>
            <w:r>
              <w:rPr>
                <w:rFonts w:hint="eastAsia" w:ascii="宋体" w:hAnsi="宋体" w:cs="宋体"/>
                <w:i w:val="0"/>
                <w:iCs w:val="0"/>
                <w:color w:val="000000"/>
                <w:kern w:val="0"/>
                <w:sz w:val="18"/>
                <w:szCs w:val="18"/>
                <w:u w:val="none"/>
                <w:lang w:val="en-US" w:eastAsia="zh-CN" w:bidi="ar"/>
              </w:rPr>
              <w:t>，按工作安排开展活动并执行支付计划</w:t>
            </w:r>
          </w:p>
        </w:tc>
      </w:tr>
      <w:tr w14:paraId="5209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CA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F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B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C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AE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8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B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2B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4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DC7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4BCD5">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E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2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7.04</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AB572">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1.07</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7C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166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9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7C5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A1AC0">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22ED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F76C6">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E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B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7.04</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B334">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1.07</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E9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3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87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B9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DDB7C">
            <w:pPr>
              <w:rPr>
                <w:rFonts w:hint="eastAsia" w:ascii="黑体" w:hAnsi="黑体" w:eastAsia="黑体" w:cs="黑体"/>
                <w:i/>
                <w:iCs/>
                <w:color w:val="000000"/>
                <w:sz w:val="18"/>
                <w:szCs w:val="18"/>
                <w:u w:val="none"/>
              </w:rPr>
            </w:pPr>
          </w:p>
        </w:tc>
      </w:tr>
      <w:tr w14:paraId="7E53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B4A8">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E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CF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DB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06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6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3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D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02AB3">
            <w:pPr>
              <w:rPr>
                <w:rFonts w:hint="eastAsia" w:ascii="黑体" w:hAnsi="黑体" w:eastAsia="黑体" w:cs="黑体"/>
                <w:i/>
                <w:iCs/>
                <w:color w:val="000000"/>
                <w:sz w:val="18"/>
                <w:szCs w:val="18"/>
                <w:u w:val="none"/>
              </w:rPr>
            </w:pPr>
          </w:p>
        </w:tc>
      </w:tr>
      <w:tr w14:paraId="1761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72EBF">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6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1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0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59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6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8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5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25B6E">
            <w:pPr>
              <w:rPr>
                <w:rFonts w:hint="eastAsia" w:ascii="黑体" w:hAnsi="黑体" w:eastAsia="黑体" w:cs="黑体"/>
                <w:i/>
                <w:iCs/>
                <w:color w:val="000000"/>
                <w:sz w:val="18"/>
                <w:szCs w:val="18"/>
                <w:u w:val="none"/>
              </w:rPr>
            </w:pPr>
          </w:p>
        </w:tc>
      </w:tr>
      <w:tr w14:paraId="31BEE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29683">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B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3F8F">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59F7">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45FDB">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A465">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F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A0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005A2">
            <w:pPr>
              <w:rPr>
                <w:rFonts w:hint="eastAsia" w:ascii="黑体" w:hAnsi="黑体" w:eastAsia="黑体" w:cs="黑体"/>
                <w:i/>
                <w:iCs/>
                <w:color w:val="000000"/>
                <w:sz w:val="18"/>
                <w:szCs w:val="18"/>
                <w:u w:val="none"/>
              </w:rPr>
            </w:pPr>
          </w:p>
        </w:tc>
      </w:tr>
      <w:tr w14:paraId="47BF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DC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9A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61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96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3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3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A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9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1A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4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6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2CE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0238E">
            <w:pPr>
              <w:jc w:val="center"/>
              <w:rPr>
                <w:rFonts w:hint="eastAsia" w:ascii="宋体" w:hAnsi="宋体" w:eastAsia="宋体" w:cs="宋体"/>
                <w:i w:val="0"/>
                <w:iCs w:val="0"/>
                <w:color w:val="000000"/>
                <w:sz w:val="18"/>
                <w:szCs w:val="18"/>
                <w:u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90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6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C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1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0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D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0E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E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2916">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6E00">
            <w:pPr>
              <w:jc w:val="center"/>
              <w:rPr>
                <w:rFonts w:hint="eastAsia" w:ascii="微软雅黑" w:hAnsi="微软雅黑" w:eastAsia="微软雅黑" w:cs="微软雅黑"/>
                <w:i/>
                <w:iCs/>
                <w:color w:val="000000"/>
                <w:sz w:val="16"/>
                <w:szCs w:val="16"/>
                <w:u w:val="none"/>
              </w:rPr>
            </w:pPr>
          </w:p>
        </w:tc>
      </w:tr>
      <w:tr w14:paraId="2618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7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3D7E9">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579E3">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8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9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16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6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8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D6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E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EAED">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677C">
            <w:pPr>
              <w:jc w:val="center"/>
              <w:rPr>
                <w:rFonts w:hint="eastAsia" w:ascii="微软雅黑" w:hAnsi="微软雅黑" w:eastAsia="微软雅黑" w:cs="微软雅黑"/>
                <w:i/>
                <w:iCs/>
                <w:color w:val="000000"/>
                <w:sz w:val="16"/>
                <w:szCs w:val="16"/>
                <w:u w:val="none"/>
              </w:rPr>
            </w:pPr>
          </w:p>
        </w:tc>
      </w:tr>
      <w:tr w14:paraId="606F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904"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CACA9">
            <w:pPr>
              <w:jc w:val="center"/>
              <w:rPr>
                <w:rFonts w:hint="eastAsia" w:ascii="宋体" w:hAnsi="宋体" w:eastAsia="宋体" w:cs="宋体"/>
                <w:i w:val="0"/>
                <w:iCs w:val="0"/>
                <w:color w:val="000000"/>
                <w:sz w:val="18"/>
                <w:szCs w:val="18"/>
                <w:u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70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11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D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2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A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04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E1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4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6A336">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438D">
            <w:pPr>
              <w:jc w:val="center"/>
              <w:rPr>
                <w:rFonts w:hint="eastAsia" w:ascii="微软雅黑" w:hAnsi="微软雅黑" w:eastAsia="微软雅黑" w:cs="微软雅黑"/>
                <w:i/>
                <w:iCs/>
                <w:color w:val="000000"/>
                <w:sz w:val="16"/>
                <w:szCs w:val="16"/>
                <w:u w:val="none"/>
              </w:rPr>
            </w:pPr>
          </w:p>
        </w:tc>
      </w:tr>
      <w:tr w14:paraId="310D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5E69C">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16AA">
            <w:pPr>
              <w:jc w:val="center"/>
              <w:rPr>
                <w:rFonts w:hint="eastAsia" w:ascii="宋体" w:hAnsi="宋体" w:eastAsia="宋体" w:cs="宋体"/>
                <w:i w:val="0"/>
                <w:iCs w:val="0"/>
                <w:color w:val="000000"/>
                <w:sz w:val="18"/>
                <w:szCs w:val="18"/>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92ED1">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6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B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7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4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4AF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FC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3BC5">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A91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r>
      <w:tr w14:paraId="3B91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16E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A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873CB">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03AF">
            <w:pP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8A8E">
            <w:pP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10E67">
            <w:pP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4B1FC">
            <w:pP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9980">
            <w:pP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FF2C">
            <w:pPr>
              <w:rPr>
                <w:rFonts w:hint="eastAsia" w:ascii="宋体" w:hAnsi="宋体" w:eastAsia="宋体" w:cs="宋体"/>
                <w:i w:val="0"/>
                <w:iCs w:val="0"/>
                <w:color w:val="000000"/>
                <w:sz w:val="18"/>
                <w:szCs w:val="18"/>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02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14:paraId="3319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E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49083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6A36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4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845E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无</w:t>
            </w:r>
          </w:p>
        </w:tc>
      </w:tr>
      <w:tr w14:paraId="1FBF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9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933E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DBA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F1B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FA2F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354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0A27F3BE">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766F4750">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487923CB">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2C342733">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298943B1">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0FC4B7B4">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60305544">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75307314">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0168FE85">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01E1D9FF">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75C9EB00">
            <w:pPr>
              <w:rPr>
                <w:rFonts w:hint="eastAsia" w:ascii="宋体" w:hAnsi="宋体" w:eastAsia="宋体" w:cs="宋体"/>
                <w:i w:val="0"/>
                <w:iCs w:val="0"/>
                <w:color w:val="000000"/>
                <w:sz w:val="18"/>
                <w:szCs w:val="18"/>
                <w:u w:val="none"/>
              </w:rPr>
            </w:pPr>
          </w:p>
        </w:tc>
      </w:tr>
      <w:tr w14:paraId="142E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FE2E6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546D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DE6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CD75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51041122T000000432450-大河中学初中生均公用经费</w:t>
            </w:r>
          </w:p>
        </w:tc>
      </w:tr>
      <w:tr w14:paraId="0597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5A8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DF30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608E63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FE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70C8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378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B74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CB0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D13FC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CD7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70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F0970">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E46F3">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9FD5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保障全校5000多名师生2022年度教育教学工作顺利开展；坚持以教学为中心，提升教师整体专业素养；真正做到服务于社会、服务于家长、服务于学生；促进学校健康发展，圆满完成义务教育教学活动。</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091D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2022年已完成年度目标</w:t>
            </w:r>
          </w:p>
        </w:tc>
      </w:tr>
      <w:tr w14:paraId="6C87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1521">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A5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6858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构建“绩效目标审核、事中绩效监控、事后绩效评估及绩效结果运用”的全过程绩效预算管理机制，全面提升财政资金支出绩效；确保学校教育教学工作的正常运转，教学设备及教学环境的完善</w:t>
            </w:r>
          </w:p>
        </w:tc>
      </w:tr>
      <w:tr w14:paraId="0B42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3A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2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FF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9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D3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BBF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03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84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9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B0D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9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5AFB">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0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C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4.66</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A942A">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4.23</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EE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4.23</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61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1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2D6B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B377E">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0C97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6E09D">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F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26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4.66</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1625E">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4.23</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4F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4.23</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5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9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45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7EE1C">
            <w:pPr>
              <w:rPr>
                <w:rFonts w:hint="eastAsia" w:ascii="黑体" w:hAnsi="黑体" w:eastAsia="黑体" w:cs="黑体"/>
                <w:i/>
                <w:iCs/>
                <w:color w:val="000000"/>
                <w:sz w:val="18"/>
                <w:szCs w:val="18"/>
                <w:u w:val="none"/>
              </w:rPr>
            </w:pPr>
          </w:p>
        </w:tc>
      </w:tr>
      <w:tr w14:paraId="0CC4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8840C">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0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0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F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8A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D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D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37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106E3">
            <w:pPr>
              <w:rPr>
                <w:rFonts w:hint="eastAsia" w:ascii="黑体" w:hAnsi="黑体" w:eastAsia="黑体" w:cs="黑体"/>
                <w:i/>
                <w:iCs/>
                <w:color w:val="000000"/>
                <w:sz w:val="18"/>
                <w:szCs w:val="18"/>
                <w:u w:val="none"/>
              </w:rPr>
            </w:pPr>
          </w:p>
        </w:tc>
      </w:tr>
      <w:tr w14:paraId="3A0F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3A5EF">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8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53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CB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F6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B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E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9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FEDE4">
            <w:pPr>
              <w:rPr>
                <w:rFonts w:hint="eastAsia" w:ascii="黑体" w:hAnsi="黑体" w:eastAsia="黑体" w:cs="黑体"/>
                <w:i/>
                <w:iCs/>
                <w:color w:val="000000"/>
                <w:sz w:val="18"/>
                <w:szCs w:val="18"/>
                <w:u w:val="none"/>
              </w:rPr>
            </w:pPr>
          </w:p>
        </w:tc>
      </w:tr>
      <w:tr w14:paraId="5F57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154E2">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A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B828">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5F7E">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B6A8F">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439E">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B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4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69D1D">
            <w:pPr>
              <w:rPr>
                <w:rFonts w:hint="eastAsia" w:ascii="黑体" w:hAnsi="黑体" w:eastAsia="黑体" w:cs="黑体"/>
                <w:i/>
                <w:iCs/>
                <w:color w:val="000000"/>
                <w:sz w:val="18"/>
                <w:szCs w:val="18"/>
                <w:u w:val="none"/>
              </w:rPr>
            </w:pPr>
          </w:p>
        </w:tc>
      </w:tr>
      <w:tr w14:paraId="7035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30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90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7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8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F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2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C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E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9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E0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E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F6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7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567D">
            <w:pPr>
              <w:jc w:val="center"/>
              <w:rPr>
                <w:rFonts w:hint="eastAsia" w:ascii="宋体" w:hAnsi="宋体" w:eastAsia="宋体" w:cs="宋体"/>
                <w:i w:val="0"/>
                <w:iCs w:val="0"/>
                <w:color w:val="000000"/>
                <w:sz w:val="18"/>
                <w:szCs w:val="18"/>
                <w:u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8B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D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0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保障初中1456名学生2022年度教育教学工作顺利开展</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65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3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1456</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4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B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1456</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4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2EC2">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DF0C">
            <w:pPr>
              <w:jc w:val="center"/>
              <w:rPr>
                <w:rFonts w:hint="eastAsia" w:ascii="微软雅黑" w:hAnsi="微软雅黑" w:eastAsia="微软雅黑" w:cs="微软雅黑"/>
                <w:i/>
                <w:iCs/>
                <w:color w:val="000000"/>
                <w:sz w:val="16"/>
                <w:szCs w:val="16"/>
                <w:u w:val="none"/>
              </w:rPr>
            </w:pPr>
          </w:p>
        </w:tc>
      </w:tr>
      <w:tr w14:paraId="5CF2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904"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3B428">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0BCDE">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A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F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初中学生1456人，每人</w:t>
            </w:r>
            <w:r>
              <w:rPr>
                <w:rFonts w:hint="eastAsia" w:ascii="宋体" w:hAnsi="宋体" w:cs="宋体"/>
                <w:i w:val="0"/>
                <w:iCs w:val="0"/>
                <w:color w:val="000000"/>
                <w:kern w:val="0"/>
                <w:sz w:val="18"/>
                <w:szCs w:val="18"/>
                <w:u w:val="none"/>
                <w:lang w:val="en-US" w:eastAsia="zh-CN" w:bidi="ar"/>
              </w:rPr>
              <w:t>29.05</w:t>
            </w:r>
            <w:r>
              <w:rPr>
                <w:rFonts w:ascii="宋体" w:hAnsi="宋体" w:eastAsia="宋体" w:cs="宋体"/>
                <w:i w:val="0"/>
                <w:iCs w:val="0"/>
                <w:color w:val="000000"/>
                <w:kern w:val="0"/>
                <w:sz w:val="18"/>
                <w:szCs w:val="18"/>
                <w:u w:val="none"/>
                <w:lang w:val="en-US" w:eastAsia="zh-CN" w:bidi="ar"/>
              </w:rPr>
              <w:t>元/年的生均公用经费，保障2022年度教育教学工作顺利开展</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4CB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BE1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4.23</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CB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5E7D">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lang w:val="en-US"/>
              </w:rPr>
            </w:pPr>
            <w:r>
              <w:rPr>
                <w:rFonts w:hint="eastAsia" w:ascii="宋体" w:hAnsi="宋体" w:cs="宋体"/>
                <w:i w:val="0"/>
                <w:iCs w:val="0"/>
                <w:color w:val="000000"/>
                <w:kern w:val="0"/>
                <w:sz w:val="18"/>
                <w:szCs w:val="18"/>
                <w:u w:val="none"/>
                <w:lang w:val="en-US" w:eastAsia="zh-CN" w:bidi="ar"/>
              </w:rPr>
              <w:t>4.23</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51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94F03">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931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r>
      <w:tr w14:paraId="2C22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9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5BD28">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FA5B2">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B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0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2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BB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F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29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E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E34A">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FBC37">
            <w:pPr>
              <w:jc w:val="center"/>
              <w:rPr>
                <w:rFonts w:hint="eastAsia" w:ascii="微软雅黑" w:hAnsi="微软雅黑" w:eastAsia="微软雅黑" w:cs="微软雅黑"/>
                <w:i/>
                <w:iCs/>
                <w:color w:val="000000"/>
                <w:sz w:val="16"/>
                <w:szCs w:val="16"/>
                <w:u w:val="none"/>
              </w:rPr>
            </w:pPr>
          </w:p>
        </w:tc>
      </w:tr>
      <w:tr w14:paraId="1326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87D0">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256FE">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A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C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1456名初中学生，2022年度生均公用经费</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A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4B6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29.05</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C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5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29.05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7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E177">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D730B">
            <w:pPr>
              <w:jc w:val="center"/>
              <w:rPr>
                <w:rFonts w:hint="eastAsia" w:ascii="微软雅黑" w:hAnsi="微软雅黑" w:eastAsia="微软雅黑" w:cs="微软雅黑"/>
                <w:i/>
                <w:iCs/>
                <w:color w:val="000000"/>
                <w:sz w:val="16"/>
                <w:szCs w:val="16"/>
                <w:u w:val="none"/>
              </w:rPr>
            </w:pPr>
          </w:p>
        </w:tc>
      </w:tr>
      <w:tr w14:paraId="7E0B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5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E8060">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5C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9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6C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促进学校健康发展，圆满完成义务教育教学活动</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E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7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3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DF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D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4AF86">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3EBA6">
            <w:pPr>
              <w:jc w:val="center"/>
              <w:rPr>
                <w:rFonts w:hint="eastAsia" w:ascii="微软雅黑" w:hAnsi="微软雅黑" w:eastAsia="微软雅黑" w:cs="微软雅黑"/>
                <w:i/>
                <w:iCs/>
                <w:color w:val="000000"/>
                <w:sz w:val="16"/>
                <w:szCs w:val="16"/>
                <w:u w:val="none"/>
              </w:rPr>
            </w:pPr>
          </w:p>
        </w:tc>
      </w:tr>
      <w:tr w14:paraId="2956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1095D">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3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5F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A5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上级主管</w:t>
            </w:r>
            <w:r>
              <w:rPr>
                <w:rFonts w:hint="eastAsia" w:ascii="宋体" w:hAnsi="宋体" w:cs="宋体"/>
                <w:i w:val="0"/>
                <w:iCs w:val="0"/>
                <w:color w:val="000000"/>
                <w:kern w:val="0"/>
                <w:sz w:val="18"/>
                <w:szCs w:val="18"/>
                <w:u w:val="none"/>
                <w:lang w:val="en-US" w:eastAsia="zh-CN" w:bidi="ar"/>
              </w:rPr>
              <w:t>单位</w:t>
            </w:r>
            <w:r>
              <w:rPr>
                <w:rFonts w:ascii="宋体" w:hAnsi="宋体" w:eastAsia="宋体" w:cs="宋体"/>
                <w:i w:val="0"/>
                <w:iCs w:val="0"/>
                <w:color w:val="000000"/>
                <w:kern w:val="0"/>
                <w:sz w:val="18"/>
                <w:szCs w:val="18"/>
                <w:u w:val="none"/>
                <w:lang w:val="en-US" w:eastAsia="zh-CN" w:bidi="ar"/>
              </w:rPr>
              <w:t>及师生</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69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27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5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04D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D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5CCB">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568B6">
            <w:pPr>
              <w:jc w:val="center"/>
              <w:rPr>
                <w:rFonts w:hint="eastAsia" w:ascii="微软雅黑" w:hAnsi="微软雅黑" w:eastAsia="微软雅黑" w:cs="微软雅黑"/>
                <w:i/>
                <w:iCs/>
                <w:color w:val="000000"/>
                <w:sz w:val="16"/>
                <w:szCs w:val="16"/>
                <w:u w:val="none"/>
              </w:rPr>
            </w:pPr>
          </w:p>
        </w:tc>
      </w:tr>
      <w:tr w14:paraId="6455F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C49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B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5DE6">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2053">
            <w:pPr>
              <w:rPr>
                <w:rFonts w:hint="eastAsia" w:ascii="宋体" w:hAnsi="宋体" w:eastAsia="宋体" w:cs="宋体"/>
                <w:i w:val="0"/>
                <w:iCs w:val="0"/>
                <w:color w:val="000000"/>
                <w:sz w:val="18"/>
                <w:szCs w:val="18"/>
                <w:u w:val="none"/>
              </w:rPr>
            </w:pPr>
          </w:p>
        </w:tc>
      </w:tr>
      <w:tr w14:paraId="4FBD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2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7840B2">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539F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6C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B6A7B4">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无</w:t>
            </w:r>
          </w:p>
        </w:tc>
      </w:tr>
      <w:tr w14:paraId="1ED1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8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D79280">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14:paraId="5941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947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27D1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92B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5026436C">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3C361E8C">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208295F2">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18E6E68D">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7B46500E">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13D0283A">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7FA15CD4">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67662211">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52C69AC5">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3A209FCA">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507F99DE">
            <w:pPr>
              <w:rPr>
                <w:rFonts w:hint="eastAsia" w:ascii="宋体" w:hAnsi="宋体" w:eastAsia="宋体" w:cs="宋体"/>
                <w:i w:val="0"/>
                <w:iCs w:val="0"/>
                <w:color w:val="000000"/>
                <w:sz w:val="18"/>
                <w:szCs w:val="18"/>
                <w:u w:val="none"/>
              </w:rPr>
            </w:pPr>
          </w:p>
        </w:tc>
      </w:tr>
      <w:tr w14:paraId="3222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F9E26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50D0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D1A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80C9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51041122T000000432455-大河中学高中生均公用经费</w:t>
            </w:r>
          </w:p>
        </w:tc>
      </w:tr>
      <w:tr w14:paraId="11C7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A98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5CCE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094278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FF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507F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7F4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337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7D7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4243B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EE7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113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948DF">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535F">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264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校5000多名师生2022年度教育教学工作顺利开展；改善学校育人环境，努力建创《四川省绿色校园》；购置教育教学设备，采购学生课桌椅，为师创造更加优质的教学资源；加强教师队伍建设，不断提高教师的业务水平；全面推进学校各项工作的开展，提升教学质量，办学水平整体规模上一个新台阶，推进仁和区高中教育健康稳定发展。</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3702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2022年已完成年度目标</w:t>
            </w:r>
          </w:p>
        </w:tc>
      </w:tr>
      <w:tr w14:paraId="01A3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56A55">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EB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B2B1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w:t>
            </w:r>
            <w:r>
              <w:rPr>
                <w:rFonts w:hint="eastAsia" w:ascii="宋体" w:hAnsi="宋体" w:cs="宋体"/>
                <w:i w:val="0"/>
                <w:iCs w:val="0"/>
                <w:color w:val="000000"/>
                <w:kern w:val="0"/>
                <w:sz w:val="18"/>
                <w:szCs w:val="18"/>
                <w:u w:val="none"/>
                <w:lang w:val="en-US" w:eastAsia="zh-CN" w:bidi="ar"/>
              </w:rPr>
              <w:t>，按工作安排开展活动并执行支付计划</w:t>
            </w:r>
          </w:p>
        </w:tc>
      </w:tr>
      <w:tr w14:paraId="5837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A1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29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B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7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D3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59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6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8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C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BB8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88B15">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17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3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448.15</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E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75.54</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D3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75.54</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14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D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921A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23ED9">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BF3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DE982">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B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82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448.15</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B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75.54</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FA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75.54</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D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E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6B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337F">
            <w:pPr>
              <w:rPr>
                <w:rFonts w:hint="eastAsia" w:ascii="黑体" w:hAnsi="黑体" w:eastAsia="黑体" w:cs="黑体"/>
                <w:i/>
                <w:iCs/>
                <w:color w:val="000000"/>
                <w:sz w:val="18"/>
                <w:szCs w:val="18"/>
                <w:u w:val="none"/>
              </w:rPr>
            </w:pPr>
          </w:p>
        </w:tc>
      </w:tr>
      <w:tr w14:paraId="6AF1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916A6">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1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6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4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75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3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5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55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0D301">
            <w:pPr>
              <w:rPr>
                <w:rFonts w:hint="eastAsia" w:ascii="黑体" w:hAnsi="黑体" w:eastAsia="黑体" w:cs="黑体"/>
                <w:i/>
                <w:iCs/>
                <w:color w:val="000000"/>
                <w:sz w:val="18"/>
                <w:szCs w:val="18"/>
                <w:u w:val="none"/>
              </w:rPr>
            </w:pPr>
          </w:p>
        </w:tc>
      </w:tr>
      <w:tr w14:paraId="1CB7B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81449">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8C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8A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3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55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8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E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31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69A7">
            <w:pPr>
              <w:rPr>
                <w:rFonts w:hint="eastAsia" w:ascii="黑体" w:hAnsi="黑体" w:eastAsia="黑体" w:cs="黑体"/>
                <w:i/>
                <w:iCs/>
                <w:color w:val="000000"/>
                <w:sz w:val="18"/>
                <w:szCs w:val="18"/>
                <w:u w:val="none"/>
              </w:rPr>
            </w:pPr>
          </w:p>
        </w:tc>
      </w:tr>
      <w:tr w14:paraId="62FE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00D8F">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3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2013">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04F59">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23DE7">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52336">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E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0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6AE22">
            <w:pPr>
              <w:rPr>
                <w:rFonts w:hint="eastAsia" w:ascii="黑体" w:hAnsi="黑体" w:eastAsia="黑体" w:cs="黑体"/>
                <w:i/>
                <w:iCs/>
                <w:color w:val="000000"/>
                <w:sz w:val="18"/>
                <w:szCs w:val="18"/>
                <w:u w:val="none"/>
              </w:rPr>
            </w:pPr>
          </w:p>
        </w:tc>
      </w:tr>
      <w:tr w14:paraId="3FA0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21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8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C6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1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C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0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E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05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4A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3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C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9F9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7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2B68">
            <w:pPr>
              <w:jc w:val="center"/>
              <w:rPr>
                <w:rFonts w:hint="eastAsia" w:ascii="宋体" w:hAnsi="宋体" w:eastAsia="宋体" w:cs="宋体"/>
                <w:i w:val="0"/>
                <w:iCs w:val="0"/>
                <w:color w:val="000000"/>
                <w:sz w:val="18"/>
                <w:szCs w:val="18"/>
                <w:u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F5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F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83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保障高中学生3156人及392名教职员工2022年度教育教学工作顺利开展</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4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F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3156</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B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0B1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3156</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AB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85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AA98B">
            <w:pPr>
              <w:jc w:val="center"/>
              <w:rPr>
                <w:rFonts w:hint="eastAsia" w:ascii="微软雅黑" w:hAnsi="微软雅黑" w:eastAsia="微软雅黑" w:cs="微软雅黑"/>
                <w:i/>
                <w:iCs/>
                <w:color w:val="000000"/>
                <w:sz w:val="16"/>
                <w:szCs w:val="16"/>
                <w:u w:val="none"/>
              </w:rPr>
            </w:pPr>
          </w:p>
        </w:tc>
      </w:tr>
      <w:tr w14:paraId="475E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113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B3552">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0222C">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D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4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3156名高中学生每人</w:t>
            </w:r>
            <w:r>
              <w:rPr>
                <w:rFonts w:hint="eastAsia" w:ascii="微软雅黑" w:hAnsi="微软雅黑" w:eastAsia="微软雅黑" w:cs="微软雅黑"/>
                <w:i/>
                <w:iCs/>
                <w:color w:val="000000"/>
                <w:kern w:val="0"/>
                <w:sz w:val="16"/>
                <w:szCs w:val="16"/>
                <w:u w:val="none"/>
                <w:lang w:val="en-US" w:eastAsia="zh-CN" w:bidi="ar"/>
              </w:rPr>
              <w:t>239.35</w:t>
            </w:r>
            <w:r>
              <w:rPr>
                <w:rFonts w:ascii="宋体" w:hAnsi="宋体" w:eastAsia="宋体" w:cs="宋体"/>
                <w:i w:val="0"/>
                <w:iCs w:val="0"/>
                <w:color w:val="000000"/>
                <w:kern w:val="0"/>
                <w:sz w:val="18"/>
                <w:szCs w:val="18"/>
                <w:u w:val="none"/>
                <w:lang w:val="en-US" w:eastAsia="zh-CN" w:bidi="ar"/>
              </w:rPr>
              <w:t>元./年的标准保障教育教学工作顺利进行，让办学水平整体规模上一个新台阶</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D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8D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239.35</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D6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1B9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239.35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2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BC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7CB93">
            <w:pPr>
              <w:jc w:val="center"/>
              <w:rPr>
                <w:rFonts w:hint="eastAsia" w:ascii="微软雅黑" w:hAnsi="微软雅黑" w:eastAsia="微软雅黑" w:cs="微软雅黑"/>
                <w:i/>
                <w:iCs/>
                <w:color w:val="000000"/>
                <w:sz w:val="16"/>
                <w:szCs w:val="16"/>
                <w:u w:val="none"/>
              </w:rPr>
            </w:pPr>
          </w:p>
        </w:tc>
      </w:tr>
      <w:tr w14:paraId="152B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102FA">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4B14C">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5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4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B9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01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E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DD0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1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00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8E60">
            <w:pPr>
              <w:jc w:val="center"/>
              <w:rPr>
                <w:rFonts w:hint="eastAsia" w:ascii="微软雅黑" w:hAnsi="微软雅黑" w:eastAsia="微软雅黑" w:cs="微软雅黑"/>
                <w:i/>
                <w:iCs/>
                <w:color w:val="000000"/>
                <w:sz w:val="16"/>
                <w:szCs w:val="16"/>
                <w:u w:val="none"/>
              </w:rPr>
            </w:pPr>
          </w:p>
        </w:tc>
      </w:tr>
      <w:tr w14:paraId="48DF3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7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715A1">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BB641">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A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43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保障全校5000多名师生2022年度教育教学工作顺利开展</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28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0F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75.54</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9D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AD5C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75.54</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E5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77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A9E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r>
      <w:tr w14:paraId="6A15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9091F">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CB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9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4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推进仁和区高中教育健康稳定发展</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31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9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5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C31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6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AFDF">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9F9E">
            <w:pPr>
              <w:jc w:val="center"/>
              <w:rPr>
                <w:rFonts w:hint="eastAsia" w:ascii="微软雅黑" w:hAnsi="微软雅黑" w:eastAsia="微软雅黑" w:cs="微软雅黑"/>
                <w:i/>
                <w:iCs/>
                <w:color w:val="000000"/>
                <w:sz w:val="16"/>
                <w:szCs w:val="16"/>
                <w:u w:val="none"/>
              </w:rPr>
            </w:pPr>
          </w:p>
        </w:tc>
      </w:tr>
      <w:tr w14:paraId="084F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5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CC70D">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68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F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5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r>
              <w:rPr>
                <w:rFonts w:ascii="宋体" w:hAnsi="宋体" w:eastAsia="宋体" w:cs="宋体"/>
                <w:i w:val="0"/>
                <w:iCs w:val="0"/>
                <w:color w:val="000000"/>
                <w:kern w:val="0"/>
                <w:sz w:val="18"/>
                <w:szCs w:val="18"/>
                <w:u w:val="none"/>
                <w:lang w:val="en-US" w:eastAsia="zh-CN" w:bidi="ar"/>
              </w:rPr>
              <w:t>及师生</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ED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A2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9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F741">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90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0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8FB7">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26BD">
            <w:pPr>
              <w:jc w:val="center"/>
              <w:rPr>
                <w:rFonts w:hint="eastAsia" w:ascii="微软雅黑" w:hAnsi="微软雅黑" w:eastAsia="微软雅黑" w:cs="微软雅黑"/>
                <w:i/>
                <w:iCs/>
                <w:color w:val="000000"/>
                <w:sz w:val="16"/>
                <w:szCs w:val="16"/>
                <w:u w:val="none"/>
              </w:rPr>
            </w:pPr>
          </w:p>
        </w:tc>
      </w:tr>
      <w:tr w14:paraId="1446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86D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B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ACEB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B784">
            <w:pPr>
              <w:rPr>
                <w:rFonts w:hint="eastAsia" w:ascii="宋体" w:hAnsi="宋体" w:eastAsia="宋体" w:cs="宋体"/>
                <w:i w:val="0"/>
                <w:iCs w:val="0"/>
                <w:color w:val="000000"/>
                <w:sz w:val="18"/>
                <w:szCs w:val="18"/>
                <w:u w:val="none"/>
              </w:rPr>
            </w:pPr>
          </w:p>
        </w:tc>
      </w:tr>
      <w:tr w14:paraId="6C03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1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ECF300">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2B9A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1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F05474">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无</w:t>
            </w:r>
          </w:p>
        </w:tc>
      </w:tr>
      <w:tr w14:paraId="6024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6A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11D22D">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14:paraId="64D6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192F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8B10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1D6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353724D7">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6ACB838E">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04396F68">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4AEF348F">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7EB4C480">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2DD561BD">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22CAE892">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288C81E2">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7680375F">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7EB398E8">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02A4E051">
            <w:pPr>
              <w:rPr>
                <w:rFonts w:hint="eastAsia" w:ascii="宋体" w:hAnsi="宋体" w:eastAsia="宋体" w:cs="宋体"/>
                <w:i w:val="0"/>
                <w:iCs w:val="0"/>
                <w:color w:val="000000"/>
                <w:sz w:val="18"/>
                <w:szCs w:val="18"/>
                <w:u w:val="none"/>
              </w:rPr>
            </w:pPr>
          </w:p>
        </w:tc>
      </w:tr>
      <w:tr w14:paraId="2D20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63E81CAF">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7ABBF089">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343E8D62">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7767D977">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22F55AF2">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1C4B6943">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1F562648">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1F8D3C17">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4B0D8E55">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74FC330E">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1B51C8D6">
            <w:pPr>
              <w:rPr>
                <w:rFonts w:hint="eastAsia" w:ascii="宋体" w:hAnsi="宋体" w:eastAsia="宋体" w:cs="宋体"/>
                <w:i w:val="0"/>
                <w:iCs w:val="0"/>
                <w:color w:val="000000"/>
                <w:sz w:val="18"/>
                <w:szCs w:val="18"/>
                <w:u w:val="none"/>
              </w:rPr>
            </w:pPr>
          </w:p>
        </w:tc>
      </w:tr>
      <w:tr w14:paraId="4424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AD1A6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03F60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08D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3382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51041122T000005027805-大河中学教育教学管理经费</w:t>
            </w:r>
          </w:p>
        </w:tc>
      </w:tr>
      <w:tr w14:paraId="5D49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4AB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38DA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5C52337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CB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29FC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C98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102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40A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AF7C3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C22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035"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AEDD2">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1526">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7B8E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弥补生均公用经费不足，为了保障全校5000多名师生2022年度教育教学工作顺利开展；改善学校育人环境，努力建创《四川省绿色校园》；购置教育教学设备，采购教师办公桌椅、学生课桌椅，为师创造更加优质的教学资源；加强教师队伍建设，不断提高教师的业务水平；全面推进学校各项工作的开展，提升教学质量，办学水平整体规模上一个新台阶，推进仁和区初、高中教育健康稳定发展。弥补工会经费不足，提高教师福利待遇，留住各类人才。开展形式多样的工会活动，促进教职员工的各项业务水平的提高和身心健康，增加全校392名教职员工的凝聚力，增加教职员工工作积极性，团结协作提高学校的教育教学水平。</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25A3F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2022年已完成年度目标</w:t>
            </w:r>
          </w:p>
        </w:tc>
      </w:tr>
      <w:tr w14:paraId="2B53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93839">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62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C9D0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w:t>
            </w:r>
            <w:r>
              <w:rPr>
                <w:rFonts w:hint="eastAsia" w:ascii="宋体" w:hAnsi="宋体" w:cs="宋体"/>
                <w:i w:val="0"/>
                <w:iCs w:val="0"/>
                <w:color w:val="000000"/>
                <w:kern w:val="0"/>
                <w:sz w:val="18"/>
                <w:szCs w:val="18"/>
                <w:u w:val="none"/>
                <w:lang w:val="en-US" w:eastAsia="zh-CN" w:bidi="ar"/>
              </w:rPr>
              <w:t>，按工作安排开展活动并执行支付计划</w:t>
            </w:r>
          </w:p>
        </w:tc>
      </w:tr>
      <w:tr w14:paraId="4F88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9E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B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C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6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B8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AB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9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F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4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71D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CCE4E">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8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61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AE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209.19</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62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209.19</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7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9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E5F8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E8237">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45CD8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F4D60">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F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0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F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209.19</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B7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209.19</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7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F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4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47500">
            <w:pPr>
              <w:rPr>
                <w:rFonts w:hint="eastAsia" w:ascii="黑体" w:hAnsi="黑体" w:eastAsia="黑体" w:cs="黑体"/>
                <w:i/>
                <w:iCs/>
                <w:color w:val="000000"/>
                <w:sz w:val="18"/>
                <w:szCs w:val="18"/>
                <w:u w:val="none"/>
              </w:rPr>
            </w:pPr>
          </w:p>
        </w:tc>
      </w:tr>
      <w:tr w14:paraId="2115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40634">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B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F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0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69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7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17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1C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3D119">
            <w:pPr>
              <w:rPr>
                <w:rFonts w:hint="eastAsia" w:ascii="黑体" w:hAnsi="黑体" w:eastAsia="黑体" w:cs="黑体"/>
                <w:i/>
                <w:iCs/>
                <w:color w:val="000000"/>
                <w:sz w:val="18"/>
                <w:szCs w:val="18"/>
                <w:u w:val="none"/>
              </w:rPr>
            </w:pPr>
          </w:p>
        </w:tc>
      </w:tr>
      <w:tr w14:paraId="63398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2D4C2">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5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C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A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F1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7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7B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97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22207">
            <w:pPr>
              <w:rPr>
                <w:rFonts w:hint="eastAsia" w:ascii="黑体" w:hAnsi="黑体" w:eastAsia="黑体" w:cs="黑体"/>
                <w:i/>
                <w:iCs/>
                <w:color w:val="000000"/>
                <w:sz w:val="18"/>
                <w:szCs w:val="18"/>
                <w:u w:val="none"/>
              </w:rPr>
            </w:pPr>
          </w:p>
        </w:tc>
      </w:tr>
      <w:tr w14:paraId="2258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4D13">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9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450A">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0561">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D5ED8">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84E9">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6B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7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FBCCB">
            <w:pPr>
              <w:rPr>
                <w:rFonts w:hint="eastAsia" w:ascii="黑体" w:hAnsi="黑体" w:eastAsia="黑体" w:cs="黑体"/>
                <w:i/>
                <w:iCs/>
                <w:color w:val="000000"/>
                <w:sz w:val="18"/>
                <w:szCs w:val="18"/>
                <w:u w:val="none"/>
              </w:rPr>
            </w:pPr>
          </w:p>
        </w:tc>
      </w:tr>
      <w:tr w14:paraId="09CC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34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8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98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F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A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5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A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F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DA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C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C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B32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7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A30A">
            <w:pPr>
              <w:jc w:val="center"/>
              <w:rPr>
                <w:rFonts w:hint="eastAsia" w:ascii="宋体" w:hAnsi="宋体" w:eastAsia="宋体" w:cs="宋体"/>
                <w:i w:val="0"/>
                <w:iCs w:val="0"/>
                <w:color w:val="000000"/>
                <w:sz w:val="18"/>
                <w:szCs w:val="18"/>
                <w:u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39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B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4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保障全校5000多名师生2022年度教育教学工作顺利开展</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2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BAC9">
            <w:pPr>
              <w:keepNext w:val="0"/>
              <w:keepLines w:val="0"/>
              <w:widowControl/>
              <w:suppressLineNumbers w:val="0"/>
              <w:jc w:val="center"/>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5000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FA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AA72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9E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23E2">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665B">
            <w:pPr>
              <w:jc w:val="center"/>
              <w:rPr>
                <w:rFonts w:hint="eastAsia" w:ascii="微软雅黑" w:hAnsi="微软雅黑" w:eastAsia="微软雅黑" w:cs="微软雅黑"/>
                <w:i/>
                <w:iCs/>
                <w:color w:val="000000"/>
                <w:sz w:val="16"/>
                <w:szCs w:val="16"/>
                <w:u w:val="none"/>
              </w:rPr>
            </w:pPr>
          </w:p>
        </w:tc>
      </w:tr>
      <w:tr w14:paraId="4C69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7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2CF73">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D6451">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0B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0A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保障全校5000多名师生2022年度教育教学工作顺利开展</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D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FE14">
            <w:pPr>
              <w:keepNext w:val="0"/>
              <w:keepLines w:val="0"/>
              <w:widowControl/>
              <w:suppressLineNumbers w:val="0"/>
              <w:jc w:val="center"/>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390</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0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DA1E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390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5E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808A">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5210">
            <w:pPr>
              <w:jc w:val="center"/>
              <w:rPr>
                <w:rFonts w:hint="eastAsia" w:ascii="微软雅黑" w:hAnsi="微软雅黑" w:eastAsia="微软雅黑" w:cs="微软雅黑"/>
                <w:i/>
                <w:iCs/>
                <w:color w:val="000000"/>
                <w:sz w:val="16"/>
                <w:szCs w:val="16"/>
                <w:u w:val="none"/>
              </w:rPr>
            </w:pPr>
          </w:p>
        </w:tc>
      </w:tr>
      <w:tr w14:paraId="4CC8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EB51E">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243F2">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7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FF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0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8CB1">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2022</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1A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1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0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667C8">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15A7">
            <w:pPr>
              <w:jc w:val="center"/>
              <w:rPr>
                <w:rFonts w:hint="eastAsia" w:ascii="微软雅黑" w:hAnsi="微软雅黑" w:eastAsia="微软雅黑" w:cs="微软雅黑"/>
                <w:i/>
                <w:iCs/>
                <w:color w:val="000000"/>
                <w:sz w:val="16"/>
                <w:szCs w:val="16"/>
                <w:u w:val="none"/>
              </w:rPr>
            </w:pPr>
          </w:p>
        </w:tc>
      </w:tr>
      <w:tr w14:paraId="51E62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7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0DFBB">
            <w:pPr>
              <w:jc w:val="cente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DF431">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1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6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保障全校5000多名师生2022年度教育教学工作顺利开展</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5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836A9">
            <w:pPr>
              <w:keepNext w:val="0"/>
              <w:keepLines w:val="0"/>
              <w:widowControl/>
              <w:suppressLineNumbers w:val="0"/>
              <w:jc w:val="center"/>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209.19</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0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414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209.19</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D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2E3B1">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46E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r>
      <w:tr w14:paraId="6368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778DB">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ED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D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00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推进仁和区初、高中教育健康稳定发展</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0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1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61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5F05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EB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C59C">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34B8">
            <w:pPr>
              <w:jc w:val="center"/>
              <w:rPr>
                <w:rFonts w:hint="eastAsia" w:ascii="微软雅黑" w:hAnsi="微软雅黑" w:eastAsia="微软雅黑" w:cs="微软雅黑"/>
                <w:i/>
                <w:iCs/>
                <w:color w:val="000000"/>
                <w:sz w:val="16"/>
                <w:szCs w:val="16"/>
                <w:u w:val="none"/>
              </w:rPr>
            </w:pPr>
          </w:p>
        </w:tc>
      </w:tr>
      <w:tr w14:paraId="2192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C842E">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6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AE6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0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r>
              <w:rPr>
                <w:rFonts w:ascii="宋体" w:hAnsi="宋体" w:eastAsia="宋体" w:cs="宋体"/>
                <w:i w:val="0"/>
                <w:iCs w:val="0"/>
                <w:color w:val="000000"/>
                <w:kern w:val="0"/>
                <w:sz w:val="18"/>
                <w:szCs w:val="18"/>
                <w:u w:val="none"/>
                <w:lang w:val="en-US" w:eastAsia="zh-CN" w:bidi="ar"/>
              </w:rPr>
              <w:t>及师生</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C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0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2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868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98</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4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F075">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7A27">
            <w:pPr>
              <w:jc w:val="center"/>
              <w:rPr>
                <w:rFonts w:hint="eastAsia" w:ascii="微软雅黑" w:hAnsi="微软雅黑" w:eastAsia="微软雅黑" w:cs="微软雅黑"/>
                <w:i/>
                <w:iCs/>
                <w:color w:val="000000"/>
                <w:sz w:val="16"/>
                <w:szCs w:val="16"/>
                <w:u w:val="none"/>
              </w:rPr>
            </w:pPr>
          </w:p>
        </w:tc>
      </w:tr>
      <w:tr w14:paraId="5E1F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EE5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8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F1C1">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5CBA">
            <w:pPr>
              <w:rPr>
                <w:rFonts w:hint="eastAsia" w:ascii="宋体" w:hAnsi="宋体" w:eastAsia="宋体" w:cs="宋体"/>
                <w:i w:val="0"/>
                <w:iCs w:val="0"/>
                <w:color w:val="000000"/>
                <w:sz w:val="18"/>
                <w:szCs w:val="18"/>
                <w:u w:val="none"/>
              </w:rPr>
            </w:pPr>
          </w:p>
        </w:tc>
      </w:tr>
      <w:tr w14:paraId="6A69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9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446531">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6A09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5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8FB441">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无</w:t>
            </w:r>
          </w:p>
        </w:tc>
      </w:tr>
      <w:tr w14:paraId="13B5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6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69BBE1">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14:paraId="7B63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DC9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C67A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3EC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5B0582BF">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1EF5FCEB">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747380C3">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6C246657">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19D6D55F">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520ACB21">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11ECFBA9">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0372F150">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367B1EB7">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2B186405">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054D2CFE">
            <w:pPr>
              <w:rPr>
                <w:rFonts w:hint="eastAsia" w:ascii="宋体" w:hAnsi="宋体" w:eastAsia="宋体" w:cs="宋体"/>
                <w:i w:val="0"/>
                <w:iCs w:val="0"/>
                <w:color w:val="000000"/>
                <w:sz w:val="18"/>
                <w:szCs w:val="18"/>
                <w:u w:val="none"/>
              </w:rPr>
            </w:pPr>
          </w:p>
        </w:tc>
      </w:tr>
      <w:tr w14:paraId="75DF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CE7FC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35D5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FDB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FB15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51041122T000005841971-攀财资教〔2021〕23号2021年城乡义务教育补助市级经费（作业本费）</w:t>
            </w:r>
          </w:p>
        </w:tc>
      </w:tr>
      <w:tr w14:paraId="0A7E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9E8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1B4E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34791A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CE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7D8A3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49D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8A5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397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02718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228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70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829FD">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F102">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4E3C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严格执行相关政策，保障省级免作业本费及时足额到位，预算编制科学合理，减少结余资金</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F80B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2022年圆满完成年度目标</w:t>
            </w:r>
          </w:p>
        </w:tc>
      </w:tr>
      <w:tr w14:paraId="7AB4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F8098">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1B2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4FC9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按要求，保障作业本费及时足额支付</w:t>
            </w:r>
          </w:p>
        </w:tc>
      </w:tr>
      <w:tr w14:paraId="6407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CD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61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2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F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E3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4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66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B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07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CB58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25F97">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A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49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7A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8C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C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C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FFCD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A3972">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3796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80E04">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4E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4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B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D9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C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C3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D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0EC35">
            <w:pPr>
              <w:rPr>
                <w:rFonts w:hint="eastAsia" w:ascii="黑体" w:hAnsi="黑体" w:eastAsia="黑体" w:cs="黑体"/>
                <w:i/>
                <w:iCs/>
                <w:color w:val="000000"/>
                <w:sz w:val="18"/>
                <w:szCs w:val="18"/>
                <w:u w:val="none"/>
              </w:rPr>
            </w:pPr>
          </w:p>
        </w:tc>
      </w:tr>
      <w:tr w14:paraId="2F9A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8E67">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2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7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9C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17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5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9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17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EF96A">
            <w:pPr>
              <w:rPr>
                <w:rFonts w:hint="eastAsia" w:ascii="黑体" w:hAnsi="黑体" w:eastAsia="黑体" w:cs="黑体"/>
                <w:i/>
                <w:iCs/>
                <w:color w:val="000000"/>
                <w:sz w:val="18"/>
                <w:szCs w:val="18"/>
                <w:u w:val="none"/>
              </w:rPr>
            </w:pPr>
          </w:p>
        </w:tc>
      </w:tr>
      <w:tr w14:paraId="0337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A1741">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A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C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B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CD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0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5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D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D5316">
            <w:pPr>
              <w:rPr>
                <w:rFonts w:hint="eastAsia" w:ascii="黑体" w:hAnsi="黑体" w:eastAsia="黑体" w:cs="黑体"/>
                <w:i/>
                <w:iCs/>
                <w:color w:val="000000"/>
                <w:sz w:val="18"/>
                <w:szCs w:val="18"/>
                <w:u w:val="none"/>
              </w:rPr>
            </w:pPr>
          </w:p>
        </w:tc>
      </w:tr>
      <w:tr w14:paraId="02CD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9482">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3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7B16">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1699">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6F458">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1457">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F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53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9FB97">
            <w:pPr>
              <w:rPr>
                <w:rFonts w:hint="eastAsia" w:ascii="黑体" w:hAnsi="黑体" w:eastAsia="黑体" w:cs="黑体"/>
                <w:i/>
                <w:iCs/>
                <w:color w:val="000000"/>
                <w:sz w:val="18"/>
                <w:szCs w:val="18"/>
                <w:u w:val="none"/>
              </w:rPr>
            </w:pPr>
          </w:p>
        </w:tc>
      </w:tr>
      <w:tr w14:paraId="373B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7D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B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DA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3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7D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7E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A3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9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1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7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0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8E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ED306">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B382">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B03B">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C8809">
            <w:pPr>
              <w:jc w:val="center"/>
              <w:rPr>
                <w:rFonts w:hint="eastAsia" w:ascii="宋体" w:hAnsi="宋体" w:eastAsia="宋体" w:cs="宋体"/>
                <w:i w:val="0"/>
                <w:iCs w:val="0"/>
                <w:color w:val="000000"/>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3DA1">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38A94">
            <w:pPr>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CA3F">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E830">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0F81">
            <w:pPr>
              <w:jc w:val="cente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0D7A">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A13A">
            <w:pPr>
              <w:jc w:val="center"/>
              <w:rPr>
                <w:rFonts w:hint="eastAsia" w:ascii="微软雅黑" w:hAnsi="微软雅黑" w:eastAsia="微软雅黑" w:cs="微软雅黑"/>
                <w:i/>
                <w:iCs/>
                <w:color w:val="000000"/>
                <w:sz w:val="16"/>
                <w:szCs w:val="16"/>
                <w:u w:val="none"/>
              </w:rPr>
            </w:pPr>
          </w:p>
        </w:tc>
      </w:tr>
      <w:tr w14:paraId="0CE0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BD5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E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A4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B2B0">
            <w:pPr>
              <w:rPr>
                <w:rFonts w:hint="eastAsia" w:ascii="宋体" w:hAnsi="宋体" w:eastAsia="宋体" w:cs="宋体"/>
                <w:i w:val="0"/>
                <w:iCs w:val="0"/>
                <w:color w:val="000000"/>
                <w:sz w:val="18"/>
                <w:szCs w:val="18"/>
                <w:u w:val="none"/>
              </w:rPr>
            </w:pPr>
          </w:p>
        </w:tc>
      </w:tr>
      <w:tr w14:paraId="0BB9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D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9A952C">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7ABC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8F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82C6A4">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无</w:t>
            </w:r>
          </w:p>
        </w:tc>
      </w:tr>
      <w:tr w14:paraId="1FD7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8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93FD15">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14:paraId="0D4F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A5373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8E80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FAA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7B2B86E4">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27A7F258">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6EA60899">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31A7BE35">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0149EE4B">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08C8585E">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1CE693F9">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71210454">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0DCB8067">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0774FF43">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7E342260">
            <w:pPr>
              <w:rPr>
                <w:rFonts w:hint="eastAsia" w:ascii="宋体" w:hAnsi="宋体" w:eastAsia="宋体" w:cs="宋体"/>
                <w:i w:val="0"/>
                <w:iCs w:val="0"/>
                <w:color w:val="000000"/>
                <w:sz w:val="18"/>
                <w:szCs w:val="18"/>
                <w:u w:val="none"/>
              </w:rPr>
            </w:pPr>
          </w:p>
        </w:tc>
      </w:tr>
      <w:tr w14:paraId="35F3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D0D3F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5C33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103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B0D8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51041122T000005842036-攀财资教〔2021〕34号2021年第一批财政教育资（职业教育经费，职业体验教育试点）</w:t>
            </w:r>
          </w:p>
        </w:tc>
      </w:tr>
      <w:tr w14:paraId="3E9B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8B0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7665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10D62E4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B5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6D48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F33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889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271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79824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FC4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70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427C6">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6B96D">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C96E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严格执行相关政策，保障职业教育经费及时足额到位，预算编制科学合理，减少结余资金</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CA61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2022年圆满完成年度目标</w:t>
            </w:r>
          </w:p>
        </w:tc>
      </w:tr>
      <w:tr w14:paraId="055B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E2884">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78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A5E8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按要求，保障职业教育经费及时足额支付</w:t>
            </w:r>
          </w:p>
        </w:tc>
      </w:tr>
      <w:tr w14:paraId="0DDD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99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B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3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8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23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A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8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9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A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907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C89A3">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E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0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0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0.19</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15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0.19</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9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C2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04F5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5DF32">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137A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5592">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A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D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0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0.19</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29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0.19</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DD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CC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E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903A2">
            <w:pPr>
              <w:rPr>
                <w:rFonts w:hint="eastAsia" w:ascii="黑体" w:hAnsi="黑体" w:eastAsia="黑体" w:cs="黑体"/>
                <w:i/>
                <w:iCs/>
                <w:color w:val="000000"/>
                <w:sz w:val="18"/>
                <w:szCs w:val="18"/>
                <w:u w:val="none"/>
              </w:rPr>
            </w:pPr>
          </w:p>
        </w:tc>
      </w:tr>
      <w:tr w14:paraId="05B0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FBE12">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2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C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1B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7E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E0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6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4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FBFA7">
            <w:pPr>
              <w:rPr>
                <w:rFonts w:hint="eastAsia" w:ascii="黑体" w:hAnsi="黑体" w:eastAsia="黑体" w:cs="黑体"/>
                <w:i/>
                <w:iCs/>
                <w:color w:val="000000"/>
                <w:sz w:val="18"/>
                <w:szCs w:val="18"/>
                <w:u w:val="none"/>
              </w:rPr>
            </w:pPr>
          </w:p>
        </w:tc>
      </w:tr>
      <w:tr w14:paraId="253A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912A9">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2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DE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C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58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F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A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D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DD715">
            <w:pPr>
              <w:rPr>
                <w:rFonts w:hint="eastAsia" w:ascii="黑体" w:hAnsi="黑体" w:eastAsia="黑体" w:cs="黑体"/>
                <w:i/>
                <w:iCs/>
                <w:color w:val="000000"/>
                <w:sz w:val="18"/>
                <w:szCs w:val="18"/>
                <w:u w:val="none"/>
              </w:rPr>
            </w:pPr>
          </w:p>
        </w:tc>
      </w:tr>
      <w:tr w14:paraId="23E4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EC9E5">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A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AF71">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868E">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E4D44">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126D">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8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8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AA1E7">
            <w:pPr>
              <w:rPr>
                <w:rFonts w:hint="eastAsia" w:ascii="黑体" w:hAnsi="黑体" w:eastAsia="黑体" w:cs="黑体"/>
                <w:i/>
                <w:iCs/>
                <w:color w:val="000000"/>
                <w:sz w:val="18"/>
                <w:szCs w:val="18"/>
                <w:u w:val="none"/>
              </w:rPr>
            </w:pPr>
          </w:p>
        </w:tc>
      </w:tr>
      <w:tr w14:paraId="3E0B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86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9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8A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3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26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3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3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3F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31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7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2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587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512F3">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D5A8">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3638">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03CA7">
            <w:pPr>
              <w:jc w:val="center"/>
              <w:rPr>
                <w:rFonts w:hint="eastAsia" w:ascii="宋体" w:hAnsi="宋体" w:eastAsia="宋体" w:cs="宋体"/>
                <w:i w:val="0"/>
                <w:iCs w:val="0"/>
                <w:color w:val="000000"/>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1895">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E7B5">
            <w:pPr>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23970">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13F07">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0E16">
            <w:pPr>
              <w:jc w:val="cente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293C">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B7AC">
            <w:pPr>
              <w:jc w:val="center"/>
              <w:rPr>
                <w:rFonts w:hint="eastAsia" w:ascii="微软雅黑" w:hAnsi="微软雅黑" w:eastAsia="微软雅黑" w:cs="微软雅黑"/>
                <w:i/>
                <w:iCs/>
                <w:color w:val="000000"/>
                <w:sz w:val="16"/>
                <w:szCs w:val="16"/>
                <w:u w:val="none"/>
              </w:rPr>
            </w:pPr>
          </w:p>
        </w:tc>
      </w:tr>
      <w:tr w14:paraId="64B1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5CD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1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DE9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37AE3">
            <w:pPr>
              <w:rPr>
                <w:rFonts w:hint="eastAsia" w:ascii="宋体" w:hAnsi="宋体" w:eastAsia="宋体" w:cs="宋体"/>
                <w:i w:val="0"/>
                <w:iCs w:val="0"/>
                <w:color w:val="000000"/>
                <w:sz w:val="18"/>
                <w:szCs w:val="18"/>
                <w:u w:val="none"/>
              </w:rPr>
            </w:pPr>
          </w:p>
        </w:tc>
      </w:tr>
      <w:tr w14:paraId="4116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2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2CBF85">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4A78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7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D237AD">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无</w:t>
            </w:r>
          </w:p>
        </w:tc>
      </w:tr>
      <w:tr w14:paraId="52A6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A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D04111">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14:paraId="3FC8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9798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DC3B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0B9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2DA159C7">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6266C007">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756B20E7">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3111ACA3">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536832DA">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76E77FEF">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5F52CEAE">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742CA999">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0291EDC9">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78C8008D">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2D025893">
            <w:pPr>
              <w:rPr>
                <w:rFonts w:hint="eastAsia" w:ascii="宋体" w:hAnsi="宋体" w:eastAsia="宋体" w:cs="宋体"/>
                <w:i w:val="0"/>
                <w:iCs w:val="0"/>
                <w:color w:val="000000"/>
                <w:sz w:val="18"/>
                <w:szCs w:val="18"/>
                <w:u w:val="none"/>
              </w:rPr>
            </w:pPr>
          </w:p>
        </w:tc>
      </w:tr>
      <w:tr w14:paraId="2798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27271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3AB6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1F6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9D50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51041122T000005842049-攀财资教〔2021〕61号2021年省级高中生均公用经费</w:t>
            </w:r>
          </w:p>
        </w:tc>
      </w:tr>
      <w:tr w14:paraId="1A26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853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8CC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0D32D6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3F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68FC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57B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D6B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1BB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C73FB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07C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70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A7F28">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BCB76">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9625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校5000多名师生2022年度教育教学工作顺利开展；改善学校育人环境，努力建创《四川省绿色校园》；购置教育教学设备，采购学生课桌椅，为师创造更加优质的教学资源；加强教师队伍建设，不断提高教师的业务水平；全面推进学校各项工作的开展，提升教学质量，办学水平整体规模上一个新台阶，推进仁和区高中教育健康稳定发展。</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A2A79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2022年圆满完成年度目标</w:t>
            </w:r>
          </w:p>
        </w:tc>
      </w:tr>
      <w:tr w14:paraId="233F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4E610">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BB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0DB1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w:t>
            </w:r>
            <w:r>
              <w:rPr>
                <w:rFonts w:hint="eastAsia" w:ascii="宋体" w:hAnsi="宋体" w:cs="宋体"/>
                <w:i w:val="0"/>
                <w:iCs w:val="0"/>
                <w:color w:val="000000"/>
                <w:kern w:val="0"/>
                <w:sz w:val="18"/>
                <w:szCs w:val="18"/>
                <w:u w:val="none"/>
                <w:lang w:val="en-US" w:eastAsia="zh-CN" w:bidi="ar"/>
              </w:rPr>
              <w:t>，按工作安排开展活动并执行支付计划</w:t>
            </w:r>
          </w:p>
        </w:tc>
      </w:tr>
      <w:tr w14:paraId="67B7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53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E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4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17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96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B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B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7D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9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F71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F55E">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9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D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B0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107.55</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5C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107.55</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32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D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4E577">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AE9DB">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4589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67576">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3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4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D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107.55</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AE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107.55</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9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F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8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8B7AF">
            <w:pPr>
              <w:rPr>
                <w:rFonts w:hint="eastAsia" w:ascii="黑体" w:hAnsi="黑体" w:eastAsia="黑体" w:cs="黑体"/>
                <w:i/>
                <w:iCs/>
                <w:color w:val="000000"/>
                <w:sz w:val="18"/>
                <w:szCs w:val="18"/>
                <w:u w:val="none"/>
              </w:rPr>
            </w:pPr>
          </w:p>
        </w:tc>
      </w:tr>
      <w:tr w14:paraId="51C3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8A282">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9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77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4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91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4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7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5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91F98">
            <w:pPr>
              <w:rPr>
                <w:rFonts w:hint="eastAsia" w:ascii="黑体" w:hAnsi="黑体" w:eastAsia="黑体" w:cs="黑体"/>
                <w:i/>
                <w:iCs/>
                <w:color w:val="000000"/>
                <w:sz w:val="18"/>
                <w:szCs w:val="18"/>
                <w:u w:val="none"/>
              </w:rPr>
            </w:pPr>
          </w:p>
        </w:tc>
      </w:tr>
      <w:tr w14:paraId="4645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2C156">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3D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3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2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35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3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6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9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F47E5">
            <w:pPr>
              <w:rPr>
                <w:rFonts w:hint="eastAsia" w:ascii="黑体" w:hAnsi="黑体" w:eastAsia="黑体" w:cs="黑体"/>
                <w:i/>
                <w:iCs/>
                <w:color w:val="000000"/>
                <w:sz w:val="18"/>
                <w:szCs w:val="18"/>
                <w:u w:val="none"/>
              </w:rPr>
            </w:pPr>
          </w:p>
        </w:tc>
      </w:tr>
      <w:tr w14:paraId="67647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39753">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3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FD8C">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22B3">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7158B">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4A116">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3E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F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3D5FB">
            <w:pPr>
              <w:rPr>
                <w:rFonts w:hint="eastAsia" w:ascii="黑体" w:hAnsi="黑体" w:eastAsia="黑体" w:cs="黑体"/>
                <w:i/>
                <w:iCs/>
                <w:color w:val="000000"/>
                <w:sz w:val="18"/>
                <w:szCs w:val="18"/>
                <w:u w:val="none"/>
              </w:rPr>
            </w:pPr>
          </w:p>
        </w:tc>
      </w:tr>
      <w:tr w14:paraId="6669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BF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6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A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3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0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B1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A7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E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BB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9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E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001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519DC">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7700">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D723">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5375">
            <w:pPr>
              <w:jc w:val="center"/>
              <w:rPr>
                <w:rFonts w:hint="eastAsia" w:ascii="宋体" w:hAnsi="宋体" w:eastAsia="宋体" w:cs="宋体"/>
                <w:i w:val="0"/>
                <w:iCs w:val="0"/>
                <w:color w:val="000000"/>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832A">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83A5">
            <w:pPr>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84A8">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D9A1">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8D201">
            <w:pPr>
              <w:jc w:val="cente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9138">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9544">
            <w:pPr>
              <w:jc w:val="center"/>
              <w:rPr>
                <w:rFonts w:hint="eastAsia" w:ascii="微软雅黑" w:hAnsi="微软雅黑" w:eastAsia="微软雅黑" w:cs="微软雅黑"/>
                <w:i/>
                <w:iCs/>
                <w:color w:val="000000"/>
                <w:sz w:val="16"/>
                <w:szCs w:val="16"/>
                <w:u w:val="none"/>
              </w:rPr>
            </w:pPr>
          </w:p>
        </w:tc>
      </w:tr>
      <w:tr w14:paraId="54A1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735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7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7E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F9F4">
            <w:pPr>
              <w:rPr>
                <w:rFonts w:hint="eastAsia" w:ascii="宋体" w:hAnsi="宋体" w:eastAsia="宋体" w:cs="宋体"/>
                <w:i w:val="0"/>
                <w:iCs w:val="0"/>
                <w:color w:val="000000"/>
                <w:sz w:val="18"/>
                <w:szCs w:val="18"/>
                <w:u w:val="none"/>
              </w:rPr>
            </w:pPr>
          </w:p>
        </w:tc>
      </w:tr>
      <w:tr w14:paraId="76FB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9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14D945">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5455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9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FD832F">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无</w:t>
            </w:r>
          </w:p>
        </w:tc>
      </w:tr>
      <w:tr w14:paraId="7ADE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F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43AA1F">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14:paraId="1B2A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9B7E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A166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234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7A9D9556">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3D3D8521">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6E260393">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6F16725B">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0C2C173F">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67B1D70F">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224E5AD3">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335C5290">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745B16B6">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22B3FD87">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4E32CF16">
            <w:pPr>
              <w:rPr>
                <w:rFonts w:hint="eastAsia" w:ascii="宋体" w:hAnsi="宋体" w:eastAsia="宋体" w:cs="宋体"/>
                <w:i w:val="0"/>
                <w:iCs w:val="0"/>
                <w:color w:val="000000"/>
                <w:sz w:val="18"/>
                <w:szCs w:val="18"/>
                <w:u w:val="none"/>
              </w:rPr>
            </w:pPr>
          </w:p>
        </w:tc>
      </w:tr>
      <w:tr w14:paraId="774A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2C0C8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6893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5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312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2AB4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51041122T000005842057-攀财资教〔2021〕75号2021年市级民族教育发展十年行动计划（支持特色普高创建、谈经古乐、射箭项目）</w:t>
            </w:r>
          </w:p>
        </w:tc>
      </w:tr>
      <w:tr w14:paraId="27579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B34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A26F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23AA45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43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2813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C19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73A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49E3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993F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578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70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34D76">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F17D3">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A9D4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构建“绩效目标审核、事中绩效监控、事后绩效评估及绩效结果运用”的全过程绩效预算管理机制，全面提升财政资金支出绩效；确保学校谈经古乐、射箭等艺体工作的正常运转，教学设备及教学环境的完善</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6CA9D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2022年圆满完成年度目标</w:t>
            </w:r>
          </w:p>
        </w:tc>
      </w:tr>
      <w:tr w14:paraId="2F28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C5CAA">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3E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EBBF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保障学校民族教育发展十年行动计划专项经费，提供充足资金支持</w:t>
            </w:r>
          </w:p>
        </w:tc>
      </w:tr>
      <w:tr w14:paraId="4791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2F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C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F0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C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D5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F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2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9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1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CB8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1185A">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2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3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9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26.68</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82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26.68</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D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0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B67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C05F0">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5AB6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598FF">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9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7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F0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26.68</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07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26.68</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9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A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E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7E8EE">
            <w:pPr>
              <w:rPr>
                <w:rFonts w:hint="eastAsia" w:ascii="黑体" w:hAnsi="黑体" w:eastAsia="黑体" w:cs="黑体"/>
                <w:i/>
                <w:iCs/>
                <w:color w:val="000000"/>
                <w:sz w:val="18"/>
                <w:szCs w:val="18"/>
                <w:u w:val="none"/>
              </w:rPr>
            </w:pPr>
          </w:p>
        </w:tc>
      </w:tr>
      <w:tr w14:paraId="6539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A73F4">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6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E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F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A4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A7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6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E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84067">
            <w:pPr>
              <w:rPr>
                <w:rFonts w:hint="eastAsia" w:ascii="黑体" w:hAnsi="黑体" w:eastAsia="黑体" w:cs="黑体"/>
                <w:i/>
                <w:iCs/>
                <w:color w:val="000000"/>
                <w:sz w:val="18"/>
                <w:szCs w:val="18"/>
                <w:u w:val="none"/>
              </w:rPr>
            </w:pPr>
          </w:p>
        </w:tc>
      </w:tr>
      <w:tr w14:paraId="4233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2B0E0">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8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9D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F2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82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E1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8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C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C49AF">
            <w:pPr>
              <w:rPr>
                <w:rFonts w:hint="eastAsia" w:ascii="黑体" w:hAnsi="黑体" w:eastAsia="黑体" w:cs="黑体"/>
                <w:i/>
                <w:iCs/>
                <w:color w:val="000000"/>
                <w:sz w:val="18"/>
                <w:szCs w:val="18"/>
                <w:u w:val="none"/>
              </w:rPr>
            </w:pPr>
          </w:p>
        </w:tc>
      </w:tr>
      <w:tr w14:paraId="18FE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575D">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E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CA85">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746C">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3040A">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3840">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E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4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2E334">
            <w:pPr>
              <w:rPr>
                <w:rFonts w:hint="eastAsia" w:ascii="黑体" w:hAnsi="黑体" w:eastAsia="黑体" w:cs="黑体"/>
                <w:i/>
                <w:iCs/>
                <w:color w:val="000000"/>
                <w:sz w:val="18"/>
                <w:szCs w:val="18"/>
                <w:u w:val="none"/>
              </w:rPr>
            </w:pPr>
          </w:p>
        </w:tc>
      </w:tr>
      <w:tr w14:paraId="5B1D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0B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A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C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49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7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6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20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6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E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E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1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B63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86C0E">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C6B7">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57A48">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315D">
            <w:pPr>
              <w:jc w:val="center"/>
              <w:rPr>
                <w:rFonts w:hint="eastAsia" w:ascii="宋体" w:hAnsi="宋体" w:eastAsia="宋体" w:cs="宋体"/>
                <w:i w:val="0"/>
                <w:iCs w:val="0"/>
                <w:color w:val="000000"/>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A685">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6B68">
            <w:pPr>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FF63">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A0087">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22C2">
            <w:pPr>
              <w:jc w:val="cente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C3DF">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BF6C6">
            <w:pPr>
              <w:jc w:val="center"/>
              <w:rPr>
                <w:rFonts w:hint="eastAsia" w:ascii="微软雅黑" w:hAnsi="微软雅黑" w:eastAsia="微软雅黑" w:cs="微软雅黑"/>
                <w:i/>
                <w:iCs/>
                <w:color w:val="000000"/>
                <w:sz w:val="16"/>
                <w:szCs w:val="16"/>
                <w:u w:val="none"/>
              </w:rPr>
            </w:pPr>
          </w:p>
        </w:tc>
      </w:tr>
      <w:tr w14:paraId="736D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888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0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52F6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6D5AF">
            <w:pPr>
              <w:rPr>
                <w:rFonts w:hint="eastAsia" w:ascii="宋体" w:hAnsi="宋体" w:eastAsia="宋体" w:cs="宋体"/>
                <w:i w:val="0"/>
                <w:iCs w:val="0"/>
                <w:color w:val="000000"/>
                <w:sz w:val="18"/>
                <w:szCs w:val="18"/>
                <w:u w:val="none"/>
              </w:rPr>
            </w:pPr>
          </w:p>
        </w:tc>
      </w:tr>
      <w:tr w14:paraId="7F42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8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ED7CEB">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5059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5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8E357B">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无</w:t>
            </w:r>
          </w:p>
        </w:tc>
      </w:tr>
      <w:tr w14:paraId="2237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1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4A06BD">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14:paraId="1918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4574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BD70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F88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411247AA">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01BDA4B2">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42A69033">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5E741FB8">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60F4CE49">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2A6B6033">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7E658393">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64EBECCB">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0CFD6606">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3CCC3BE1">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1C19A077">
            <w:pPr>
              <w:rPr>
                <w:rFonts w:hint="eastAsia" w:ascii="宋体" w:hAnsi="宋体" w:eastAsia="宋体" w:cs="宋体"/>
                <w:i w:val="0"/>
                <w:iCs w:val="0"/>
                <w:color w:val="000000"/>
                <w:sz w:val="18"/>
                <w:szCs w:val="18"/>
                <w:u w:val="none"/>
              </w:rPr>
            </w:pPr>
          </w:p>
        </w:tc>
      </w:tr>
      <w:tr w14:paraId="55B3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C6B1E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77C4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F8D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BE92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51041122T000006358714-攀财资教2022年8号2022年城乡义务教育补助中央生均公用经费</w:t>
            </w:r>
          </w:p>
        </w:tc>
      </w:tr>
      <w:tr w14:paraId="2B44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FE9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6404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138E89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723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0105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125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005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75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9D472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9CEF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70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E5FD5">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D8169">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4135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构建“绩效目标审核、事中绩效监控、事后绩效评估及绩效结果运用”的全过程绩效预算管理机制，全面提升财政资金支出绩效；确保学校教育教学工作的正常运转，教学设备及教学环境的完善</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4D23C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2022年已完成年度目标</w:t>
            </w:r>
          </w:p>
        </w:tc>
      </w:tr>
      <w:tr w14:paraId="6A97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DDC2">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15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2994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w:t>
            </w:r>
            <w:r>
              <w:rPr>
                <w:rFonts w:hint="eastAsia" w:ascii="宋体" w:hAnsi="宋体" w:cs="宋体"/>
                <w:i w:val="0"/>
                <w:iCs w:val="0"/>
                <w:color w:val="000000"/>
                <w:kern w:val="0"/>
                <w:sz w:val="18"/>
                <w:szCs w:val="18"/>
                <w:u w:val="none"/>
                <w:lang w:val="en-US" w:eastAsia="zh-CN" w:bidi="ar"/>
              </w:rPr>
              <w:t>，按工作安排开展活动并执行支付计划</w:t>
            </w:r>
          </w:p>
        </w:tc>
      </w:tr>
      <w:tr w14:paraId="1017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80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A2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8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1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41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C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8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F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29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578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9257">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0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C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1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77.99</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45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77.99</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8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E3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F680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3866A">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254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C1FB7">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C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F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A6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77.99</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C1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77.99</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9E7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2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90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D68EE">
            <w:pPr>
              <w:rPr>
                <w:rFonts w:hint="eastAsia" w:ascii="黑体" w:hAnsi="黑体" w:eastAsia="黑体" w:cs="黑体"/>
                <w:i/>
                <w:iCs/>
                <w:color w:val="000000"/>
                <w:sz w:val="18"/>
                <w:szCs w:val="18"/>
                <w:u w:val="none"/>
              </w:rPr>
            </w:pPr>
          </w:p>
        </w:tc>
      </w:tr>
      <w:tr w14:paraId="6601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4EC24">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18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30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A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BE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0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4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B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EAE01">
            <w:pPr>
              <w:rPr>
                <w:rFonts w:hint="eastAsia" w:ascii="黑体" w:hAnsi="黑体" w:eastAsia="黑体" w:cs="黑体"/>
                <w:i/>
                <w:iCs/>
                <w:color w:val="000000"/>
                <w:sz w:val="18"/>
                <w:szCs w:val="18"/>
                <w:u w:val="none"/>
              </w:rPr>
            </w:pPr>
          </w:p>
        </w:tc>
      </w:tr>
      <w:tr w14:paraId="1B74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3B405">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4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12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B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B7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7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8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8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F1C5">
            <w:pPr>
              <w:rPr>
                <w:rFonts w:hint="eastAsia" w:ascii="黑体" w:hAnsi="黑体" w:eastAsia="黑体" w:cs="黑体"/>
                <w:i/>
                <w:iCs/>
                <w:color w:val="000000"/>
                <w:sz w:val="18"/>
                <w:szCs w:val="18"/>
                <w:u w:val="none"/>
              </w:rPr>
            </w:pPr>
          </w:p>
        </w:tc>
      </w:tr>
      <w:tr w14:paraId="19E5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8F2C1">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E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05AC">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72EC">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D152A">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28F4">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7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1A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AFA91">
            <w:pPr>
              <w:rPr>
                <w:rFonts w:hint="eastAsia" w:ascii="黑体" w:hAnsi="黑体" w:eastAsia="黑体" w:cs="黑体"/>
                <w:i/>
                <w:iCs/>
                <w:color w:val="000000"/>
                <w:sz w:val="18"/>
                <w:szCs w:val="18"/>
                <w:u w:val="none"/>
              </w:rPr>
            </w:pPr>
          </w:p>
        </w:tc>
      </w:tr>
      <w:tr w14:paraId="0CC1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30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9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3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F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1B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8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0C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9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7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9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8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456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5F976">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B97C">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BB2CE">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DCCF">
            <w:pPr>
              <w:jc w:val="center"/>
              <w:rPr>
                <w:rFonts w:hint="eastAsia" w:ascii="宋体" w:hAnsi="宋体" w:eastAsia="宋体" w:cs="宋体"/>
                <w:i w:val="0"/>
                <w:iCs w:val="0"/>
                <w:color w:val="000000"/>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0B0AF">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F4E6">
            <w:pPr>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6028">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AAB42">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F53E">
            <w:pPr>
              <w:jc w:val="cente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6ED3">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4F132">
            <w:pPr>
              <w:jc w:val="center"/>
              <w:rPr>
                <w:rFonts w:hint="eastAsia" w:ascii="微软雅黑" w:hAnsi="微软雅黑" w:eastAsia="微软雅黑" w:cs="微软雅黑"/>
                <w:i/>
                <w:iCs/>
                <w:color w:val="000000"/>
                <w:sz w:val="16"/>
                <w:szCs w:val="16"/>
                <w:u w:val="none"/>
              </w:rPr>
            </w:pPr>
          </w:p>
        </w:tc>
      </w:tr>
      <w:tr w14:paraId="0205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955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3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26FA">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0783">
            <w:pPr>
              <w:rPr>
                <w:rFonts w:hint="eastAsia" w:ascii="宋体" w:hAnsi="宋体" w:eastAsia="宋体" w:cs="宋体"/>
                <w:i w:val="0"/>
                <w:iCs w:val="0"/>
                <w:color w:val="000000"/>
                <w:sz w:val="18"/>
                <w:szCs w:val="18"/>
                <w:u w:val="none"/>
              </w:rPr>
            </w:pPr>
          </w:p>
        </w:tc>
      </w:tr>
      <w:tr w14:paraId="637E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8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020803">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4ED6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1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9AA1B1">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无</w:t>
            </w:r>
          </w:p>
        </w:tc>
      </w:tr>
      <w:tr w14:paraId="6240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8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87FF93">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14:paraId="1299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3075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0DAC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1A38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3B617E05">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33CFD9B7">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415216B7">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065A33CE">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0EB9DC7F">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3B6FAA9A">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0396ED88">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32BC6FC3">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6F4F60D3">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0A165C91">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2B323914">
            <w:pPr>
              <w:rPr>
                <w:rFonts w:hint="eastAsia" w:ascii="宋体" w:hAnsi="宋体" w:eastAsia="宋体" w:cs="宋体"/>
                <w:i w:val="0"/>
                <w:iCs w:val="0"/>
                <w:color w:val="000000"/>
                <w:sz w:val="18"/>
                <w:szCs w:val="18"/>
                <w:u w:val="none"/>
              </w:rPr>
            </w:pPr>
          </w:p>
        </w:tc>
      </w:tr>
      <w:tr w14:paraId="4D36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193CE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2168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DE3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FFE8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51041122T000006358716-攀财资教2022年8号2022年城乡义务教育补助省级生均公用经费</w:t>
            </w:r>
          </w:p>
        </w:tc>
      </w:tr>
      <w:tr w14:paraId="2532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9AB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C1D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78E16A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F4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1BF32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9A0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4B3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93E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D62D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8EC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70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D8884">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DAE48">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1CFA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构建“绩效目标审核、事中绩效监控、事后绩效评估及绩效结果运用”的全过程绩效预算管理机制，全面提升财政资金支出绩效；确保学校教育教学工作的正常运转，教学设备及教学环境的完善</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3E2A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2022年圆满完成年度目标</w:t>
            </w:r>
          </w:p>
        </w:tc>
      </w:tr>
      <w:tr w14:paraId="24FE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06F0D">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61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52C4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w:t>
            </w:r>
            <w:r>
              <w:rPr>
                <w:rFonts w:hint="eastAsia" w:ascii="宋体" w:hAnsi="宋体" w:cs="宋体"/>
                <w:i w:val="0"/>
                <w:iCs w:val="0"/>
                <w:color w:val="000000"/>
                <w:kern w:val="0"/>
                <w:sz w:val="18"/>
                <w:szCs w:val="18"/>
                <w:u w:val="none"/>
                <w:lang w:val="en-US" w:eastAsia="zh-CN" w:bidi="ar"/>
              </w:rPr>
              <w:t>，按工作安排开展活动并执行支付计划</w:t>
            </w:r>
          </w:p>
        </w:tc>
      </w:tr>
      <w:tr w14:paraId="5E17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4E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FC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CA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4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91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6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B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A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9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264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751B5">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6F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8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F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29.19</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00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77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3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FAB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ECF6C">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515D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F2686">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1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EA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A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29.19</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CC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8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9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A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FB031">
            <w:pPr>
              <w:rPr>
                <w:rFonts w:hint="eastAsia" w:ascii="黑体" w:hAnsi="黑体" w:eastAsia="黑体" w:cs="黑体"/>
                <w:i/>
                <w:iCs/>
                <w:color w:val="000000"/>
                <w:sz w:val="18"/>
                <w:szCs w:val="18"/>
                <w:u w:val="none"/>
              </w:rPr>
            </w:pPr>
          </w:p>
        </w:tc>
      </w:tr>
      <w:tr w14:paraId="10D93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E0022">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3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21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D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5D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B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E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1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43AF9">
            <w:pPr>
              <w:rPr>
                <w:rFonts w:hint="eastAsia" w:ascii="黑体" w:hAnsi="黑体" w:eastAsia="黑体" w:cs="黑体"/>
                <w:i/>
                <w:iCs/>
                <w:color w:val="000000"/>
                <w:sz w:val="18"/>
                <w:szCs w:val="18"/>
                <w:u w:val="none"/>
              </w:rPr>
            </w:pPr>
          </w:p>
        </w:tc>
      </w:tr>
      <w:tr w14:paraId="2842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3C7CE">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DC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4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0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C8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41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2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9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8D10C">
            <w:pPr>
              <w:rPr>
                <w:rFonts w:hint="eastAsia" w:ascii="黑体" w:hAnsi="黑体" w:eastAsia="黑体" w:cs="黑体"/>
                <w:i/>
                <w:iCs/>
                <w:color w:val="000000"/>
                <w:sz w:val="18"/>
                <w:szCs w:val="18"/>
                <w:u w:val="none"/>
              </w:rPr>
            </w:pPr>
          </w:p>
        </w:tc>
      </w:tr>
      <w:tr w14:paraId="3AED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C7D86">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0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7F92">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292C">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62C96">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2115">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F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E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52A09">
            <w:pPr>
              <w:rPr>
                <w:rFonts w:hint="eastAsia" w:ascii="黑体" w:hAnsi="黑体" w:eastAsia="黑体" w:cs="黑体"/>
                <w:i/>
                <w:iCs/>
                <w:color w:val="000000"/>
                <w:sz w:val="18"/>
                <w:szCs w:val="18"/>
                <w:u w:val="none"/>
              </w:rPr>
            </w:pPr>
          </w:p>
        </w:tc>
      </w:tr>
      <w:tr w14:paraId="6B3D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B7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1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F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6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3F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3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BC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6E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F6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A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6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2AA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6129">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C995A">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6A0A">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E35D">
            <w:pPr>
              <w:jc w:val="center"/>
              <w:rPr>
                <w:rFonts w:hint="eastAsia" w:ascii="宋体" w:hAnsi="宋体" w:eastAsia="宋体" w:cs="宋体"/>
                <w:i w:val="0"/>
                <w:iCs w:val="0"/>
                <w:color w:val="000000"/>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DA73">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AD1A8">
            <w:pPr>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E101">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CB53F">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E567F">
            <w:pPr>
              <w:jc w:val="cente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0778">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221BC">
            <w:pPr>
              <w:jc w:val="center"/>
              <w:rPr>
                <w:rFonts w:hint="eastAsia" w:ascii="微软雅黑" w:hAnsi="微软雅黑" w:eastAsia="微软雅黑" w:cs="微软雅黑"/>
                <w:i/>
                <w:iCs/>
                <w:color w:val="000000"/>
                <w:sz w:val="16"/>
                <w:szCs w:val="16"/>
                <w:u w:val="none"/>
              </w:rPr>
            </w:pPr>
          </w:p>
        </w:tc>
      </w:tr>
      <w:tr w14:paraId="1604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C75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6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D11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E9AF">
            <w:pPr>
              <w:rPr>
                <w:rFonts w:hint="eastAsia" w:ascii="宋体" w:hAnsi="宋体" w:eastAsia="宋体" w:cs="宋体"/>
                <w:i w:val="0"/>
                <w:iCs w:val="0"/>
                <w:color w:val="000000"/>
                <w:sz w:val="18"/>
                <w:szCs w:val="18"/>
                <w:u w:val="none"/>
              </w:rPr>
            </w:pPr>
          </w:p>
        </w:tc>
      </w:tr>
      <w:tr w14:paraId="0C91B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F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DCBD85">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1CE1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1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A8F796">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无</w:t>
            </w:r>
          </w:p>
        </w:tc>
      </w:tr>
      <w:tr w14:paraId="6AE2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1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020E09">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14:paraId="1C4F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78D6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6EC2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16C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1345DC30">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75A15B81">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35BF8E8B">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5EFE347A">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22CB93BA">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2B64198D">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7376EEBF">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76059128">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293BFB7E">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16B98ACB">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70C5FECE">
            <w:pPr>
              <w:rPr>
                <w:rFonts w:hint="eastAsia" w:ascii="宋体" w:hAnsi="宋体" w:eastAsia="宋体" w:cs="宋体"/>
                <w:i w:val="0"/>
                <w:iCs w:val="0"/>
                <w:color w:val="000000"/>
                <w:sz w:val="18"/>
                <w:szCs w:val="18"/>
                <w:u w:val="none"/>
              </w:rPr>
            </w:pPr>
          </w:p>
        </w:tc>
      </w:tr>
      <w:tr w14:paraId="7AE6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5CF90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5CF0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FAA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3EFA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51041122T000006492647-学校保安工资</w:t>
            </w:r>
          </w:p>
        </w:tc>
      </w:tr>
      <w:tr w14:paraId="2C6E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13B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C42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7EB513F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15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1915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D28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071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3B0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DCE15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BAE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70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68071">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63F8B">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609C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严格执行相关政策，保障学校保安工资及时足额到位，预算编制科学合理，减少结余资金</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0328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2022年已完成年度目标</w:t>
            </w:r>
          </w:p>
        </w:tc>
      </w:tr>
      <w:tr w14:paraId="7518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B5B23">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25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9261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按要求，保障学校保安工资及时足额支付</w:t>
            </w:r>
          </w:p>
        </w:tc>
      </w:tr>
      <w:tr w14:paraId="68E5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7C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96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C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3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8A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37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B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A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5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DC2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A9B3C">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8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DA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5F6B">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2.72</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18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3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1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117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9FC5F">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02C9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FC98F">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B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D1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E468">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2.72</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E6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A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A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E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8E193">
            <w:pPr>
              <w:rPr>
                <w:rFonts w:hint="eastAsia" w:ascii="黑体" w:hAnsi="黑体" w:eastAsia="黑体" w:cs="黑体"/>
                <w:i/>
                <w:iCs/>
                <w:color w:val="000000"/>
                <w:sz w:val="18"/>
                <w:szCs w:val="18"/>
                <w:u w:val="none"/>
              </w:rPr>
            </w:pPr>
          </w:p>
        </w:tc>
      </w:tr>
      <w:tr w14:paraId="78F3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42364">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2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3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A2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68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50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1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D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7B9E6">
            <w:pPr>
              <w:rPr>
                <w:rFonts w:hint="eastAsia" w:ascii="黑体" w:hAnsi="黑体" w:eastAsia="黑体" w:cs="黑体"/>
                <w:i/>
                <w:iCs/>
                <w:color w:val="000000"/>
                <w:sz w:val="18"/>
                <w:szCs w:val="18"/>
                <w:u w:val="none"/>
              </w:rPr>
            </w:pPr>
          </w:p>
        </w:tc>
      </w:tr>
      <w:tr w14:paraId="4629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790E7">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D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D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0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A1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3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C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B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95A96">
            <w:pPr>
              <w:rPr>
                <w:rFonts w:hint="eastAsia" w:ascii="黑体" w:hAnsi="黑体" w:eastAsia="黑体" w:cs="黑体"/>
                <w:i/>
                <w:iCs/>
                <w:color w:val="000000"/>
                <w:sz w:val="18"/>
                <w:szCs w:val="18"/>
                <w:u w:val="none"/>
              </w:rPr>
            </w:pPr>
          </w:p>
        </w:tc>
      </w:tr>
      <w:tr w14:paraId="5A3E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F0D02">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B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FCCC">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EF20">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EB38F">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23697">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E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D9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2650F">
            <w:pPr>
              <w:rPr>
                <w:rFonts w:hint="eastAsia" w:ascii="黑体" w:hAnsi="黑体" w:eastAsia="黑体" w:cs="黑体"/>
                <w:i/>
                <w:iCs/>
                <w:color w:val="000000"/>
                <w:sz w:val="18"/>
                <w:szCs w:val="18"/>
                <w:u w:val="none"/>
              </w:rPr>
            </w:pPr>
          </w:p>
        </w:tc>
      </w:tr>
      <w:tr w14:paraId="7A37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71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D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9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B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D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2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0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AF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23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1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C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3BF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14EBF">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27CE9">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32AC">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615B">
            <w:pPr>
              <w:jc w:val="center"/>
              <w:rPr>
                <w:rFonts w:hint="eastAsia" w:ascii="宋体" w:hAnsi="宋体" w:eastAsia="宋体" w:cs="宋体"/>
                <w:i w:val="0"/>
                <w:iCs w:val="0"/>
                <w:color w:val="000000"/>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FE2C">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430E">
            <w:pPr>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6D96">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AC9C">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FACE">
            <w:pPr>
              <w:jc w:val="cente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46A6">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3C2F">
            <w:pPr>
              <w:jc w:val="center"/>
              <w:rPr>
                <w:rFonts w:hint="eastAsia" w:ascii="微软雅黑" w:hAnsi="微软雅黑" w:eastAsia="微软雅黑" w:cs="微软雅黑"/>
                <w:i/>
                <w:iCs/>
                <w:color w:val="000000"/>
                <w:sz w:val="16"/>
                <w:szCs w:val="16"/>
                <w:u w:val="none"/>
              </w:rPr>
            </w:pPr>
          </w:p>
        </w:tc>
      </w:tr>
      <w:tr w14:paraId="490E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EBC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5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AD46A">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E338">
            <w:pPr>
              <w:rPr>
                <w:rFonts w:hint="eastAsia" w:ascii="宋体" w:hAnsi="宋体" w:eastAsia="宋体" w:cs="宋体"/>
                <w:i w:val="0"/>
                <w:iCs w:val="0"/>
                <w:color w:val="000000"/>
                <w:sz w:val="18"/>
                <w:szCs w:val="18"/>
                <w:u w:val="none"/>
              </w:rPr>
            </w:pPr>
          </w:p>
        </w:tc>
      </w:tr>
      <w:tr w14:paraId="2B04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B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193564">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49AA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4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EEACEB">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无</w:t>
            </w:r>
          </w:p>
        </w:tc>
      </w:tr>
      <w:tr w14:paraId="709E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D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636DBD">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14:paraId="6806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55B1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BAD7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2FB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167" w:type="pct"/>
            <w:tcBorders>
              <w:top w:val="nil"/>
              <w:left w:val="nil"/>
              <w:bottom w:val="nil"/>
              <w:right w:val="nil"/>
            </w:tcBorders>
            <w:shd w:val="clear" w:color="auto" w:fill="auto"/>
            <w:vAlign w:val="center"/>
          </w:tcPr>
          <w:p w14:paraId="793DEB9A">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vAlign w:val="center"/>
          </w:tcPr>
          <w:p w14:paraId="2F70C1E2">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7DA90E56">
            <w:pPr>
              <w:rPr>
                <w:rFonts w:hint="eastAsia" w:ascii="宋体" w:hAnsi="宋体" w:eastAsia="宋体" w:cs="宋体"/>
                <w:i w:val="0"/>
                <w:iCs w:val="0"/>
                <w:color w:val="000000"/>
                <w:sz w:val="18"/>
                <w:szCs w:val="18"/>
                <w:u w:val="none"/>
              </w:rPr>
            </w:pPr>
          </w:p>
        </w:tc>
        <w:tc>
          <w:tcPr>
            <w:tcW w:w="633" w:type="pct"/>
            <w:tcBorders>
              <w:top w:val="nil"/>
              <w:left w:val="nil"/>
              <w:bottom w:val="nil"/>
              <w:right w:val="nil"/>
            </w:tcBorders>
            <w:shd w:val="clear" w:color="auto" w:fill="auto"/>
            <w:vAlign w:val="center"/>
          </w:tcPr>
          <w:p w14:paraId="17181B67">
            <w:pPr>
              <w:rPr>
                <w:rFonts w:hint="eastAsia" w:ascii="宋体" w:hAnsi="宋体" w:eastAsia="宋体" w:cs="宋体"/>
                <w:i w:val="0"/>
                <w:iCs w:val="0"/>
                <w:color w:val="000000"/>
                <w:sz w:val="18"/>
                <w:szCs w:val="18"/>
                <w:u w:val="none"/>
              </w:rPr>
            </w:pPr>
          </w:p>
        </w:tc>
        <w:tc>
          <w:tcPr>
            <w:tcW w:w="152" w:type="pct"/>
            <w:tcBorders>
              <w:top w:val="nil"/>
              <w:left w:val="nil"/>
              <w:bottom w:val="nil"/>
              <w:right w:val="nil"/>
            </w:tcBorders>
            <w:shd w:val="clear" w:color="auto" w:fill="auto"/>
            <w:vAlign w:val="center"/>
          </w:tcPr>
          <w:p w14:paraId="029F1C4D">
            <w:pP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auto"/>
            <w:vAlign w:val="center"/>
          </w:tcPr>
          <w:p w14:paraId="32AD7F31">
            <w:pPr>
              <w:rPr>
                <w:rFonts w:hint="eastAsia" w:ascii="宋体" w:hAnsi="宋体" w:eastAsia="宋体" w:cs="宋体"/>
                <w:i w:val="0"/>
                <w:iCs w:val="0"/>
                <w:color w:val="000000"/>
                <w:sz w:val="18"/>
                <w:szCs w:val="18"/>
                <w:u w:val="none"/>
              </w:rPr>
            </w:pPr>
          </w:p>
        </w:tc>
        <w:tc>
          <w:tcPr>
            <w:tcW w:w="146" w:type="pct"/>
            <w:tcBorders>
              <w:top w:val="nil"/>
              <w:left w:val="nil"/>
              <w:bottom w:val="nil"/>
              <w:right w:val="nil"/>
            </w:tcBorders>
            <w:shd w:val="clear" w:color="auto" w:fill="auto"/>
            <w:vAlign w:val="center"/>
          </w:tcPr>
          <w:p w14:paraId="62D04541">
            <w:pPr>
              <w:rPr>
                <w:rFonts w:hint="eastAsia" w:ascii="宋体" w:hAnsi="宋体" w:eastAsia="宋体" w:cs="宋体"/>
                <w:i w:val="0"/>
                <w:iCs w:val="0"/>
                <w:color w:val="000000"/>
                <w:sz w:val="18"/>
                <w:szCs w:val="18"/>
                <w:u w:val="none"/>
              </w:rPr>
            </w:pPr>
          </w:p>
        </w:tc>
        <w:tc>
          <w:tcPr>
            <w:tcW w:w="330" w:type="pct"/>
            <w:tcBorders>
              <w:top w:val="nil"/>
              <w:left w:val="nil"/>
              <w:bottom w:val="nil"/>
              <w:right w:val="nil"/>
            </w:tcBorders>
            <w:shd w:val="clear" w:color="auto" w:fill="auto"/>
            <w:vAlign w:val="center"/>
          </w:tcPr>
          <w:p w14:paraId="420948CB">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748E8E61">
            <w:pPr>
              <w:rPr>
                <w:rFonts w:hint="eastAsia" w:ascii="宋体" w:hAnsi="宋体" w:eastAsia="宋体" w:cs="宋体"/>
                <w:i w:val="0"/>
                <w:iCs w:val="0"/>
                <w:color w:val="000000"/>
                <w:sz w:val="18"/>
                <w:szCs w:val="18"/>
                <w:u w:val="none"/>
              </w:rPr>
            </w:pPr>
          </w:p>
        </w:tc>
        <w:tc>
          <w:tcPr>
            <w:tcW w:w="162" w:type="pct"/>
            <w:tcBorders>
              <w:top w:val="nil"/>
              <w:left w:val="nil"/>
              <w:bottom w:val="nil"/>
              <w:right w:val="nil"/>
            </w:tcBorders>
            <w:shd w:val="clear" w:color="auto" w:fill="auto"/>
            <w:vAlign w:val="center"/>
          </w:tcPr>
          <w:p w14:paraId="4B0AC2E7">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23D937D0">
            <w:pPr>
              <w:rPr>
                <w:rFonts w:hint="eastAsia" w:ascii="宋体" w:hAnsi="宋体" w:eastAsia="宋体" w:cs="宋体"/>
                <w:i w:val="0"/>
                <w:iCs w:val="0"/>
                <w:color w:val="000000"/>
                <w:sz w:val="18"/>
                <w:szCs w:val="18"/>
                <w:u w:val="none"/>
              </w:rPr>
            </w:pPr>
          </w:p>
        </w:tc>
      </w:tr>
      <w:tr w14:paraId="7556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904" w:hRule="atLeast"/>
        </w:trPr>
        <w:tc>
          <w:tcPr>
            <w:tcW w:w="401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3906F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14:paraId="01C9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90E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B3DB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51041122T000006564620-义务教育阶段免作业本费（区级）</w:t>
            </w:r>
          </w:p>
        </w:tc>
      </w:tr>
      <w:tr w14:paraId="0DF2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E28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w:t>
            </w:r>
            <w:r>
              <w:rPr>
                <w:rFonts w:hint="eastAsia" w:ascii="宋体" w:hAnsi="宋体" w:cs="宋体"/>
                <w:i w:val="0"/>
                <w:iCs w:val="0"/>
                <w:color w:val="000000"/>
                <w:kern w:val="0"/>
                <w:sz w:val="18"/>
                <w:szCs w:val="18"/>
                <w:u w:val="none"/>
                <w:lang w:val="en-US" w:eastAsia="zh-CN" w:bidi="ar"/>
              </w:rPr>
              <w:t>单位</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040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攀枝花市仁和区教育系统</w:t>
            </w:r>
            <w:r>
              <w:rPr>
                <w:rFonts w:hint="eastAsia" w:ascii="宋体" w:hAnsi="宋体" w:cs="宋体"/>
                <w:i w:val="0"/>
                <w:iCs w:val="0"/>
                <w:color w:val="000000"/>
                <w:kern w:val="0"/>
                <w:sz w:val="18"/>
                <w:szCs w:val="18"/>
                <w:u w:val="none"/>
                <w:lang w:val="en-US" w:eastAsia="zh-CN" w:bidi="ar"/>
              </w:rPr>
              <w:t>单位</w:t>
            </w:r>
          </w:p>
        </w:tc>
        <w:tc>
          <w:tcPr>
            <w:tcW w:w="330" w:type="pct"/>
            <w:tcBorders>
              <w:top w:val="nil"/>
              <w:left w:val="nil"/>
              <w:bottom w:val="nil"/>
              <w:right w:val="nil"/>
            </w:tcBorders>
            <w:shd w:val="clear" w:color="auto" w:fill="auto"/>
            <w:vAlign w:val="center"/>
          </w:tcPr>
          <w:p w14:paraId="1303DC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6E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四川省攀枝花市大河中学校</w:t>
            </w:r>
          </w:p>
        </w:tc>
      </w:tr>
      <w:tr w14:paraId="5582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FE8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14E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58E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820DF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589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708"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FDDD">
            <w:pPr>
              <w:rPr>
                <w:rFonts w:hint="eastAsia" w:ascii="宋体" w:hAnsi="宋体" w:eastAsia="宋体" w:cs="宋体"/>
                <w:i w:val="0"/>
                <w:iCs w:val="0"/>
                <w:color w:val="000000"/>
                <w:sz w:val="18"/>
                <w:szCs w:val="18"/>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271B5">
            <w:pPr>
              <w:rPr>
                <w:rFonts w:hint="eastAsia" w:ascii="宋体" w:hAnsi="宋体" w:eastAsia="宋体" w:cs="宋体"/>
                <w:i w:val="0"/>
                <w:iCs w:val="0"/>
                <w:color w:val="000000"/>
                <w:sz w:val="18"/>
                <w:szCs w:val="18"/>
                <w:u w:val="none"/>
              </w:rPr>
            </w:pPr>
          </w:p>
        </w:tc>
        <w:tc>
          <w:tcPr>
            <w:tcW w:w="18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00B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严格执行相关政策，保障省级免作业本费及时足额到位，预算编制科学合理，减少结余资金</w:t>
            </w:r>
          </w:p>
        </w:tc>
        <w:tc>
          <w:tcPr>
            <w:tcW w:w="1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9B95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2022年圆满完成年度目标</w:t>
            </w:r>
          </w:p>
        </w:tc>
      </w:tr>
      <w:tr w14:paraId="7601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34ABB">
            <w:pP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52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27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5AE2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按要求，保障作业本费及时足额支付</w:t>
            </w:r>
          </w:p>
        </w:tc>
      </w:tr>
      <w:tr w14:paraId="6F59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62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61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E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E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54A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8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9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78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CA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37C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8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A6B2">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B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6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9B70">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2.87</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C2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B6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9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A65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9270B">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251A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3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E9263">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6D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F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0F20">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2.87</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43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8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7D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C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84750">
            <w:pPr>
              <w:rPr>
                <w:rFonts w:hint="eastAsia" w:ascii="黑体" w:hAnsi="黑体" w:eastAsia="黑体" w:cs="黑体"/>
                <w:i/>
                <w:iCs/>
                <w:color w:val="000000"/>
                <w:sz w:val="18"/>
                <w:szCs w:val="18"/>
                <w:u w:val="none"/>
              </w:rPr>
            </w:pPr>
          </w:p>
        </w:tc>
      </w:tr>
      <w:tr w14:paraId="2051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4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EDE7A">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F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E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6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84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02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1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7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3DD16">
            <w:pPr>
              <w:rPr>
                <w:rFonts w:hint="eastAsia" w:ascii="黑体" w:hAnsi="黑体" w:eastAsia="黑体" w:cs="黑体"/>
                <w:i/>
                <w:iCs/>
                <w:color w:val="000000"/>
                <w:sz w:val="18"/>
                <w:szCs w:val="18"/>
                <w:u w:val="none"/>
              </w:rPr>
            </w:pPr>
          </w:p>
        </w:tc>
      </w:tr>
      <w:tr w14:paraId="4ABB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40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DB340">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3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A6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3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05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4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8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8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AB3EB">
            <w:pPr>
              <w:rPr>
                <w:rFonts w:hint="eastAsia" w:ascii="黑体" w:hAnsi="黑体" w:eastAsia="黑体" w:cs="黑体"/>
                <w:i/>
                <w:iCs/>
                <w:color w:val="000000"/>
                <w:sz w:val="18"/>
                <w:szCs w:val="18"/>
                <w:u w:val="none"/>
              </w:rPr>
            </w:pPr>
          </w:p>
        </w:tc>
      </w:tr>
      <w:tr w14:paraId="0AAD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7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232B9">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9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10A1">
            <w:pPr>
              <w:jc w:val="center"/>
              <w:rPr>
                <w:rFonts w:hint="eastAsia" w:ascii="微软雅黑" w:hAnsi="微软雅黑" w:eastAsia="微软雅黑" w:cs="微软雅黑"/>
                <w:i/>
                <w:iCs/>
                <w:color w:val="000000"/>
                <w:sz w:val="16"/>
                <w:szCs w:val="16"/>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64DD">
            <w:pPr>
              <w:jc w:val="center"/>
              <w:rPr>
                <w:rFonts w:hint="eastAsia" w:ascii="微软雅黑" w:hAnsi="微软雅黑" w:eastAsia="微软雅黑" w:cs="微软雅黑"/>
                <w:i/>
                <w:iCs/>
                <w:color w:val="000000"/>
                <w:sz w:val="16"/>
                <w:szCs w:val="16"/>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73A14">
            <w:pPr>
              <w:jc w:val="center"/>
              <w:rPr>
                <w:rFonts w:hint="eastAsia" w:ascii="微软雅黑" w:hAnsi="微软雅黑" w:eastAsia="微软雅黑" w:cs="微软雅黑"/>
                <w:i/>
                <w:iCs/>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8737">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4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9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197B5">
            <w:pPr>
              <w:rPr>
                <w:rFonts w:hint="eastAsia" w:ascii="黑体" w:hAnsi="黑体" w:eastAsia="黑体" w:cs="黑体"/>
                <w:i/>
                <w:iCs/>
                <w:color w:val="000000"/>
                <w:sz w:val="18"/>
                <w:szCs w:val="18"/>
                <w:u w:val="none"/>
              </w:rPr>
            </w:pPr>
          </w:p>
        </w:tc>
      </w:tr>
      <w:tr w14:paraId="3A47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4B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0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6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1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8A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6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F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7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4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2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6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B24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4EEBA">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77B8">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071B">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41FE">
            <w:pPr>
              <w:jc w:val="center"/>
              <w:rPr>
                <w:rFonts w:hint="eastAsia" w:ascii="宋体" w:hAnsi="宋体" w:eastAsia="宋体" w:cs="宋体"/>
                <w:i w:val="0"/>
                <w:iCs w:val="0"/>
                <w:color w:val="000000"/>
                <w:sz w:val="18"/>
                <w:szCs w:val="18"/>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A20A">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07B24">
            <w:pPr>
              <w:jc w:val="center"/>
              <w:rPr>
                <w:rFonts w:hint="eastAsia" w:ascii="宋体" w:hAnsi="宋体" w:eastAsia="宋体" w:cs="宋体"/>
                <w:i w:val="0"/>
                <w:iCs w:val="0"/>
                <w:color w:val="000000"/>
                <w:sz w:val="18"/>
                <w:szCs w:val="18"/>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514A">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F7DEC">
            <w:pPr>
              <w:jc w:val="center"/>
              <w:rPr>
                <w:rFonts w:hint="eastAsia" w:ascii="微软雅黑" w:hAnsi="微软雅黑" w:eastAsia="微软雅黑" w:cs="微软雅黑"/>
                <w:i/>
                <w:iCs/>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73444">
            <w:pPr>
              <w:jc w:val="center"/>
              <w:rPr>
                <w:rFonts w:hint="eastAsia" w:ascii="宋体" w:hAnsi="宋体" w:eastAsia="宋体" w:cs="宋体"/>
                <w:i w:val="0"/>
                <w:iCs w:val="0"/>
                <w:color w:val="000000"/>
                <w:sz w:val="18"/>
                <w:szCs w:val="18"/>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B78A2">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8D49">
            <w:pPr>
              <w:jc w:val="center"/>
              <w:rPr>
                <w:rFonts w:hint="eastAsia" w:ascii="微软雅黑" w:hAnsi="微软雅黑" w:eastAsia="微软雅黑" w:cs="微软雅黑"/>
                <w:i/>
                <w:iCs/>
                <w:color w:val="000000"/>
                <w:sz w:val="16"/>
                <w:szCs w:val="16"/>
                <w:u w:val="none"/>
              </w:rPr>
            </w:pPr>
          </w:p>
        </w:tc>
      </w:tr>
      <w:tr w14:paraId="3CFA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9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B93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B2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3DB5">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B9E4">
            <w:pPr>
              <w:rPr>
                <w:rFonts w:hint="eastAsia" w:ascii="宋体" w:hAnsi="宋体" w:eastAsia="宋体" w:cs="宋体"/>
                <w:i w:val="0"/>
                <w:iCs w:val="0"/>
                <w:color w:val="000000"/>
                <w:sz w:val="18"/>
                <w:szCs w:val="18"/>
                <w:u w:val="none"/>
              </w:rPr>
            </w:pPr>
          </w:p>
        </w:tc>
      </w:tr>
      <w:tr w14:paraId="73F2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60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DD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D474E3">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本项目已按年初预算调整数执行完毕，项目自评综合得分100分，评价结论为优</w:t>
            </w:r>
          </w:p>
        </w:tc>
      </w:tr>
      <w:tr w14:paraId="072F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E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96C3FF">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无</w:t>
            </w:r>
          </w:p>
        </w:tc>
      </w:tr>
      <w:tr w14:paraId="6153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983" w:type="pct"/>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0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384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5D42A2">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14:paraId="3807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83" w:type="pct"/>
          <w:trHeight w:val="286" w:hRule="atLeast"/>
        </w:trPr>
        <w:tc>
          <w:tcPr>
            <w:tcW w:w="20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0E0B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9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7118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63DDE7B">
      <w:pPr>
        <w:spacing w:line="600" w:lineRule="exact"/>
        <w:jc w:val="center"/>
        <w:outlineLvl w:val="9"/>
        <w:rPr>
          <w:rFonts w:hint="eastAsia" w:ascii="黑体" w:hAnsi="黑体" w:eastAsia="黑体"/>
          <w:color w:val="auto"/>
          <w:sz w:val="44"/>
          <w:szCs w:val="44"/>
          <w:highlight w:val="none"/>
        </w:rPr>
        <w:sectPr>
          <w:footerReference r:id="rId13" w:type="first"/>
          <w:footerReference r:id="rId11" w:type="default"/>
          <w:footerReference r:id="rId12" w:type="even"/>
          <w:type w:val="continuous"/>
          <w:pgSz w:w="16838" w:h="11906" w:orient="landscape"/>
          <w:pgMar w:top="170" w:right="283" w:bottom="170" w:left="283" w:header="0" w:footer="283" w:gutter="0"/>
          <w:pgNumType w:fmt="decimal"/>
          <w:cols w:space="425" w:num="1"/>
          <w:titlePg/>
          <w:docGrid w:type="lines" w:linePitch="312" w:charSpace="0"/>
        </w:sectPr>
      </w:pPr>
    </w:p>
    <w:p w14:paraId="0A466E6B">
      <w:pPr>
        <w:spacing w:line="600" w:lineRule="exact"/>
        <w:jc w:val="center"/>
        <w:outlineLvl w:val="0"/>
        <w:rPr>
          <w:rFonts w:hint="eastAsia" w:ascii="仿宋" w:hAnsi="仿宋" w:eastAsia="仿宋"/>
          <w:b w:val="0"/>
          <w:color w:val="auto"/>
          <w:highlight w:val="none"/>
        </w:rPr>
      </w:pPr>
      <w:bookmarkStart w:id="66" w:name="_Toc2509"/>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64"/>
      <w:bookmarkEnd w:id="65"/>
      <w:bookmarkEnd w:id="66"/>
      <w:bookmarkStart w:id="67" w:name="_Toc15396619"/>
    </w:p>
    <w:p w14:paraId="1237F9C4">
      <w:pPr>
        <w:pStyle w:val="3"/>
        <w:rPr>
          <w:rFonts w:ascii="仿宋" w:hAnsi="仿宋" w:eastAsia="仿宋"/>
          <w:color w:val="auto"/>
          <w:highlight w:val="none"/>
        </w:rPr>
      </w:pPr>
      <w:bookmarkStart w:id="68" w:name="_Toc32470"/>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67"/>
      <w:bookmarkEnd w:id="68"/>
    </w:p>
    <w:p w14:paraId="278D9D1A">
      <w:pPr>
        <w:pStyle w:val="3"/>
        <w:rPr>
          <w:rFonts w:ascii="仿宋" w:hAnsi="仿宋" w:eastAsia="仿宋"/>
          <w:color w:val="auto"/>
          <w:highlight w:val="none"/>
        </w:rPr>
      </w:pPr>
      <w:bookmarkStart w:id="69" w:name="_Toc15396620"/>
      <w:bookmarkStart w:id="70" w:name="_Toc24419"/>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69"/>
      <w:bookmarkEnd w:id="70"/>
    </w:p>
    <w:p w14:paraId="1D2741C7">
      <w:pPr>
        <w:pStyle w:val="3"/>
        <w:rPr>
          <w:rFonts w:ascii="仿宋" w:hAnsi="仿宋" w:eastAsia="仿宋"/>
          <w:color w:val="auto"/>
          <w:highlight w:val="none"/>
        </w:rPr>
      </w:pPr>
      <w:bookmarkStart w:id="71" w:name="_Toc15396621"/>
      <w:bookmarkStart w:id="72" w:name="_Toc25266"/>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71"/>
      <w:bookmarkEnd w:id="72"/>
    </w:p>
    <w:p w14:paraId="00ADB94F">
      <w:pPr>
        <w:pStyle w:val="3"/>
        <w:rPr>
          <w:rFonts w:ascii="仿宋" w:hAnsi="仿宋" w:eastAsia="仿宋"/>
          <w:b w:val="0"/>
          <w:color w:val="auto"/>
          <w:highlight w:val="none"/>
        </w:rPr>
      </w:pPr>
      <w:bookmarkStart w:id="73" w:name="_Toc32271"/>
      <w:bookmarkStart w:id="74"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73"/>
      <w:bookmarkEnd w:id="74"/>
    </w:p>
    <w:p w14:paraId="5F3FC45B">
      <w:pPr>
        <w:pStyle w:val="3"/>
        <w:rPr>
          <w:rStyle w:val="25"/>
          <w:rFonts w:ascii="仿宋" w:hAnsi="仿宋" w:eastAsia="仿宋"/>
          <w:b w:val="0"/>
          <w:bCs w:val="0"/>
          <w:color w:val="auto"/>
          <w:highlight w:val="none"/>
        </w:rPr>
      </w:pPr>
      <w:bookmarkStart w:id="75" w:name="_Toc15396623"/>
      <w:bookmarkStart w:id="76" w:name="_Toc16267"/>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75"/>
      <w:bookmarkEnd w:id="76"/>
      <w:bookmarkStart w:id="77" w:name="_Toc15396624"/>
    </w:p>
    <w:p w14:paraId="6DBE3976">
      <w:pPr>
        <w:pStyle w:val="3"/>
        <w:rPr>
          <w:rFonts w:ascii="仿宋" w:hAnsi="仿宋" w:eastAsia="仿宋"/>
          <w:color w:val="auto"/>
          <w:highlight w:val="none"/>
        </w:rPr>
      </w:pPr>
      <w:bookmarkStart w:id="78" w:name="_Toc30225"/>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77"/>
      <w:bookmarkEnd w:id="78"/>
    </w:p>
    <w:p w14:paraId="32BB2072">
      <w:pPr>
        <w:pStyle w:val="3"/>
        <w:rPr>
          <w:rFonts w:ascii="仿宋" w:hAnsi="仿宋" w:eastAsia="仿宋"/>
          <w:color w:val="auto"/>
          <w:highlight w:val="none"/>
        </w:rPr>
      </w:pPr>
      <w:bookmarkStart w:id="79" w:name="_Toc15396625"/>
      <w:bookmarkStart w:id="80" w:name="_Toc1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79"/>
      <w:bookmarkEnd w:id="80"/>
    </w:p>
    <w:p w14:paraId="6DF6F936">
      <w:pPr>
        <w:pStyle w:val="3"/>
        <w:rPr>
          <w:rFonts w:ascii="仿宋" w:hAnsi="仿宋" w:eastAsia="仿宋"/>
          <w:color w:val="auto"/>
          <w:highlight w:val="none"/>
        </w:rPr>
      </w:pPr>
      <w:bookmarkStart w:id="81" w:name="_Toc15396626"/>
      <w:bookmarkStart w:id="82" w:name="_Toc14957"/>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81"/>
      <w:bookmarkEnd w:id="82"/>
    </w:p>
    <w:p w14:paraId="000D04D6">
      <w:pPr>
        <w:pStyle w:val="3"/>
        <w:rPr>
          <w:rFonts w:ascii="仿宋" w:hAnsi="仿宋" w:eastAsia="仿宋"/>
          <w:color w:val="auto"/>
          <w:highlight w:val="none"/>
        </w:rPr>
      </w:pPr>
      <w:bookmarkStart w:id="83" w:name="_Toc15396627"/>
      <w:bookmarkStart w:id="84" w:name="_Toc6004"/>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83"/>
      <w:bookmarkEnd w:id="84"/>
    </w:p>
    <w:p w14:paraId="79C97776">
      <w:pPr>
        <w:pStyle w:val="3"/>
        <w:rPr>
          <w:rFonts w:ascii="仿宋" w:hAnsi="仿宋" w:eastAsia="仿宋"/>
          <w:color w:val="auto"/>
          <w:highlight w:val="none"/>
        </w:rPr>
      </w:pPr>
      <w:bookmarkStart w:id="85" w:name="_Toc15396628"/>
      <w:bookmarkStart w:id="86" w:name="_Toc23688"/>
      <w:r>
        <w:rPr>
          <w:rStyle w:val="25"/>
          <w:rFonts w:hint="eastAsia" w:ascii="仿宋" w:hAnsi="仿宋" w:eastAsia="仿宋"/>
          <w:b w:val="0"/>
          <w:bCs w:val="0"/>
          <w:color w:val="auto"/>
          <w:highlight w:val="none"/>
        </w:rPr>
        <w:t>十、</w:t>
      </w:r>
      <w:bookmarkEnd w:id="85"/>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86"/>
    </w:p>
    <w:p w14:paraId="2471B02C">
      <w:pPr>
        <w:pStyle w:val="3"/>
        <w:rPr>
          <w:rFonts w:ascii="仿宋" w:hAnsi="仿宋" w:eastAsia="仿宋"/>
          <w:color w:val="auto"/>
          <w:highlight w:val="none"/>
        </w:rPr>
      </w:pPr>
      <w:bookmarkStart w:id="87" w:name="_Toc15396629"/>
      <w:bookmarkStart w:id="88" w:name="_Toc17086"/>
      <w:r>
        <w:rPr>
          <w:rStyle w:val="25"/>
          <w:rFonts w:hint="eastAsia" w:ascii="仿宋" w:hAnsi="仿宋" w:eastAsia="仿宋"/>
          <w:b w:val="0"/>
          <w:bCs w:val="0"/>
          <w:color w:val="auto"/>
          <w:highlight w:val="none"/>
        </w:rPr>
        <w:t>十一、</w:t>
      </w:r>
      <w:bookmarkEnd w:id="87"/>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88"/>
    </w:p>
    <w:p w14:paraId="670A8BF3">
      <w:pPr>
        <w:pStyle w:val="3"/>
        <w:rPr>
          <w:rFonts w:ascii="仿宋" w:hAnsi="仿宋" w:eastAsia="仿宋"/>
          <w:color w:val="auto"/>
          <w:highlight w:val="none"/>
        </w:rPr>
      </w:pPr>
      <w:bookmarkStart w:id="89" w:name="_Toc15396630"/>
      <w:bookmarkStart w:id="90" w:name="_Toc20980"/>
      <w:r>
        <w:rPr>
          <w:rStyle w:val="25"/>
          <w:rFonts w:hint="eastAsia" w:ascii="仿宋" w:hAnsi="仿宋" w:eastAsia="仿宋"/>
          <w:b w:val="0"/>
          <w:bCs w:val="0"/>
          <w:color w:val="auto"/>
          <w:highlight w:val="none"/>
        </w:rPr>
        <w:t>十二、</w:t>
      </w:r>
      <w:bookmarkEnd w:id="89"/>
      <w:r>
        <w:rPr>
          <w:rStyle w:val="25"/>
          <w:rFonts w:hint="eastAsia" w:ascii="仿宋" w:hAnsi="仿宋" w:eastAsia="仿宋"/>
          <w:b w:val="0"/>
          <w:bCs w:val="0"/>
          <w:color w:val="auto"/>
          <w:highlight w:val="none"/>
          <w:lang w:eastAsia="zh-CN"/>
        </w:rPr>
        <w:t>国有资本经营预算财政拨款支出决算表</w:t>
      </w:r>
      <w:bookmarkEnd w:id="90"/>
    </w:p>
    <w:p w14:paraId="0FAA6F0B">
      <w:pPr>
        <w:pStyle w:val="3"/>
        <w:rPr>
          <w:rFonts w:hint="eastAsia" w:eastAsia="仿宋"/>
          <w:color w:val="auto"/>
          <w:highlight w:val="none"/>
          <w:lang w:eastAsia="zh-CN"/>
        </w:rPr>
      </w:pPr>
      <w:bookmarkStart w:id="91" w:name="_Toc15396631"/>
      <w:bookmarkStart w:id="92" w:name="_Toc30780"/>
      <w:r>
        <w:rPr>
          <w:rStyle w:val="25"/>
          <w:rFonts w:hint="eastAsia" w:ascii="仿宋" w:hAnsi="仿宋" w:eastAsia="仿宋"/>
          <w:b w:val="0"/>
          <w:bCs w:val="0"/>
          <w:color w:val="auto"/>
          <w:highlight w:val="none"/>
        </w:rPr>
        <w:t>十三、</w:t>
      </w:r>
      <w:bookmarkEnd w:id="91"/>
      <w:r>
        <w:rPr>
          <w:rStyle w:val="25"/>
          <w:rFonts w:hint="eastAsia" w:ascii="仿宋" w:hAnsi="仿宋" w:eastAsia="仿宋"/>
          <w:b w:val="0"/>
          <w:bCs w:val="0"/>
          <w:color w:val="auto"/>
          <w:highlight w:val="none"/>
          <w:lang w:eastAsia="zh-CN"/>
        </w:rPr>
        <w:t>财政拨款“三公”经费支出决算表</w:t>
      </w:r>
      <w:bookmarkEnd w:id="92"/>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Impact">
    <w:panose1 w:val="020B0806030902050204"/>
    <w:charset w:val="00"/>
    <w:family w:val="auto"/>
    <w:pitch w:val="default"/>
    <w:sig w:usb0="00000287" w:usb1="00000000" w:usb2="00000000" w:usb3="00000000" w:csb0="2000009F" w:csb1="DFD70000"/>
  </w:font>
  <w:font w:name="汉仪旗黑-55简">
    <w:altName w:val="黑体"/>
    <w:panose1 w:val="00020600040101010101"/>
    <w:charset w:val="8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150D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9927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F9927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7A85D">
    <w:pPr>
      <w:pStyle w:val="8"/>
      <w:tabs>
        <w:tab w:val="clear" w:pos="4153"/>
      </w:tabs>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80AC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D680AC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6A7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154AD">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B38E">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0D6B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710D6B6">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4E60812B">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2CF31">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339EF">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FE339EF">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EF04">
    <w:pPr>
      <w:pStyle w:val="8"/>
      <w:tabs>
        <w:tab w:val="clear" w:pos="4153"/>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C252">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0E2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EC0E20">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1F189352">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5648B">
    <w:pPr>
      <w:pStyle w:val="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9A67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039A671">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2B2BACE4">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423D">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55BB6">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1055BB6">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0591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jczYmQxNTI0OTg1NmI3MGY0ZGFiNzFmYjlmO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61C1D"/>
    <w:rsid w:val="041C2C29"/>
    <w:rsid w:val="053A62B5"/>
    <w:rsid w:val="054C4FBD"/>
    <w:rsid w:val="0A2032A3"/>
    <w:rsid w:val="0B3A20D5"/>
    <w:rsid w:val="0B737140"/>
    <w:rsid w:val="0B8A37D8"/>
    <w:rsid w:val="0F334EAC"/>
    <w:rsid w:val="0F637889"/>
    <w:rsid w:val="0F925EEB"/>
    <w:rsid w:val="10C055FF"/>
    <w:rsid w:val="114E16FB"/>
    <w:rsid w:val="118107EC"/>
    <w:rsid w:val="11DD6519"/>
    <w:rsid w:val="15762E55"/>
    <w:rsid w:val="167A6707"/>
    <w:rsid w:val="16BB723D"/>
    <w:rsid w:val="18015F3F"/>
    <w:rsid w:val="196A6700"/>
    <w:rsid w:val="1A7C279A"/>
    <w:rsid w:val="1B8C728C"/>
    <w:rsid w:val="1BE8440E"/>
    <w:rsid w:val="1CF736B7"/>
    <w:rsid w:val="1D155CEE"/>
    <w:rsid w:val="20F57F95"/>
    <w:rsid w:val="21267BA9"/>
    <w:rsid w:val="240371BF"/>
    <w:rsid w:val="25711CC6"/>
    <w:rsid w:val="25C741E6"/>
    <w:rsid w:val="27841080"/>
    <w:rsid w:val="27842671"/>
    <w:rsid w:val="29FD04D3"/>
    <w:rsid w:val="2A1F4B82"/>
    <w:rsid w:val="2ABE7A3E"/>
    <w:rsid w:val="2C9327C1"/>
    <w:rsid w:val="2CA234A8"/>
    <w:rsid w:val="2EE06D87"/>
    <w:rsid w:val="2EFA178C"/>
    <w:rsid w:val="2F7C1A49"/>
    <w:rsid w:val="30B46D73"/>
    <w:rsid w:val="319F7F4E"/>
    <w:rsid w:val="348C0916"/>
    <w:rsid w:val="36840181"/>
    <w:rsid w:val="383D272C"/>
    <w:rsid w:val="398E0DAD"/>
    <w:rsid w:val="39AE70AB"/>
    <w:rsid w:val="3A8076E9"/>
    <w:rsid w:val="3C0C0783"/>
    <w:rsid w:val="3CE92E14"/>
    <w:rsid w:val="3F985AE8"/>
    <w:rsid w:val="3F9F3A96"/>
    <w:rsid w:val="415E2DE0"/>
    <w:rsid w:val="48BF60AB"/>
    <w:rsid w:val="493C27E9"/>
    <w:rsid w:val="496F39ED"/>
    <w:rsid w:val="49FF41D3"/>
    <w:rsid w:val="4B10121A"/>
    <w:rsid w:val="4BE068DB"/>
    <w:rsid w:val="4BF6002B"/>
    <w:rsid w:val="4ECE2238"/>
    <w:rsid w:val="51DB4B86"/>
    <w:rsid w:val="5330470F"/>
    <w:rsid w:val="55333C3E"/>
    <w:rsid w:val="55EC081B"/>
    <w:rsid w:val="5851106D"/>
    <w:rsid w:val="58F741AB"/>
    <w:rsid w:val="593F3EEA"/>
    <w:rsid w:val="5A694636"/>
    <w:rsid w:val="5D9C768E"/>
    <w:rsid w:val="5E544934"/>
    <w:rsid w:val="5E66416D"/>
    <w:rsid w:val="5FD262E2"/>
    <w:rsid w:val="61215103"/>
    <w:rsid w:val="64CA39A1"/>
    <w:rsid w:val="68190258"/>
    <w:rsid w:val="69630ADE"/>
    <w:rsid w:val="6B2C02A3"/>
    <w:rsid w:val="6B97603B"/>
    <w:rsid w:val="6C4A05C8"/>
    <w:rsid w:val="6D3B1A89"/>
    <w:rsid w:val="6D5D2D46"/>
    <w:rsid w:val="6D852818"/>
    <w:rsid w:val="71BF4EC2"/>
    <w:rsid w:val="72734D90"/>
    <w:rsid w:val="7412278C"/>
    <w:rsid w:val="750C4BED"/>
    <w:rsid w:val="76A533C5"/>
    <w:rsid w:val="78381AC2"/>
    <w:rsid w:val="79670D4F"/>
    <w:rsid w:val="79E7B28D"/>
    <w:rsid w:val="7CE53111"/>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7" Type="http://schemas.microsoft.com/office/2011/relationships/chartColorStyle" Target="colors3.xml"/><Relationship Id="rId6" Type="http://schemas.microsoft.com/office/2011/relationships/chartStyle" Target="style3.xml"/><Relationship Id="rId5" Type="http://schemas.openxmlformats.org/officeDocument/2006/relationships/image" Target="../media/image6.png"/><Relationship Id="rId4" Type="http://schemas.openxmlformats.org/officeDocument/2006/relationships/image" Target="../media/image5.png"/><Relationship Id="rId3" Type="http://schemas.openxmlformats.org/officeDocument/2006/relationships/image" Target="../media/image4.png"/><Relationship Id="rId2" Type="http://schemas.openxmlformats.org/officeDocument/2006/relationships/themeOverride" Target="../theme/themeOverride5.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image" Target="../media/image1.png"/><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6" Type="http://schemas.microsoft.com/office/2011/relationships/chartColorStyle" Target="colors2.xml"/><Relationship Id="rId5" Type="http://schemas.microsoft.com/office/2011/relationships/chartStyle" Target="style2.xml"/><Relationship Id="rId4" Type="http://schemas.openxmlformats.org/officeDocument/2006/relationships/image" Target="../media/image3.png"/><Relationship Id="rId3" Type="http://schemas.openxmlformats.org/officeDocument/2006/relationships/image" Target="../media/image2.png"/><Relationship Id="rId2" Type="http://schemas.openxmlformats.org/officeDocument/2006/relationships/themeOverride" Target="../theme/themeOverride3.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收、支决算总计变动情况图</a:t>
            </a:r>
          </a:p>
        </c:rich>
      </c:tx>
      <c:layout/>
      <c:overlay val="0"/>
      <c:spPr>
        <a:noFill/>
        <a:ln>
          <a:noFill/>
        </a:ln>
        <a:effectLst/>
      </c:spPr>
    </c:title>
    <c:autoTitleDeleted val="0"/>
    <c:plotArea>
      <c:layout>
        <c:manualLayout>
          <c:layoutTarget val="inner"/>
          <c:xMode val="edge"/>
          <c:yMode val="edge"/>
          <c:x val="0.0546119675986412"/>
          <c:y val="0.301928618931501"/>
          <c:w val="0.912725372354324"/>
          <c:h val="0.592861893150078"/>
        </c:manualLayout>
      </c:layout>
      <c:barChart>
        <c:barDir val="col"/>
        <c:grouping val="clustered"/>
        <c:varyColors val="0"/>
        <c:ser>
          <c:idx val="0"/>
          <c:order val="0"/>
          <c:tx>
            <c:strRef>
              <c:f>[工作簿1]Sheet1!$B$1</c:f>
              <c:strCache>
                <c:ptCount val="1"/>
                <c:pt idx="0">
                  <c:v>收入</c:v>
                </c:pt>
              </c:strCache>
            </c:strRef>
          </c:tx>
          <c:spPr>
            <a:blipFill rotWithShape="1">
              <a:blip xmlns:r="http://schemas.openxmlformats.org/officeDocument/2006/relationships" r:embed="rId3"/>
              <a:stretch>
                <a:fillRect/>
              </a:stretch>
            </a:blipFill>
            <a:ln>
              <a:noFill/>
            </a:ln>
            <a:effectLst>
              <a:outerShdw blurRad="76200" dir="2400000" sy="23000" kx="-1200000" algn="bl" rotWithShape="0">
                <a:schemeClr val="bg1">
                  <a:lumMod val="50000"/>
                  <a:alpha val="20000"/>
                </a:schemeClr>
              </a:outerShdw>
            </a:effectLst>
          </c:spPr>
          <c:invertIfNegative val="0"/>
          <c:dPt>
            <c:idx val="0"/>
            <c:invertIfNegative val="0"/>
            <c:bubble3D val="0"/>
            <c:spPr>
              <a:blipFill rotWithShape="1">
                <a:blip xmlns:r="http://schemas.openxmlformats.org/officeDocument/2006/relationships" r:embed="rId4"/>
                <a:stretch>
                  <a:fillRect/>
                </a:stretch>
              </a:blipFill>
              <a:ln>
                <a:noFill/>
              </a:ln>
              <a:effectLst>
                <a:outerShdw blurRad="76200" dir="2400000" sy="23000" kx="-1200000" algn="bl" rotWithShape="0">
                  <a:schemeClr val="bg1">
                    <a:lumMod val="50000"/>
                    <a:alpha val="20000"/>
                  </a:schemeClr>
                </a:outerShdw>
              </a:effectLst>
            </c:spPr>
          </c:dPt>
          <c:dPt>
            <c:idx val="1"/>
            <c:invertIfNegative val="0"/>
            <c:bubble3D val="0"/>
            <c:spPr>
              <a:blipFill rotWithShape="1">
                <a:blip xmlns:r="http://schemas.openxmlformats.org/officeDocument/2006/relationships" r:embed="rId5"/>
                <a:stretch>
                  <a:fillRect/>
                </a:stretch>
              </a:blipFill>
              <a:ln>
                <a:noFill/>
              </a:ln>
              <a:effectLst>
                <a:outerShdw blurRad="76200" dir="2400000" sy="23000" kx="-1200000" algn="bl" rotWithShape="0">
                  <a:schemeClr val="bg1">
                    <a:lumMod val="50000"/>
                    <a:alpha val="20000"/>
                  </a:schemeClr>
                </a:outerShdw>
              </a:effectLst>
            </c:spPr>
          </c:dPt>
          <c:dLbls>
            <c:dLbl>
              <c:idx val="0"/>
              <c:layout/>
              <c:numFmt formatCode="General" sourceLinked="1"/>
              <c:spPr>
                <a:solidFill>
                  <a:srgbClr val="08B0C5"/>
                </a:solidFill>
                <a:ln>
                  <a:noFill/>
                </a:ln>
                <a:effectLst/>
              </c:spPr>
              <c:txPr>
                <a:bodyPr rot="0" spcFirstLastPara="0" vertOverflow="ellipsis" vert="horz" wrap="square" lIns="107950" tIns="19050" rIns="10795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solidFill>
                  <a:srgbClr val="FAC295"/>
                </a:solidFill>
                <a:ln>
                  <a:noFill/>
                </a:ln>
                <a:effectLst/>
              </c:spPr>
              <c:txPr>
                <a:bodyPr rot="0" spcFirstLastPara="0" vertOverflow="ellipsis" vert="horz" wrap="square" lIns="107950" tIns="19050" rIns="10795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107950" tIns="19050" rIns="10795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[工作簿1]Sheet1!$A$2:$A$3</c:f>
              <c:strCache>
                <c:ptCount val="2"/>
                <c:pt idx="0">
                  <c:v>2022年</c:v>
                </c:pt>
                <c:pt idx="1">
                  <c:v>2021年</c:v>
                </c:pt>
              </c:strCache>
            </c:strRef>
          </c:cat>
          <c:val>
            <c:numRef>
              <c:f>[工作簿1]Sheet1!$B$2:$B$3</c:f>
              <c:numCache>
                <c:formatCode>General</c:formatCode>
                <c:ptCount val="2"/>
                <c:pt idx="0">
                  <c:v>6893.05</c:v>
                </c:pt>
                <c:pt idx="1">
                  <c:v>7020.5</c:v>
                </c:pt>
              </c:numCache>
            </c:numRef>
          </c:val>
        </c:ser>
        <c:dLbls>
          <c:showLegendKey val="0"/>
          <c:showVal val="1"/>
          <c:showCatName val="0"/>
          <c:showSerName val="0"/>
          <c:showPercent val="0"/>
          <c:showBubbleSize val="0"/>
        </c:dLbls>
        <c:gapWidth val="128"/>
        <c:overlap val="-27"/>
        <c:axId val="810781181"/>
        <c:axId val="282523380"/>
      </c:barChart>
      <c:catAx>
        <c:axId val="810781181"/>
        <c:scaling>
          <c:orientation val="minMax"/>
        </c:scaling>
        <c:delete val="0"/>
        <c:axPos val="b"/>
        <c:majorGridlines>
          <c:spPr>
            <a:ln w="3175" cap="flat" cmpd="sng" algn="ctr">
              <a:solidFill>
                <a:schemeClr val="bg1">
                  <a:lumMod val="9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82523380"/>
        <c:crosses val="autoZero"/>
        <c:auto val="1"/>
        <c:lblAlgn val="ctr"/>
        <c:lblOffset val="100"/>
        <c:noMultiLvlLbl val="0"/>
      </c:catAx>
      <c:valAx>
        <c:axId val="28252338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0781181"/>
        <c:crosses val="autoZero"/>
        <c:crossBetween val="between"/>
      </c:valAx>
      <c:spPr>
        <a:noFill/>
        <a:ln w="3175">
          <a:solidFill>
            <a:schemeClr val="bg1">
              <a:lumMod val="95000"/>
            </a:schemeClr>
          </a:solid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7ceec5b6-5ec3-42e7-a106-ed237ec3b87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manualLayout>
          <c:xMode val="edge"/>
          <c:yMode val="edge"/>
          <c:x val="0.356842105263158"/>
          <c:y val="0.03125"/>
        </c:manualLayout>
      </c:layout>
      <c:overlay val="0"/>
      <c:spPr>
        <a:noFill/>
        <a:ln>
          <a:noFill/>
        </a:ln>
        <a:effectLst/>
      </c:spPr>
    </c:title>
    <c:autoTitleDeleted val="0"/>
    <c:plotArea>
      <c:layout/>
      <c:pieChart>
        <c:varyColors val="1"/>
        <c:ser>
          <c:idx val="0"/>
          <c:order val="0"/>
          <c:tx>
            <c:strRef>
              <c:f>[工作簿1]Sheet1!$B$1</c:f>
              <c:strCache>
                <c:ptCount val="1"/>
                <c:pt idx="0">
                  <c:v>金额</c:v>
                </c:pt>
              </c:strCache>
            </c:strRef>
          </c:tx>
          <c:spPr>
            <a:solidFill>
              <a:schemeClr val="bg1">
                <a:lumMod val="75000"/>
              </a:schemeClr>
            </a:solidFill>
          </c:spPr>
          <c:explosion val="0"/>
          <c:dPt>
            <c:idx val="0"/>
            <c:bubble3D val="0"/>
            <c:spPr>
              <a:gradFill>
                <a:gsLst>
                  <a:gs pos="50000">
                    <a:srgbClr val="B9E5ED"/>
                  </a:gs>
                  <a:gs pos="0">
                    <a:srgbClr val="CFECF1"/>
                  </a:gs>
                  <a:gs pos="100000">
                    <a:srgbClr val="A3DDE8"/>
                  </a:gs>
                </a:gsLst>
                <a:lin ang="5400000" scaled="1"/>
              </a:gradFill>
              <a:ln>
                <a:solidFill>
                  <a:schemeClr val="bg1"/>
                </a:solidFill>
              </a:ln>
              <a:effectLst/>
            </c:spPr>
          </c:dPt>
          <c:dPt>
            <c:idx val="1"/>
            <c:bubble3D val="0"/>
            <c:spPr>
              <a:solidFill>
                <a:schemeClr val="bg1">
                  <a:lumMod val="75000"/>
                </a:schemeClr>
              </a:solidFill>
              <a:ln>
                <a:solidFill>
                  <a:schemeClr val="bg1"/>
                </a:solidFill>
              </a:ln>
              <a:effectLst/>
            </c:spPr>
          </c:dPt>
          <c:dPt>
            <c:idx val="2"/>
            <c:bubble3D val="0"/>
            <c:spPr>
              <a:solidFill>
                <a:schemeClr val="bg1">
                  <a:lumMod val="75000"/>
                </a:schemeClr>
              </a:solidFill>
              <a:ln>
                <a:solidFill>
                  <a:schemeClr val="bg1"/>
                </a:solidFill>
              </a:ln>
              <a:effectLst/>
            </c:spPr>
          </c:dPt>
          <c:dPt>
            <c:idx val="3"/>
            <c:bubble3D val="0"/>
            <c:spPr>
              <a:solidFill>
                <a:schemeClr val="bg1">
                  <a:lumMod val="75000"/>
                </a:schemeClr>
              </a:solidFill>
              <a:ln>
                <a:solidFill>
                  <a:schemeClr val="bg1"/>
                </a:solidFill>
              </a:ln>
              <a:effectLst/>
            </c:spPr>
          </c:dPt>
          <c:dPt>
            <c:idx val="4"/>
            <c:bubble3D val="0"/>
            <c:spPr>
              <a:solidFill>
                <a:schemeClr val="bg1">
                  <a:lumMod val="75000"/>
                </a:schemeClr>
              </a:solidFill>
              <a:ln>
                <a:solidFill>
                  <a:schemeClr val="bg1"/>
                </a:solidFill>
              </a:ln>
              <a:effectLst/>
            </c:spPr>
          </c:dPt>
          <c:dPt>
            <c:idx val="5"/>
            <c:bubble3D val="0"/>
            <c:spPr>
              <a:solidFill>
                <a:schemeClr val="bg1">
                  <a:lumMod val="75000"/>
                </a:schemeClr>
              </a:solidFill>
              <a:ln>
                <a:solidFill>
                  <a:schemeClr val="bg1"/>
                </a:solidFill>
              </a:ln>
              <a:effectLst/>
            </c:spPr>
          </c:dPt>
          <c:dPt>
            <c:idx val="6"/>
            <c:bubble3D val="0"/>
            <c:spPr>
              <a:solidFill>
                <a:schemeClr val="bg1">
                  <a:lumMod val="75000"/>
                </a:schemeClr>
              </a:solidFill>
              <a:ln>
                <a:solidFill>
                  <a:schemeClr val="bg1"/>
                </a:solidFill>
              </a:ln>
              <a:effectLst/>
            </c:spPr>
          </c:dPt>
          <c:dPt>
            <c:idx val="7"/>
            <c:bubble3D val="0"/>
            <c:spPr>
              <a:solidFill>
                <a:schemeClr val="bg1">
                  <a:lumMod val="75000"/>
                </a:schemeClr>
              </a:solidFill>
              <a:ln>
                <a:solidFill>
                  <a:schemeClr val="bg1"/>
                </a:solidFill>
              </a:ln>
              <a:effectLst/>
            </c:spPr>
          </c:dPt>
          <c:dPt>
            <c:idx val="8"/>
            <c:bubble3D val="0"/>
            <c:spPr>
              <a:solidFill>
                <a:schemeClr val="tx2">
                  <a:lumMod val="40000"/>
                  <a:lumOff val="60000"/>
                </a:schemeClr>
              </a:solidFill>
              <a:ln>
                <a:solidFill>
                  <a:schemeClr val="bg1"/>
                </a:solidFill>
              </a:ln>
              <a:effectLst/>
            </c:spPr>
          </c:dPt>
          <c:dLbls>
            <c:delete val="1"/>
          </c:dLbls>
          <c:cat>
            <c:strRef>
              <c:f>[工作簿1]Sheet1!$A$2:$A$10</c:f>
              <c:strCache>
                <c:ptCount val="9"/>
                <c:pt idx="0">
                  <c:v>一般公共预算财政拨款收入</c:v>
                </c:pt>
                <c:pt idx="1">
                  <c:v>政府性基金预算</c:v>
                </c:pt>
                <c:pt idx="2">
                  <c:v>政拨款收</c:v>
                </c:pt>
                <c:pt idx="3">
                  <c:v>国有资本经营预算</c:v>
                </c:pt>
                <c:pt idx="4">
                  <c:v>上级补助收入</c:v>
                </c:pt>
                <c:pt idx="5">
                  <c:v>事业收入</c:v>
                </c:pt>
                <c:pt idx="6">
                  <c:v>经营收入</c:v>
                </c:pt>
                <c:pt idx="7">
                  <c:v>附属单位上缴收入</c:v>
                </c:pt>
                <c:pt idx="8">
                  <c:v>其他收入</c:v>
                </c:pt>
              </c:strCache>
            </c:strRef>
          </c:cat>
          <c:val>
            <c:numRef>
              <c:f>[工作簿1]Sheet1!$B$2:$B$10</c:f>
              <c:numCache>
                <c:formatCode>General</c:formatCode>
                <c:ptCount val="9"/>
                <c:pt idx="0">
                  <c:v>6893.05</c:v>
                </c:pt>
                <c:pt idx="1">
                  <c:v>0</c:v>
                </c:pt>
                <c:pt idx="2">
                  <c:v>0</c:v>
                </c:pt>
                <c:pt idx="3">
                  <c:v>0</c:v>
                </c:pt>
                <c:pt idx="4">
                  <c:v>0</c:v>
                </c:pt>
                <c:pt idx="5">
                  <c:v>0</c:v>
                </c:pt>
                <c:pt idx="6">
                  <c:v>0</c:v>
                </c:pt>
                <c:pt idx="7">
                  <c:v>0</c:v>
                </c:pt>
                <c:pt idx="8">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ae30605-de5d-4e08-aaf5-0bd02512c00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支出决算结构图</a:t>
            </a:r>
          </a:p>
        </c:rich>
      </c:tx>
      <c:layout/>
      <c:overlay val="0"/>
      <c:spPr>
        <a:noFill/>
        <a:ln>
          <a:noFill/>
        </a:ln>
        <a:effectLst/>
      </c:spPr>
    </c:title>
    <c:autoTitleDeleted val="0"/>
    <c:view3D>
      <c:rotX val="25"/>
      <c:rotY val="0"/>
      <c:depthPercent val="100"/>
      <c:rAngAx val="0"/>
      <c:perspective val="20"/>
    </c:view3D>
    <c:floor>
      <c:thickness val="0"/>
    </c:floor>
    <c:sideWall>
      <c:thickness val="0"/>
    </c:sideWall>
    <c:backWall>
      <c:thickness val="0"/>
    </c:backWall>
    <c:plotArea>
      <c:layout/>
      <c:pie3DChart>
        <c:varyColors val="1"/>
        <c:ser>
          <c:idx val="0"/>
          <c:order val="0"/>
          <c:tx>
            <c:strRef>
              <c:f>[工作簿1]Sheet1!$B$1</c:f>
              <c:strCache>
                <c:ptCount val="1"/>
                <c:pt idx="0">
                  <c:v>金额</c:v>
                </c:pt>
              </c:strCache>
            </c:strRef>
          </c:tx>
          <c:spPr>
            <a:ln w="15875" cmpd="sng">
              <a:solidFill>
                <a:schemeClr val="bg1"/>
              </a:solidFill>
              <a:prstDash val="solid"/>
            </a:ln>
            <a:effectLst/>
            <a:scene3d>
              <a:camera prst="orthographicFront"/>
              <a:lightRig rig="threePt" dir="t"/>
            </a:scene3d>
            <a:sp3d contourW="15875" prstMaterial="flat"/>
          </c:spPr>
          <c:explosion val="0"/>
          <c:dPt>
            <c:idx val="0"/>
            <c:bubble3D val="0"/>
            <c:spPr>
              <a:solidFill>
                <a:srgbClr val="4874CB">
                  <a:lumMod val="60000"/>
                  <a:lumOff val="40000"/>
                </a:srgbClr>
              </a:solidFill>
              <a:ln w="15875" cmpd="sng">
                <a:solidFill>
                  <a:schemeClr val="accent1">
                    <a:lumMod val="75000"/>
                  </a:schemeClr>
                </a:solidFill>
                <a:prstDash val="solid"/>
              </a:ln>
              <a:effectLst/>
              <a:scene3d>
                <a:camera prst="orthographicFront"/>
                <a:lightRig rig="threePt" dir="t"/>
              </a:scene3d>
              <a:sp3d contourW="15875" prstMaterial="flat"/>
            </c:spPr>
          </c:dPt>
          <c:dPt>
            <c:idx val="1"/>
            <c:bubble3D val="0"/>
            <c:explosion val="22"/>
            <c:spPr>
              <a:gradFill>
                <a:gsLst>
                  <a:gs pos="0">
                    <a:schemeClr val="accent2">
                      <a:lumMod val="60000"/>
                      <a:lumOff val="40000"/>
                    </a:schemeClr>
                  </a:gs>
                  <a:gs pos="94000">
                    <a:schemeClr val="accent2"/>
                  </a:gs>
                </a:gsLst>
                <a:lin ang="13500000" scaled="0"/>
              </a:gradFill>
              <a:ln w="15875" cmpd="sng">
                <a:solidFill>
                  <a:schemeClr val="accent2">
                    <a:lumMod val="75000"/>
                  </a:schemeClr>
                </a:solidFill>
                <a:prstDash val="solid"/>
              </a:ln>
              <a:effectLst/>
              <a:scene3d>
                <a:camera prst="orthographicFront"/>
                <a:lightRig rig="threePt" dir="t"/>
              </a:scene3d>
              <a:sp3d contourW="15875" prstMaterial="flat"/>
            </c:spPr>
          </c:dPt>
          <c:dPt>
            <c:idx val="2"/>
            <c:bubble3D val="0"/>
            <c:spPr>
              <a:gradFill>
                <a:gsLst>
                  <a:gs pos="0">
                    <a:schemeClr val="accent3">
                      <a:lumMod val="60000"/>
                      <a:lumOff val="40000"/>
                    </a:schemeClr>
                  </a:gs>
                  <a:gs pos="70000">
                    <a:schemeClr val="accent3"/>
                  </a:gs>
                </a:gsLst>
                <a:lin ang="13500000" scaled="0"/>
              </a:gradFill>
              <a:ln w="15875" cmpd="sng">
                <a:solidFill>
                  <a:schemeClr val="accent3">
                    <a:lumMod val="75000"/>
                  </a:schemeClr>
                </a:solidFill>
                <a:prstDash val="solid"/>
              </a:ln>
              <a:effectLst/>
              <a:scene3d>
                <a:camera prst="orthographicFront"/>
                <a:lightRig rig="threePt" dir="t"/>
              </a:scene3d>
              <a:sp3d contourW="15875" prstMaterial="flat"/>
            </c:spPr>
          </c:dPt>
          <c:dPt>
            <c:idx val="3"/>
            <c:bubble3D val="0"/>
            <c:spPr>
              <a:gradFill>
                <a:gsLst>
                  <a:gs pos="0">
                    <a:schemeClr val="accent4">
                      <a:lumMod val="60000"/>
                      <a:lumOff val="40000"/>
                    </a:schemeClr>
                  </a:gs>
                  <a:gs pos="70000">
                    <a:schemeClr val="accent4"/>
                  </a:gs>
                </a:gsLst>
                <a:lin ang="13500000" scaled="0"/>
              </a:gradFill>
              <a:ln w="15875" cmpd="sng">
                <a:solidFill>
                  <a:schemeClr val="accent4">
                    <a:lumMod val="75000"/>
                  </a:schemeClr>
                </a:solidFill>
                <a:prstDash val="solid"/>
              </a:ln>
              <a:effectLst/>
              <a:scene3d>
                <a:camera prst="orthographicFront"/>
                <a:lightRig rig="threePt" dir="t"/>
              </a:scene3d>
              <a:sp3d contourW="15875" prstMaterial="flat"/>
            </c:spPr>
          </c:dPt>
          <c:dPt>
            <c:idx val="4"/>
            <c:bubble3D val="0"/>
            <c:spPr>
              <a:gradFill>
                <a:gsLst>
                  <a:gs pos="0">
                    <a:schemeClr val="accent5">
                      <a:lumMod val="60000"/>
                      <a:lumOff val="40000"/>
                    </a:schemeClr>
                  </a:gs>
                  <a:gs pos="70000">
                    <a:schemeClr val="accent5"/>
                  </a:gs>
                </a:gsLst>
                <a:lin ang="13500000" scaled="0"/>
              </a:gradFill>
              <a:ln w="15875" cmpd="sng">
                <a:solidFill>
                  <a:schemeClr val="accent5">
                    <a:lumMod val="75000"/>
                  </a:schemeClr>
                </a:solidFill>
                <a:prstDash val="solid"/>
              </a:ln>
              <a:effectLst/>
              <a:scene3d>
                <a:camera prst="orthographicFront"/>
                <a:lightRig rig="threePt" dir="t"/>
              </a:scene3d>
              <a:sp3d contourW="15875" prstMaterial="fla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outerShdw blurRad="50800" dist="38100" dir="2700000" algn="tl" rotWithShape="0">
                        <a:prstClr val="black">
                          <a:alpha val="40000"/>
                        </a:prstClr>
                      </a:outerShdw>
                    </a:effectLst>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[工作簿1]Sheet1!$A$2:$A$6</c:f>
              <c:strCache>
                <c:ptCount val="5"/>
                <c:pt idx="0">
                  <c:v>基本支出</c:v>
                </c:pt>
                <c:pt idx="1">
                  <c:v>项目支出</c:v>
                </c:pt>
                <c:pt idx="2">
                  <c:v>上缴上级支出</c:v>
                </c:pt>
                <c:pt idx="3">
                  <c:v>经营支出</c:v>
                </c:pt>
                <c:pt idx="4">
                  <c:v>对附属单位补助支出</c:v>
                </c:pt>
              </c:strCache>
            </c:strRef>
          </c:cat>
          <c:val>
            <c:numRef>
              <c:f>[工作簿1]Sheet1!$B$2:$B$6</c:f>
              <c:numCache>
                <c:formatCode>General</c:formatCode>
                <c:ptCount val="5"/>
                <c:pt idx="0">
                  <c:v>6356.02</c:v>
                </c:pt>
                <c:pt idx="1">
                  <c:v>537.02</c:v>
                </c:pt>
                <c:pt idx="2">
                  <c:v>0</c:v>
                </c:pt>
                <c:pt idx="3">
                  <c:v>0</c:v>
                </c:pt>
                <c:pt idx="4">
                  <c:v>0</c:v>
                </c:pt>
              </c:numCache>
            </c:numRef>
          </c:val>
        </c:ser>
        <c:dLbls>
          <c:showLegendKey val="0"/>
          <c:showVal val="0"/>
          <c:showCatName val="0"/>
          <c:showSerName val="0"/>
          <c:showPercent val="1"/>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extLst>
      <c:ext uri="{0b15fc19-7d7d-44ad-8c2d-2c3a37ce22c3}">
        <chartProps xmlns="https://web.wps.cn/et/2018/main" chartId="{539ef0b0-d6a4-45e7-af60-0c978f7d3589}"/>
      </c:ext>
    </c:extLst>
  </c:chart>
  <c:spPr>
    <a:solidFill>
      <a:schemeClr val="bg1"/>
    </a:solidFill>
    <a:ln w="9525" cap="flat" cmpd="sng" algn="ctr">
      <a:solidFill>
        <a:schemeClr val="bg1">
          <a:lumMod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财政拨款收、支决算总计变动情况</a:t>
            </a:r>
          </a:p>
        </c:rich>
      </c:tx>
      <c:layout>
        <c:manualLayout>
          <c:xMode val="edge"/>
          <c:yMode val="edge"/>
          <c:x val="0.222236842105263"/>
          <c:y val="0.107638888888889"/>
        </c:manualLayout>
      </c:layout>
      <c:overlay val="0"/>
      <c:spPr>
        <a:noFill/>
        <a:ln>
          <a:noFill/>
        </a:ln>
        <a:effectLst/>
      </c:spPr>
    </c:title>
    <c:autoTitleDeleted val="0"/>
    <c:plotArea>
      <c:layout>
        <c:manualLayout>
          <c:layoutTarget val="inner"/>
          <c:xMode val="edge"/>
          <c:yMode val="edge"/>
          <c:x val="0.0900966814737392"/>
          <c:y val="0.278941565600882"/>
          <c:w val="0.881160177684871"/>
          <c:h val="0.611554575523705"/>
        </c:manualLayout>
      </c:layout>
      <c:barChart>
        <c:barDir val="col"/>
        <c:grouping val="clustered"/>
        <c:varyColors val="0"/>
        <c:ser>
          <c:idx val="0"/>
          <c:order val="0"/>
          <c:tx>
            <c:strRef>
              <c:f>[工作簿1]Sheet1!$B$1</c:f>
              <c:strCache>
                <c:ptCount val="1"/>
                <c:pt idx="0">
                  <c:v>金额</c:v>
                </c:pt>
              </c:strCache>
            </c:strRef>
          </c:tx>
          <c:spPr>
            <a:gradFill rotWithShape="1">
              <a:gsLst>
                <a:gs pos="2000">
                  <a:srgbClr val="D1F7FB"/>
                </a:gs>
                <a:gs pos="100000">
                  <a:srgbClr val="90B1E4"/>
                </a:gs>
              </a:gsLst>
              <a:lin ang="18900000" scaled="1"/>
            </a:gradFill>
            <a:ln>
              <a:gradFill>
                <a:gsLst>
                  <a:gs pos="50000">
                    <a:srgbClr val="5A80A7"/>
                  </a:gs>
                  <a:gs pos="0">
                    <a:srgbClr val="91AAC4"/>
                  </a:gs>
                  <a:gs pos="100000">
                    <a:srgbClr val="235589"/>
                  </a:gs>
                </a:gsLst>
                <a:lin ang="5400000" scaled="0"/>
              </a:grad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errBars>
            <c:errBarType val="both"/>
            <c:errValType val="stdErr"/>
            <c:noEndCap val="0"/>
            <c:spPr>
              <a:noFill/>
              <a:ln w="9525" cap="flat" cmpd="sng" algn="ctr">
                <a:solidFill>
                  <a:schemeClr val="tx1">
                    <a:lumMod val="65000"/>
                    <a:lumOff val="35000"/>
                  </a:schemeClr>
                </a:solidFill>
                <a:round/>
              </a:ln>
              <a:effectLst/>
            </c:spPr>
          </c:errBars>
          <c:cat>
            <c:strRef>
              <c:f>[工作簿1]Sheet1!$A$2:$A$3</c:f>
              <c:strCache>
                <c:ptCount val="2"/>
                <c:pt idx="0">
                  <c:v>2022年</c:v>
                </c:pt>
                <c:pt idx="1">
                  <c:v>2021年</c:v>
                </c:pt>
              </c:strCache>
            </c:strRef>
          </c:cat>
          <c:val>
            <c:numRef>
              <c:f>[工作簿1]Sheet1!$B$2:$B$3</c:f>
              <c:numCache>
                <c:formatCode>General</c:formatCode>
                <c:ptCount val="2"/>
                <c:pt idx="0">
                  <c:v>6893.05</c:v>
                </c:pt>
                <c:pt idx="1">
                  <c:v>7020.5</c:v>
                </c:pt>
              </c:numCache>
            </c:numRef>
          </c:val>
        </c:ser>
        <c:dLbls>
          <c:showLegendKey val="0"/>
          <c:showVal val="1"/>
          <c:showCatName val="0"/>
          <c:showSerName val="0"/>
          <c:showPercent val="0"/>
          <c:showBubbleSize val="0"/>
        </c:dLbls>
        <c:gapWidth val="219"/>
        <c:overlap val="-27"/>
        <c:axId val="77081595"/>
        <c:axId val="156122267"/>
      </c:barChart>
      <c:catAx>
        <c:axId val="770815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56122267"/>
        <c:crosses val="autoZero"/>
        <c:auto val="1"/>
        <c:lblAlgn val="ctr"/>
        <c:lblOffset val="100"/>
        <c:noMultiLvlLbl val="0"/>
      </c:catAx>
      <c:valAx>
        <c:axId val="1561222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708159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Table>
      <c:spPr>
        <a:noFill/>
        <a:ln>
          <a:noFill/>
        </a:ln>
        <a:effectLst/>
      </c:spPr>
    </c:plotArea>
    <c:plotVisOnly val="1"/>
    <c:dispBlanksAs val="gap"/>
    <c:showDLblsOverMax val="0"/>
    <c:extLst>
      <c:ext uri="{0b15fc19-7d7d-44ad-8c2d-2c3a37ce22c3}">
        <chartProps xmlns="https://web.wps.cn/et/2018/main" chartId="{9cd35818-6fbc-40c9-b6fb-e1080e763c24}"/>
      </c:ext>
    </c:extLst>
  </c:chart>
  <c:spPr>
    <a:blipFill rotWithShape="1">
      <a:blip xmlns:r="http://schemas.openxmlformats.org/officeDocument/2006/relationships" r:embed="rId3"/>
      <a:stretch>
        <a:fillRect/>
      </a:stretch>
    </a:blipFill>
    <a:ln w="6350" cap="flat" cmpd="sng" algn="ctr">
      <a:solidFill>
        <a:schemeClr val="accent1"/>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ln w="0" cmpd="sng">
                  <a:noFill/>
                  <a:prstDash val="solid"/>
                </a:ln>
                <a:solidFill>
                  <a:srgbClr val="616161"/>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161954533577215"/>
          <c:y val="0.302094818081588"/>
          <c:w val="0.673556310425921"/>
          <c:h val="0.512767364939361"/>
        </c:manualLayout>
      </c:layout>
      <c:barChart>
        <c:barDir val="col"/>
        <c:grouping val="clustered"/>
        <c:varyColors val="0"/>
        <c:ser>
          <c:idx val="0"/>
          <c:order val="0"/>
          <c:tx>
            <c:strRef>
              <c:f>[工作簿1]Sheet1!$B$1</c:f>
              <c:strCache>
                <c:ptCount val="1"/>
                <c:pt idx="0">
                  <c:v>金额</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[工作簿1]Sheet1!$A$2:$A$3</c:f>
              <c:strCache>
                <c:ptCount val="2"/>
                <c:pt idx="0">
                  <c:v>2022年</c:v>
                </c:pt>
                <c:pt idx="1">
                  <c:v>2021年</c:v>
                </c:pt>
              </c:strCache>
            </c:strRef>
          </c:cat>
          <c:val>
            <c:numRef>
              <c:f>[工作簿1]Sheet1!$B$2:$B$3</c:f>
              <c:numCache>
                <c:formatCode>General</c:formatCode>
                <c:ptCount val="2"/>
                <c:pt idx="0">
                  <c:v>6893.05</c:v>
                </c:pt>
                <c:pt idx="1">
                  <c:v>7020.5</c:v>
                </c:pt>
              </c:numCache>
            </c:numRef>
          </c:val>
        </c:ser>
        <c:dLbls>
          <c:showLegendKey val="0"/>
          <c:showVal val="1"/>
          <c:showCatName val="0"/>
          <c:showSerName val="0"/>
          <c:showPercent val="0"/>
          <c:showBubbleSize val="0"/>
        </c:dLbls>
        <c:gapWidth val="219"/>
        <c:overlap val="-27"/>
        <c:axId val="199681739"/>
        <c:axId val="963920973"/>
      </c:barChart>
      <c:catAx>
        <c:axId val="199681739"/>
        <c:scaling>
          <c:orientation val="minMax"/>
        </c:scaling>
        <c:delete val="0"/>
        <c:axPos val="b"/>
        <c:numFmt formatCode="General" sourceLinked="1"/>
        <c:majorTickMark val="none"/>
        <c:minorTickMark val="none"/>
        <c:tickLblPos val="nextTo"/>
        <c:spPr>
          <a:noFill/>
          <a:ln w="9525" cap="flat" cmpd="sng" algn="ctr">
            <a:solidFill>
              <a:srgbClr val="A5A5A5"/>
            </a:solidFill>
            <a:round/>
          </a:ln>
          <a:effectLst/>
        </c:spPr>
        <c:txPr>
          <a:bodyPr rot="-60000000" spcFirstLastPara="0" vertOverflow="ellipsis" vert="horz" wrap="square" anchor="ctr" anchorCtr="1" forceAA="0"/>
          <a:lstStyle/>
          <a:p>
            <a:pPr>
              <a:defRPr lang="zh-CN" sz="900" b="0" i="0" u="none" strike="noStrike" kern="1200" cap="none" spc="0" normalizeH="0" baseline="0">
                <a:solidFill>
                  <a:srgbClr val="616161"/>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963920973"/>
        <c:crosses val="autoZero"/>
        <c:auto val="1"/>
        <c:lblAlgn val="ctr"/>
        <c:lblOffset val="100"/>
        <c:noMultiLvlLbl val="0"/>
      </c:catAx>
      <c:valAx>
        <c:axId val="963920973"/>
        <c:scaling>
          <c:orientation val="minMax"/>
        </c:scaling>
        <c:delete val="0"/>
        <c:axPos val="l"/>
        <c:majorGridlines>
          <c:spPr>
            <a:ln w="9525" cap="flat" cmpd="sng" algn="ctr">
              <a:solidFill>
                <a:srgbClr val="BCD3DD"/>
              </a:solidFill>
              <a:prstDash val="dash"/>
              <a:round/>
            </a:ln>
            <a:effectLst/>
          </c:spPr>
        </c:majorGridlines>
        <c:title>
          <c:tx>
            <c:rich>
              <a:bodyPr rot="-5400000" spcFirstLastPara="0" vertOverflow="ellipsis" vert="horz" wrap="square" anchor="ctr" anchorCtr="1"/>
              <a:lstStyle/>
              <a:p>
                <a:pPr defTabSz="914400">
                  <a:defRPr lang="zh-CN" sz="1000" b="0" i="0" u="none" strike="noStrike" kern="1200" baseline="0">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单位：万元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19968173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Table>
      <c:spPr>
        <a:noFill/>
        <a:ln>
          <a:noFill/>
        </a:ln>
        <a:effectLst/>
      </c:spPr>
    </c:plotArea>
    <c:plotVisOnly val="1"/>
    <c:dispBlanksAs val="gap"/>
    <c:showDLblsOverMax val="0"/>
    <c:extLst>
      <c:ext uri="{0b15fc19-7d7d-44ad-8c2d-2c3a37ce22c3}">
        <chartProps xmlns="https://web.wps.cn/et/2018/main" chartId="{9084344f-be64-415c-82fc-a8e15a2d86c1}"/>
      </c:ext>
    </c:extLst>
  </c:chart>
  <c:spPr>
    <a:blipFill rotWithShape="1">
      <a:blip xmlns:r="http://schemas.openxmlformats.org/officeDocument/2006/relationships" r:embed="rId4"/>
      <a:stretch>
        <a:fillRect/>
      </a:stretch>
    </a:blipFill>
    <a:ln w="12700" cap="flat" cmpd="sng" algn="ctr">
      <a:noFill/>
      <a:round/>
    </a:ln>
    <a:effectLst/>
  </c:spPr>
  <c:txPr>
    <a:bodyPr/>
    <a:lstStyle/>
    <a:p>
      <a:pPr>
        <a:defRPr lang="zh-CN">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一般公共预算财政拨款支出决算结构</a:t>
            </a:r>
          </a:p>
        </c:rich>
      </c:tx>
      <c:layout/>
      <c:overlay val="0"/>
      <c:spPr>
        <a:noFill/>
        <a:ln>
          <a:noFill/>
        </a:ln>
        <a:effectLst/>
      </c:spPr>
    </c:title>
    <c:autoTitleDeleted val="0"/>
    <c:view3D>
      <c:rotX val="40"/>
      <c:rotY val="0"/>
      <c:depthPercent val="100"/>
      <c:rAngAx val="0"/>
    </c:view3D>
    <c:floor>
      <c:thickness val="0"/>
    </c:floor>
    <c:sideWall>
      <c:thickness val="0"/>
    </c:sideWall>
    <c:backWall>
      <c:thickness val="0"/>
    </c:backWall>
    <c:plotArea>
      <c:layout/>
      <c:pie3DChart>
        <c:varyColors val="1"/>
        <c:ser>
          <c:idx val="0"/>
          <c:order val="0"/>
          <c:tx>
            <c:strRef>
              <c:f>[工作簿1]Sheet1!$B$1</c:f>
              <c:strCache>
                <c:ptCount val="1"/>
                <c:pt idx="0">
                  <c:v>金额</c:v>
                </c:pt>
              </c:strCache>
            </c:strRef>
          </c:tx>
          <c:spPr>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explosion val="0"/>
          <c:dPt>
            <c:idx val="0"/>
            <c:bubble3D val="0"/>
            <c:spPr>
              <a:gradFill>
                <a:gsLst>
                  <a:gs pos="0">
                    <a:schemeClr val="accent1">
                      <a:lumMod val="60000"/>
                      <a:lumOff val="40000"/>
                    </a:schemeClr>
                  </a:gs>
                  <a:gs pos="50000">
                    <a:schemeClr val="accent1"/>
                  </a:gs>
                </a:gsLst>
                <a:lin ang="27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1"/>
            <c:bubble3D val="0"/>
            <c:spPr>
              <a:gradFill>
                <a:gsLst>
                  <a:gs pos="0">
                    <a:srgbClr val="C8DDEE"/>
                  </a:gs>
                  <a:gs pos="50000">
                    <a:srgbClr val="9CAAC4"/>
                  </a:gs>
                  <a:gs pos="100000">
                    <a:srgbClr val="51658A"/>
                  </a:gs>
                </a:gsLst>
                <a:lin ang="2700000" scaled="1"/>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2"/>
            <c:bubble3D val="0"/>
            <c:spPr>
              <a:gradFill>
                <a:gsLst>
                  <a:gs pos="0">
                    <a:schemeClr val="accent2">
                      <a:lumMod val="60000"/>
                      <a:lumOff val="40000"/>
                    </a:schemeClr>
                  </a:gs>
                  <a:gs pos="60000">
                    <a:schemeClr val="accent2">
                      <a:alpha val="100000"/>
                    </a:schemeClr>
                  </a:gs>
                </a:gsLst>
                <a:lin ang="54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3"/>
            <c:bubble3D val="0"/>
            <c:spPr>
              <a:gradFill>
                <a:gsLst>
                  <a:gs pos="0">
                    <a:schemeClr val="accent4">
                      <a:lumMod val="60000"/>
                      <a:lumOff val="40000"/>
                    </a:schemeClr>
                  </a:gs>
                  <a:gs pos="60000">
                    <a:schemeClr val="accent4"/>
                  </a:gs>
                </a:gsLst>
                <a:lin ang="54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4"/>
            <c:bubble3D val="0"/>
            <c:spPr>
              <a:gradFill>
                <a:gsLst>
                  <a:gs pos="0">
                    <a:schemeClr val="accent5">
                      <a:lumMod val="60000"/>
                      <a:lumOff val="40000"/>
                    </a:schemeClr>
                  </a:gs>
                  <a:gs pos="60000">
                    <a:schemeClr val="accent5"/>
                  </a:gs>
                </a:gsLst>
                <a:lin ang="54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5"/>
            <c:bubble3D val="0"/>
            <c:spPr>
              <a:gradFill>
                <a:gsLst>
                  <a:gs pos="0">
                    <a:schemeClr val="accent6">
                      <a:lumMod val="60000"/>
                      <a:lumOff val="40000"/>
                    </a:schemeClr>
                  </a:gs>
                  <a:gs pos="60000">
                    <a:schemeClr val="accent6"/>
                  </a:gs>
                </a:gsLst>
                <a:lin ang="5400000" scaled="0"/>
              </a:gradFill>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Pt>
            <c:idx val="6"/>
            <c:bubble3D val="0"/>
            <c:spPr>
              <a:ln w="12700" cmpd="sng">
                <a:solidFill>
                  <a:schemeClr val="bg1"/>
                </a:solidFill>
                <a:prstDash val="solid"/>
              </a:ln>
              <a:effectLst>
                <a:outerShdw blurRad="50800" dist="38100" dir="2700000" algn="tl" rotWithShape="0">
                  <a:prstClr val="black">
                    <a:alpha val="40000"/>
                  </a:prstClr>
                </a:outerShdw>
              </a:effectLst>
              <a:scene3d>
                <a:camera prst="orthographicFront"/>
                <a:lightRig rig="threePt" dir="t"/>
              </a:scene3d>
              <a:sp3d contourW="12700"/>
            </c:spPr>
          </c:dPt>
          <c:dLbls>
            <c:dLbl>
              <c:idx val="0"/>
              <c:layout/>
              <c:numFmt formatCode="General" sourceLinked="1"/>
              <c:spPr>
                <a:gradFill>
                  <a:gsLst>
                    <a:gs pos="0">
                      <a:srgbClr val="89D9F7"/>
                    </a:gs>
                    <a:gs pos="100000">
                      <a:srgbClr val="AEBEE9"/>
                    </a:gs>
                  </a:gsLst>
                  <a:lin ang="2700000" scaled="1"/>
                </a:gradFill>
                <a:ln>
                  <a:solidFill>
                    <a:schemeClr val="accent1">
                      <a:lumMod val="75000"/>
                    </a:scheme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manualLayout>
                  <c:x val="-0.00783903841128821"/>
                  <c:y val="-0.0826901874310915"/>
                </c:manualLayout>
              </c:layout>
              <c:numFmt formatCode="General" sourceLinked="1"/>
              <c:spPr>
                <a:gradFill>
                  <a:gsLst>
                    <a:gs pos="0">
                      <a:srgbClr val="C8DDEE"/>
                    </a:gs>
                    <a:gs pos="50000">
                      <a:srgbClr val="9CAAC4"/>
                    </a:gs>
                    <a:gs pos="100000">
                      <a:srgbClr val="51658A"/>
                    </a:gs>
                  </a:gsLst>
                  <a:lin ang="2700000" scaled="1"/>
                </a:gradFill>
                <a:ln>
                  <a:solidFill>
                    <a:schemeClr val="accent3">
                      <a:lumMod val="75000"/>
                    </a:scheme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numFmt formatCode="General" sourceLinked="1"/>
              <c:spPr>
                <a:solidFill>
                  <a:schemeClr val="accent2"/>
                </a:solidFill>
                <a:ln>
                  <a:solidFill>
                    <a:schemeClr val="accent2">
                      <a:lumMod val="75000"/>
                    </a:scheme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solidFill>
                  <a:srgbClr val="4874CB">
                    <a:lumMod val="40000"/>
                    <a:lumOff val="60000"/>
                  </a:srgbClr>
                </a:solidFill>
                <a:ln>
                  <a:solidFill>
                    <a:schemeClr val="accent4">
                      <a:lumMod val="75000"/>
                    </a:scheme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4"/>
              <c:layout/>
              <c:numFmt formatCode="General" sourceLinked="1"/>
              <c:spPr>
                <a:solidFill>
                  <a:schemeClr val="accent5"/>
                </a:solidFill>
                <a:ln>
                  <a:solidFill>
                    <a:schemeClr val="accent5">
                      <a:lumMod val="75000"/>
                    </a:scheme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5"/>
              <c:layout/>
              <c:numFmt formatCode="General" sourceLinked="1"/>
              <c:spPr>
                <a:solidFill>
                  <a:schemeClr val="accent6"/>
                </a:solidFill>
                <a:ln>
                  <a:solidFill>
                    <a:schemeClr val="accent6">
                      <a:lumMod val="75000"/>
                    </a:scheme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rgbClr val="FFFFFF"/>
              </a:solidFill>
              <a:ln>
                <a:solidFill>
                  <a:srgbClr val="000000">
                    <a:lumMod val="65000"/>
                    <a:lumOff val="35000"/>
                  </a:srgb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spPr xmlns:c15="http://schemas.microsoft.com/office/drawing/2012/chart">
                  <a:prstGeom prst="wedgeEllipseCallout">
                    <a:avLst/>
                  </a:prstGeom>
                  <a:noFill/>
                  <a:ln>
                    <a:noFill/>
                  </a:ln>
                </c15:spPr>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[工作簿1]Sheet1!$A$2:$A$8</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[工作簿1]Sheet1!$B$2:$B$8</c:f>
              <c:numCache>
                <c:formatCode>General</c:formatCode>
                <c:ptCount val="7"/>
                <c:pt idx="0">
                  <c:v>0</c:v>
                </c:pt>
                <c:pt idx="1">
                  <c:v>5303.85</c:v>
                </c:pt>
                <c:pt idx="2">
                  <c:v>0</c:v>
                </c:pt>
                <c:pt idx="3">
                  <c:v>0</c:v>
                </c:pt>
                <c:pt idx="4">
                  <c:v>781.1</c:v>
                </c:pt>
                <c:pt idx="5">
                  <c:v>351.09</c:v>
                </c:pt>
                <c:pt idx="6">
                  <c:v>457.01</c:v>
                </c:pt>
              </c:numCache>
            </c:numRef>
          </c:val>
        </c:ser>
        <c:dLbls>
          <c:showLegendKey val="0"/>
          <c:showVal val="0"/>
          <c:showCatName val="0"/>
          <c:showSerName val="0"/>
          <c:showPercent val="1"/>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extLst>
      <c:ext uri="{0b15fc19-7d7d-44ad-8c2d-2c3a37ce22c3}">
        <chartProps xmlns="https://web.wps.cn/et/2018/main" chartId="{839fe5d0-e5a2-4e50-85a6-b1fb77542f08}"/>
      </c:ext>
    </c:extLst>
  </c:chart>
  <c:spPr>
    <a:solidFill>
      <a:schemeClr val="bg1"/>
    </a:solidFill>
    <a:ln w="9525" cap="flat" cmpd="sng" algn="ctr">
      <a:solidFill>
        <a:schemeClr val="bg1">
          <a:lumMod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cap="all" spc="50" baseline="0">
                <a:solidFill>
                  <a:schemeClr val="tx1"/>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tx>
            <c:strRef>
              <c:f>[工作簿1]Sheet1!$B$1</c:f>
              <c:strCache>
                <c:ptCount val="1"/>
                <c:pt idx="0">
                  <c:v>金额</c:v>
                </c:pt>
              </c:strCache>
            </c:strRef>
          </c:tx>
          <c:spPr>
            <a:solidFill>
              <a:sysClr val="window" lastClr="FFFFFF">
                <a:lumMod val="75000"/>
              </a:sysClr>
            </a:solidFill>
            <a:effectLst>
              <a:outerShdw blurRad="50800" dist="38100" dir="2700000" algn="tl" rotWithShape="0">
                <a:prstClr val="black">
                  <a:alpha val="40000"/>
                </a:prstClr>
              </a:outerShdw>
            </a:effectLst>
          </c:spPr>
          <c:explosion val="0"/>
          <c:dPt>
            <c:idx val="0"/>
            <c:bubble3D val="0"/>
            <c:explosion val="10"/>
            <c:spPr>
              <a:solidFill>
                <a:srgbClr val="EE822F">
                  <a:lumMod val="40000"/>
                  <a:lumOff val="60000"/>
                </a:srgbClr>
              </a:solidFill>
              <a:ln>
                <a:solidFill>
                  <a:sysClr val="window" lastClr="FFFFFF">
                    <a:lumMod val="65000"/>
                  </a:sysClr>
                </a:solidFill>
              </a:ln>
              <a:effectLst>
                <a:outerShdw blurRad="50800" dist="38100" dir="2700000" algn="tl" rotWithShape="0">
                  <a:schemeClr val="accent1">
                    <a:lumMod val="50000"/>
                    <a:alpha val="40000"/>
                  </a:schemeClr>
                </a:outerShdw>
              </a:effectLst>
            </c:spPr>
          </c:dPt>
          <c:dPt>
            <c:idx val="1"/>
            <c:bubble3D val="0"/>
            <c:spPr>
              <a:solidFill>
                <a:sysClr val="window" lastClr="FFFFFF">
                  <a:lumMod val="75000"/>
                </a:sysClr>
              </a:solidFill>
              <a:ln>
                <a:solidFill>
                  <a:schemeClr val="accent2">
                    <a:lumMod val="75000"/>
                  </a:schemeClr>
                </a:solidFill>
              </a:ln>
              <a:effectLst>
                <a:outerShdw blurRad="50800" dist="38100" dir="2700000" algn="tl" rotWithShape="0">
                  <a:schemeClr val="accent2">
                    <a:lumMod val="50000"/>
                    <a:alpha val="40000"/>
                  </a:schemeClr>
                </a:outerShdw>
              </a:effectLst>
            </c:spPr>
          </c:dPt>
          <c:dLbls>
            <c:dLbl>
              <c:idx val="0"/>
              <c:layout/>
              <c:numFmt formatCode="General" sourceLinked="1"/>
              <c:spPr>
                <a:solidFill>
                  <a:srgbClr val="FFFFFF"/>
                </a:solidFill>
                <a:ln w="12700">
                  <a:solidFill>
                    <a:schemeClr val="accent1">
                      <a:lumMod val="75000"/>
                    </a:scheme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accent1">
                          <a:lumMod val="75000"/>
                        </a:schemeClr>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rgbClr val="FFFFFF"/>
                </a:solidFill>
                <a:ln w="12700">
                  <a:solidFill>
                    <a:schemeClr val="accent2">
                      <a:lumMod val="75000"/>
                    </a:scheme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accent2">
                          <a:lumMod val="75000"/>
                        </a:schemeClr>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rgbClr val="FFFFFF"/>
              </a:solidFill>
              <a:ln w="12700">
                <a:solidFill>
                  <a:schemeClr val="accent5"/>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accent1">
                        <a:lumMod val="7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spPr xmlns:c15="http://schemas.microsoft.com/office/drawing/2012/chart">
                  <a:prstGeom prst="wedgeRectCallout">
                    <a:avLst/>
                  </a:prstGeom>
                  <a:noFill/>
                  <a:ln>
                    <a:noFill/>
                  </a:ln>
                </c15:spPr>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[工作簿1]Sheet1!$A$2:$A$3</c:f>
              <c:strCache>
                <c:ptCount val="2"/>
                <c:pt idx="0">
                  <c:v>公务用车运行维护费</c:v>
                </c:pt>
                <c:pt idx="1">
                  <c:v>公务接待费</c:v>
                </c:pt>
              </c:strCache>
            </c:strRef>
          </c:cat>
          <c:val>
            <c:numRef>
              <c:f>[工作簿1]Sheet1!$B$2:$B$3</c:f>
              <c:numCache>
                <c:formatCode>General</c:formatCode>
                <c:ptCount val="2"/>
                <c:pt idx="0">
                  <c:v>3.06</c:v>
                </c:pt>
                <c:pt idx="1">
                  <c:v>0.12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extLst>
      <c:ext uri="{0b15fc19-7d7d-44ad-8c2d-2c3a37ce22c3}">
        <chartProps xmlns="https://web.wps.cn/et/2018/main" chartId="{fa46ed87-9493-4d9d-8f28-4bc482766b9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6">
    <a:dk1>
      <a:srgbClr val="000000"/>
    </a:dk1>
    <a:lt1>
      <a:srgbClr val="FFFFFF"/>
    </a:lt1>
    <a:dk2>
      <a:srgbClr val="0C0E1F"/>
    </a:dk2>
    <a:lt2>
      <a:srgbClr val="FEFFFF"/>
    </a:lt2>
    <a:accent1>
      <a:srgbClr val="54C9FA"/>
    </a:accent1>
    <a:accent2>
      <a:srgbClr val="6C92FD"/>
    </a:accent2>
    <a:accent3>
      <a:srgbClr val="FF731F"/>
    </a:accent3>
    <a:accent4>
      <a:srgbClr val="16CC8A"/>
    </a:accent4>
    <a:accent5>
      <a:srgbClr val="FFC619"/>
    </a:accent5>
    <a:accent6>
      <a:srgbClr val="4E37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12">
    <a:dk1>
      <a:srgbClr val="000000"/>
    </a:dk1>
    <a:lt1>
      <a:srgbClr val="FFFFFF"/>
    </a:lt1>
    <a:dk2>
      <a:srgbClr val="2C3D37"/>
    </a:dk2>
    <a:lt2>
      <a:srgbClr val="FEFFFF"/>
    </a:lt2>
    <a:accent1>
      <a:srgbClr val="D1AB92"/>
    </a:accent1>
    <a:accent2>
      <a:srgbClr val="B1BFC5"/>
    </a:accent2>
    <a:accent3>
      <a:srgbClr val="78A28B"/>
    </a:accent3>
    <a:accent4>
      <a:srgbClr val="5B9F76"/>
    </a:accent4>
    <a:accent5>
      <a:srgbClr val="3C7E58"/>
    </a:accent5>
    <a:accent6>
      <a:srgbClr val="356745"/>
    </a:accent6>
    <a:hlink>
      <a:srgbClr val="304FFE"/>
    </a:hlink>
    <a:folHlink>
      <a:srgbClr val="49206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自定义 6">
    <a:dk1>
      <a:srgbClr val="000000"/>
    </a:dk1>
    <a:lt1>
      <a:srgbClr val="FFFFFF"/>
    </a:lt1>
    <a:dk2>
      <a:srgbClr val="0C0E1F"/>
    </a:dk2>
    <a:lt2>
      <a:srgbClr val="FEFFFF"/>
    </a:lt2>
    <a:accent1>
      <a:srgbClr val="54C9FA"/>
    </a:accent1>
    <a:accent2>
      <a:srgbClr val="6C92FD"/>
    </a:accent2>
    <a:accent3>
      <a:srgbClr val="FF731F"/>
    </a:accent3>
    <a:accent4>
      <a:srgbClr val="16CC8A"/>
    </a:accent4>
    <a:accent5>
      <a:srgbClr val="FFC619"/>
    </a:accent5>
    <a:accent6>
      <a:srgbClr val="4E37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3454</Words>
  <Characters>3966</Characters>
  <Lines>61</Lines>
  <Paragraphs>17</Paragraphs>
  <TotalTime>0</TotalTime>
  <ScaleCrop>false</ScaleCrop>
  <LinksUpToDate>false</LinksUpToDate>
  <CharactersWithSpaces>4022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宋桦坪</cp:lastModifiedBy>
  <cp:lastPrinted>2023-07-31T02:35:00Z</cp:lastPrinted>
  <dcterms:modified xsi:type="dcterms:W3CDTF">2024-12-24T08:03:44Z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52022A1277884757AEB42E0ED05801E9_12</vt:lpwstr>
  </property>
</Properties>
</file>