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59EB7">
      <w:pPr>
        <w:spacing w:after="0" w:line="700" w:lineRule="exact"/>
        <w:ind w:firstLine="0" w:firstLineChars="0"/>
        <w:jc w:val="center"/>
        <w:rPr>
          <w:rFonts w:hint="eastAsia" w:ascii="方正小标宋简体" w:hAnsi="方正小标宋简体" w:eastAsia="方正小标宋简体" w:cs="方正小标宋简体"/>
          <w:sz w:val="44"/>
          <w:szCs w:val="44"/>
        </w:rPr>
      </w:pPr>
      <w:bookmarkStart w:id="0" w:name="_Hlk177562844"/>
      <w:bookmarkStart w:id="1" w:name="_Hlk143526789"/>
      <w:r>
        <w:rPr>
          <w:rFonts w:hint="eastAsia" w:ascii="方正小标宋简体" w:hAnsi="方正小标宋简体" w:eastAsia="方正小标宋简体" w:cs="方正小标宋简体"/>
          <w:sz w:val="44"/>
          <w:szCs w:val="44"/>
        </w:rPr>
        <w:t>攀枝花市仁和区用水权交易资金管理办法</w:t>
      </w:r>
    </w:p>
    <w:bookmarkEnd w:id="0"/>
    <w:p w14:paraId="4AE17CA8">
      <w:pPr>
        <w:spacing w:after="0" w:line="7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bookmarkStart w:id="5" w:name="_GoBack"/>
      <w:bookmarkEnd w:id="5"/>
    </w:p>
    <w:p w14:paraId="2CF152C2">
      <w:pPr>
        <w:pStyle w:val="3"/>
        <w:numPr>
          <w:ilvl w:val="0"/>
          <w:numId w:val="0"/>
        </w:numPr>
        <w:spacing w:before="0" w:beforeLines="0" w:after="0" w:afterLines="0" w:line="580" w:lineRule="exact"/>
        <w:jc w:val="center"/>
      </w:pPr>
      <w:r>
        <w:rPr>
          <w:rFonts w:hint="eastAsia"/>
        </w:rPr>
        <w:t>目 录</w:t>
      </w:r>
    </w:p>
    <w:p w14:paraId="4A9F0799">
      <w:pPr>
        <w:spacing w:after="0"/>
        <w:ind w:firstLine="0" w:firstLineChars="0"/>
      </w:pPr>
      <w:r>
        <w:rPr>
          <w:rFonts w:hint="eastAsia"/>
        </w:rPr>
        <w:t>第一章 总则</w:t>
      </w:r>
    </w:p>
    <w:p w14:paraId="4332CCA3">
      <w:pPr>
        <w:spacing w:after="0"/>
        <w:ind w:firstLine="0" w:firstLineChars="0"/>
      </w:pPr>
      <w:r>
        <w:rPr>
          <w:rFonts w:hint="eastAsia"/>
        </w:rPr>
        <w:t>第二章 区域水权、取水权交易资金管理</w:t>
      </w:r>
    </w:p>
    <w:p w14:paraId="7981EC28">
      <w:pPr>
        <w:spacing w:after="0"/>
        <w:ind w:firstLine="0" w:firstLineChars="0"/>
      </w:pPr>
      <w:r>
        <w:rPr>
          <w:rFonts w:hint="eastAsia"/>
        </w:rPr>
        <w:t>第三章 水权有偿收储及其再交易资金管理</w:t>
      </w:r>
    </w:p>
    <w:p w14:paraId="747F0968">
      <w:pPr>
        <w:spacing w:after="0"/>
        <w:ind w:firstLine="0" w:firstLineChars="0"/>
      </w:pPr>
      <w:r>
        <w:rPr>
          <w:rFonts w:hint="eastAsia"/>
        </w:rPr>
        <w:t>第四章 监督管理</w:t>
      </w:r>
    </w:p>
    <w:p w14:paraId="0422E02D">
      <w:pPr>
        <w:spacing w:after="0"/>
        <w:ind w:firstLine="0" w:firstLineChars="0"/>
      </w:pPr>
      <w:r>
        <w:rPr>
          <w:rFonts w:hint="eastAsia"/>
        </w:rPr>
        <w:t>第五章 附则</w:t>
      </w:r>
    </w:p>
    <w:p w14:paraId="4CB11679">
      <w:pPr>
        <w:pStyle w:val="3"/>
        <w:numPr>
          <w:ilvl w:val="0"/>
          <w:numId w:val="0"/>
        </w:numPr>
        <w:spacing w:before="0" w:beforeLines="0" w:after="0" w:afterLines="0" w:line="580" w:lineRule="exact"/>
        <w:jc w:val="center"/>
      </w:pPr>
      <w:r>
        <w:rPr>
          <w:rFonts w:hint="eastAsia"/>
        </w:rPr>
        <w:t>第一章 总 则</w:t>
      </w:r>
    </w:p>
    <w:p w14:paraId="40B7FBD2">
      <w:pPr>
        <w:spacing w:after="0" w:line="360" w:lineRule="auto"/>
        <w:ind w:firstLine="643"/>
      </w:pPr>
      <w:r>
        <w:rPr>
          <w:b/>
          <w:szCs w:val="22"/>
        </w:rPr>
        <w:t>第一条 办法目的。</w:t>
      </w:r>
      <w:r>
        <w:t>为规范和保障用水权交易中的区财政资金使用，根据《中华人民共和国水法》《取水许可和水资源费征收管理条例》《四川省水资源条例》《四川省节约用水条例》</w:t>
      </w:r>
      <w:bookmarkStart w:id="2" w:name="_Hlk177543307"/>
      <w:r>
        <w:t>《用水权交易管理规则（试行）》，以及《水利部 国家发展改革委 财政部关于推进用水权改革的指导意见》（水资管〔2022〕333号）等有关法律法规和相关规定，结合攀枝花市仁和区实际，制定本办法。</w:t>
      </w:r>
    </w:p>
    <w:bookmarkEnd w:id="2"/>
    <w:p w14:paraId="6D447549">
      <w:pPr>
        <w:spacing w:after="0" w:line="360" w:lineRule="auto"/>
        <w:ind w:firstLine="643"/>
      </w:pPr>
      <w:r>
        <w:rPr>
          <w:b/>
          <w:szCs w:val="22"/>
        </w:rPr>
        <w:t>第二条 适用范围。</w:t>
      </w:r>
      <w:r>
        <w:rPr>
          <w:color w:val="auto"/>
        </w:rPr>
        <w:t>本办法适用于仁和区人民政府（以下简称区政府）用水权交易财政资金使用与监督管理。</w:t>
      </w:r>
    </w:p>
    <w:p w14:paraId="76547517">
      <w:pPr>
        <w:spacing w:after="0" w:line="360" w:lineRule="auto"/>
        <w:ind w:firstLine="643"/>
        <w:rPr>
          <w:bCs/>
          <w:color w:val="auto"/>
        </w:rPr>
      </w:pPr>
      <w:r>
        <w:rPr>
          <w:b/>
          <w:szCs w:val="22"/>
        </w:rPr>
        <w:t>第三条 财政资金定义。</w:t>
      </w:r>
      <w:r>
        <w:rPr>
          <w:bCs/>
          <w:color w:val="auto"/>
          <w:szCs w:val="22"/>
        </w:rPr>
        <w:t>本办法所称的用水权交易财政资金是指区</w:t>
      </w:r>
      <w:r>
        <w:rPr>
          <w:bCs/>
          <w:color w:val="auto"/>
        </w:rPr>
        <w:t>政府或其授权委托部门、单位通过全国水权交易平台系统受让用水权的财政支出及向区域外转让用水权所得的财政收入。区政府参与用水权交易的财政资金纳入区级财政预算管理。</w:t>
      </w:r>
    </w:p>
    <w:p w14:paraId="6E7F0948">
      <w:pPr>
        <w:spacing w:after="0" w:line="360" w:lineRule="auto"/>
        <w:rPr>
          <w:color w:val="auto"/>
        </w:rPr>
      </w:pPr>
      <w:r>
        <w:rPr>
          <w:color w:val="auto"/>
        </w:rPr>
        <w:t>区政府用于用水权交易的财政资金主要包括区域水权交易、事业单位的取水权（以下简称“取水权”）交易、用水权有偿收储及其再交易等交易类型的财政支出及财政收入。</w:t>
      </w:r>
    </w:p>
    <w:p w14:paraId="1C35E183">
      <w:pPr>
        <w:spacing w:after="0" w:line="360" w:lineRule="auto"/>
        <w:ind w:firstLine="643"/>
        <w:rPr>
          <w:b/>
          <w:color w:val="auto"/>
          <w:szCs w:val="22"/>
        </w:rPr>
      </w:pPr>
      <w:r>
        <w:rPr>
          <w:b/>
          <w:color w:val="auto"/>
          <w:szCs w:val="22"/>
        </w:rPr>
        <w:t>第四条</w:t>
      </w:r>
      <w:r>
        <w:rPr>
          <w:b/>
          <w:bCs/>
          <w:color w:val="auto"/>
        </w:rPr>
        <w:t xml:space="preserve"> 交易方式。</w:t>
      </w:r>
      <w:r>
        <w:rPr>
          <w:color w:val="auto"/>
        </w:rPr>
        <w:t>交易区政府开展水权交易，均应在全国水权交易系统进行交易。</w:t>
      </w:r>
    </w:p>
    <w:p w14:paraId="47E9E64D">
      <w:pPr>
        <w:spacing w:after="0" w:line="360" w:lineRule="auto"/>
        <w:ind w:firstLine="643"/>
        <w:rPr>
          <w:b/>
          <w:szCs w:val="22"/>
        </w:rPr>
      </w:pPr>
      <w:r>
        <w:rPr>
          <w:b/>
          <w:szCs w:val="22"/>
        </w:rPr>
        <w:t>第五条 监管部门。</w:t>
      </w:r>
      <w:r>
        <w:t>区财政、水行政主管部门是</w:t>
      </w:r>
      <w:r>
        <w:rPr>
          <w:color w:val="auto"/>
        </w:rPr>
        <w:t>区政府开展用水权交易财政资金管理和使用</w:t>
      </w:r>
      <w:r>
        <w:t>的监督管理部门。</w:t>
      </w:r>
    </w:p>
    <w:p w14:paraId="7334F70E">
      <w:pPr>
        <w:pStyle w:val="3"/>
        <w:numPr>
          <w:ilvl w:val="0"/>
          <w:numId w:val="0"/>
        </w:numPr>
        <w:spacing w:before="0" w:beforeLines="0" w:after="0" w:afterLines="0" w:line="580" w:lineRule="exact"/>
        <w:jc w:val="center"/>
      </w:pPr>
      <w:r>
        <w:rPr>
          <w:rFonts w:hint="eastAsia"/>
        </w:rPr>
        <w:t>第二章 区域水权、取水权交易资金管理</w:t>
      </w:r>
    </w:p>
    <w:p w14:paraId="51F6C12E">
      <w:pPr>
        <w:spacing w:after="0" w:line="360" w:lineRule="auto"/>
        <w:ind w:firstLine="643"/>
        <w:rPr>
          <w:rFonts w:hint="eastAsia" w:ascii="仿宋" w:hAnsi="仿宋"/>
        </w:rPr>
      </w:pPr>
      <w:r>
        <w:rPr>
          <w:rFonts w:hint="eastAsia" w:ascii="仿宋" w:hAnsi="仿宋"/>
          <w:b/>
          <w:szCs w:val="22"/>
        </w:rPr>
        <w:t>第六条 交易执行。</w:t>
      </w:r>
      <w:r>
        <w:rPr>
          <w:rFonts w:hint="eastAsia" w:ascii="仿宋" w:hAnsi="仿宋"/>
        </w:rPr>
        <w:t>区域水权、取水权交易，</w:t>
      </w:r>
      <w:r>
        <w:rPr>
          <w:rFonts w:hint="eastAsia" w:ascii="仿宋" w:hAnsi="仿宋"/>
          <w:color w:val="auto"/>
        </w:rPr>
        <w:t>应按照《攀枝花市仁和区用水权交易管理办法（试行）》相关规定执行。</w:t>
      </w:r>
    </w:p>
    <w:p w14:paraId="025DED89">
      <w:pPr>
        <w:spacing w:after="0" w:line="360" w:lineRule="auto"/>
        <w:ind w:firstLine="643"/>
        <w:rPr>
          <w:rFonts w:hint="eastAsia" w:ascii="仿宋" w:hAnsi="仿宋"/>
          <w:color w:val="auto"/>
        </w:rPr>
      </w:pPr>
      <w:r>
        <w:rPr>
          <w:rFonts w:hint="eastAsia" w:ascii="仿宋" w:hAnsi="仿宋"/>
          <w:b/>
          <w:szCs w:val="22"/>
        </w:rPr>
        <w:t>第七条 交易资金安排。</w:t>
      </w:r>
      <w:r>
        <w:rPr>
          <w:rFonts w:hint="eastAsia" w:ascii="仿宋" w:hAnsi="仿宋"/>
          <w:color w:val="auto"/>
        </w:rPr>
        <w:t>受让区域水权、取水权的，交易支付资金由区财政部门统筹安排预算支出；使用财政资金支付的相关部门、单位应做好本部门、单位预算编制草案，并经核准后按照规定执行。</w:t>
      </w:r>
    </w:p>
    <w:p w14:paraId="6DD34D57">
      <w:pPr>
        <w:spacing w:after="0" w:line="360" w:lineRule="auto"/>
        <w:ind w:firstLine="643"/>
        <w:rPr>
          <w:rFonts w:hint="eastAsia" w:ascii="仿宋" w:hAnsi="仿宋"/>
          <w:bCs/>
          <w:color w:val="FF0000"/>
          <w:szCs w:val="22"/>
        </w:rPr>
      </w:pPr>
      <w:r>
        <w:rPr>
          <w:rFonts w:hint="eastAsia" w:ascii="仿宋" w:hAnsi="仿宋"/>
          <w:b/>
          <w:szCs w:val="22"/>
        </w:rPr>
        <w:t>第八条</w:t>
      </w:r>
      <w:r>
        <w:rPr>
          <w:rFonts w:hint="eastAsia" w:ascii="仿宋" w:hAnsi="仿宋"/>
          <w:b/>
          <w:color w:val="auto"/>
          <w:szCs w:val="22"/>
        </w:rPr>
        <w:t xml:space="preserve"> 交易收入管理。</w:t>
      </w:r>
      <w:r>
        <w:rPr>
          <w:rFonts w:hint="eastAsia" w:ascii="仿宋" w:hAnsi="仿宋"/>
          <w:bCs/>
          <w:color w:val="auto"/>
          <w:szCs w:val="22"/>
        </w:rPr>
        <w:t>转让区域水权、取水权的，交易收入归属于区政府非税收入，应当按照国库集中收缴管理有关规定，全额上缴地方国库，纳入一般公共预算管理；区财政部门应督促用水权交易转让主体依法履行职责，及时将交易收入归入国库，任何部门、单位和个人不得截留、占用、挪用或者拖欠。</w:t>
      </w:r>
    </w:p>
    <w:p w14:paraId="20A45864">
      <w:pPr>
        <w:pStyle w:val="3"/>
        <w:numPr>
          <w:ilvl w:val="0"/>
          <w:numId w:val="0"/>
        </w:numPr>
        <w:spacing w:before="0" w:beforeLines="0" w:after="0" w:afterLines="0" w:line="580" w:lineRule="exact"/>
        <w:jc w:val="center"/>
      </w:pPr>
      <w:r>
        <w:rPr>
          <w:rFonts w:hint="eastAsia"/>
        </w:rPr>
        <w:t>第三章 水权有偿收储及其再交易资金管理</w:t>
      </w:r>
    </w:p>
    <w:p w14:paraId="150E455B">
      <w:pPr>
        <w:spacing w:after="0" w:line="360" w:lineRule="auto"/>
        <w:ind w:firstLineChars="0"/>
        <w:rPr>
          <w:color w:val="auto"/>
          <w:highlight w:val="yellow"/>
        </w:rPr>
      </w:pPr>
      <w:r>
        <w:rPr>
          <w:b/>
          <w:color w:val="auto"/>
          <w:szCs w:val="22"/>
        </w:rPr>
        <w:t>第九条 收储资金支出。</w:t>
      </w:r>
      <w:r>
        <w:rPr>
          <w:bCs/>
          <w:color w:val="auto"/>
          <w:szCs w:val="22"/>
        </w:rPr>
        <w:t>用</w:t>
      </w:r>
      <w:r>
        <w:rPr>
          <w:color w:val="auto"/>
        </w:rPr>
        <w:t>水权有偿收储的资金支出应从区农业用水权改革试点专项资金。</w:t>
      </w:r>
    </w:p>
    <w:p w14:paraId="7AA2AC12">
      <w:pPr>
        <w:spacing w:after="0" w:line="360" w:lineRule="auto"/>
        <w:ind w:firstLine="643"/>
        <w:rPr>
          <w:color w:val="auto"/>
        </w:rPr>
      </w:pPr>
      <w:r>
        <w:rPr>
          <w:b/>
          <w:color w:val="auto"/>
          <w:szCs w:val="22"/>
        </w:rPr>
        <w:t>第十条</w:t>
      </w:r>
      <w:r>
        <w:rPr>
          <w:b/>
          <w:color w:val="auto"/>
        </w:rPr>
        <w:t xml:space="preserve"> 再交易收益管理。</w:t>
      </w:r>
      <w:r>
        <w:rPr>
          <w:color w:val="auto"/>
        </w:rPr>
        <w:t>有偿收储用水权再交易收益（即交易收入扣减有偿收储支出费用后的收益）可计提一定比例给委托单位，作为委托交易服务费。其中，计提比例原则上不得超过交易收益的20%。扣除相关交易服务费后，交易收入应收归区农业用水权改革试点专项资金。</w:t>
      </w:r>
    </w:p>
    <w:p w14:paraId="5C1A0A61">
      <w:pPr>
        <w:spacing w:after="0" w:line="360" w:lineRule="auto"/>
        <w:rPr>
          <w:color w:val="auto"/>
        </w:rPr>
      </w:pPr>
      <w:r>
        <w:rPr>
          <w:color w:val="auto"/>
        </w:rPr>
        <w:t>有偿收储的用水权再交易收入原则上不得低于其委托回购支出。</w:t>
      </w:r>
    </w:p>
    <w:p w14:paraId="6A9D764D">
      <w:pPr>
        <w:pStyle w:val="3"/>
        <w:numPr>
          <w:ilvl w:val="0"/>
          <w:numId w:val="0"/>
        </w:numPr>
        <w:spacing w:before="0" w:beforeLines="0" w:after="0" w:afterLines="0" w:line="580" w:lineRule="exact"/>
        <w:jc w:val="center"/>
      </w:pPr>
      <w:r>
        <w:rPr>
          <w:rFonts w:hint="eastAsia"/>
        </w:rPr>
        <w:t>第四章 监督管理</w:t>
      </w:r>
    </w:p>
    <w:p w14:paraId="35D062B5">
      <w:pPr>
        <w:spacing w:after="0" w:line="360" w:lineRule="auto"/>
        <w:ind w:firstLine="643"/>
        <w:rPr>
          <w:color w:val="auto"/>
        </w:rPr>
      </w:pPr>
      <w:r>
        <w:rPr>
          <w:rFonts w:hint="eastAsia"/>
          <w:b/>
          <w:bCs/>
          <w:color w:val="auto"/>
        </w:rPr>
        <w:t>第十一条 监管职责分工。</w:t>
      </w:r>
      <w:r>
        <w:rPr>
          <w:rFonts w:hint="eastAsia"/>
          <w:color w:val="auto"/>
        </w:rPr>
        <w:t>按照职责分工，区财政主管部门对相关交易资金账户及其支出与收入进行监管管理；区水行政主管部门对相关交易进行全过程监管管理。区财政、水行政主管部门按照各自职责做好水权交易资金监管工作。财政部门主要负责水权交易资金的财政预算及使用监管；区水行政主管部门应对水权交易活动及资金使用进行全过程监管。</w:t>
      </w:r>
    </w:p>
    <w:p w14:paraId="16678177">
      <w:pPr>
        <w:spacing w:after="0" w:line="360" w:lineRule="auto"/>
        <w:ind w:firstLine="643"/>
        <w:rPr>
          <w:rFonts w:cs="楷体"/>
          <w:color w:val="auto"/>
        </w:rPr>
      </w:pPr>
      <w:r>
        <w:rPr>
          <w:rFonts w:hint="eastAsia" w:cs="楷体"/>
          <w:b/>
          <w:bCs/>
          <w:color w:val="auto"/>
        </w:rPr>
        <w:t>第十二条 区财政主管部门监管职责。</w:t>
      </w:r>
      <w:r>
        <w:rPr>
          <w:rFonts w:hint="eastAsia" w:cs="楷体"/>
          <w:color w:val="auto"/>
        </w:rPr>
        <w:t>区财政主管部门应按照财政资金管理有关规定做好财政资金支出、收益使用和风险防控等监督管理；对相关交易资金账户及其支出与收入进行监管，对违规、违纪行为及时</w:t>
      </w:r>
      <w:r>
        <w:rPr>
          <w:rFonts w:hint="eastAsia" w:cs="楷体"/>
          <w:color w:val="auto"/>
          <w:lang w:eastAsia="zh-CN"/>
        </w:rPr>
        <w:t>作出</w:t>
      </w:r>
      <w:r>
        <w:rPr>
          <w:rFonts w:hint="eastAsia" w:cs="楷体"/>
          <w:color w:val="auto"/>
        </w:rPr>
        <w:t>处理。确保财政资金使用安全、规范、合理。</w:t>
      </w:r>
    </w:p>
    <w:p w14:paraId="47ED3A6E">
      <w:pPr>
        <w:spacing w:after="0" w:line="360" w:lineRule="auto"/>
        <w:ind w:firstLine="643"/>
        <w:rPr>
          <w:color w:val="auto"/>
        </w:rPr>
      </w:pPr>
      <w:r>
        <w:rPr>
          <w:rFonts w:hint="eastAsia"/>
          <w:b/>
          <w:color w:val="auto"/>
          <w:szCs w:val="22"/>
        </w:rPr>
        <w:t xml:space="preserve">第十三条 </w:t>
      </w:r>
      <w:r>
        <w:rPr>
          <w:rFonts w:hint="eastAsia" w:cs="楷体"/>
          <w:b/>
          <w:bCs/>
          <w:color w:val="auto"/>
        </w:rPr>
        <w:t>区水行政主管部门监管职责。</w:t>
      </w:r>
      <w:r>
        <w:rPr>
          <w:rFonts w:hint="eastAsia"/>
          <w:color w:val="auto"/>
        </w:rPr>
        <w:t>区水行政主管部门应做好交易前可行性审查、交易过程跟踪、结束后的资料备案等工作。</w:t>
      </w:r>
    </w:p>
    <w:p w14:paraId="5629B97C">
      <w:pPr>
        <w:spacing w:after="0" w:line="360" w:lineRule="auto"/>
        <w:rPr>
          <w:color w:val="auto"/>
        </w:rPr>
      </w:pPr>
      <w:r>
        <w:rPr>
          <w:rFonts w:hint="eastAsia"/>
          <w:color w:val="auto"/>
        </w:rPr>
        <w:t>交易前可行性审查内容，主要包括</w:t>
      </w:r>
      <w:bookmarkStart w:id="3" w:name="_Hlk177548414"/>
      <w:r>
        <w:rPr>
          <w:rFonts w:hint="eastAsia"/>
          <w:color w:val="auto"/>
        </w:rPr>
        <w:t>水权权属凭证的有效性、交易的真实性、交易期限与权属凭证的协调性、价格的合理性、资金来源的合规性等。</w:t>
      </w:r>
      <w:bookmarkEnd w:id="3"/>
      <w:bookmarkStart w:id="4" w:name="_Hlk177548438"/>
      <w:r>
        <w:rPr>
          <w:rFonts w:hint="eastAsia"/>
          <w:color w:val="auto"/>
        </w:rPr>
        <w:t>审查不通过的，区水行政主管部门有权禁止交易。其中，资料不完整的，可要求补充完整后，再进行审查。审查通过的，并向区财政主管部门报备。</w:t>
      </w:r>
    </w:p>
    <w:bookmarkEnd w:id="4"/>
    <w:p w14:paraId="1A1A1A97">
      <w:pPr>
        <w:spacing w:after="0" w:line="360" w:lineRule="auto"/>
        <w:rPr>
          <w:color w:val="auto"/>
        </w:rPr>
      </w:pPr>
      <w:r>
        <w:rPr>
          <w:rFonts w:hint="eastAsia"/>
          <w:bCs/>
          <w:color w:val="auto"/>
          <w:szCs w:val="22"/>
        </w:rPr>
        <w:t>交易</w:t>
      </w:r>
      <w:r>
        <w:rPr>
          <w:rFonts w:hint="eastAsia"/>
          <w:color w:val="auto"/>
        </w:rPr>
        <w:t>过程中应对交易更正监督，监督交易各方按照《攀枝花市仁和区水权交易管理办法（试行）》规定进行水权交易，严格遵从交易平台规定流程，确保财政资金使用安全、规范、合理。发现不规范的或存在违法违规行为的，区水行政主管部门应及时制止交易发生，依法追究相关方责任，并立即告知区财政主管部门停止支付交易资金或收取交易收入。如交易资金已经支出，区水行政主管部门应及时向交易平台进行申诉，追回支出资金，未能追回的，应通过司法途径追回资金；如交易资金已经收取，区财政主管部门应通过交易平台或</w:t>
      </w:r>
      <w:r>
        <w:rPr>
          <w:rFonts w:hint="eastAsia"/>
          <w:color w:val="auto"/>
          <w:lang w:eastAsia="zh-CN"/>
        </w:rPr>
        <w:t>其他约定</w:t>
      </w:r>
      <w:r>
        <w:rPr>
          <w:rFonts w:hint="eastAsia"/>
          <w:color w:val="auto"/>
        </w:rPr>
        <w:t>方式退回交易资金。</w:t>
      </w:r>
    </w:p>
    <w:p w14:paraId="600331F2">
      <w:pPr>
        <w:spacing w:after="0" w:line="360" w:lineRule="auto"/>
        <w:rPr>
          <w:color w:val="auto"/>
        </w:rPr>
      </w:pPr>
      <w:r>
        <w:rPr>
          <w:rFonts w:hint="eastAsia"/>
          <w:color w:val="auto"/>
        </w:rPr>
        <w:t>交易达成后，监督交易受让方提交备案资料，包括水权交易鉴定书、交易双方的水权权属凭证等，完善交易资金支付凭证资料；指导</w:t>
      </w:r>
      <w:r>
        <w:rPr>
          <w:rFonts w:hint="eastAsia"/>
          <w:color w:val="auto"/>
          <w:lang w:eastAsia="zh-CN"/>
        </w:rPr>
        <w:t>交易</w:t>
      </w:r>
      <w:r>
        <w:rPr>
          <w:rFonts w:hint="eastAsia"/>
          <w:color w:val="auto"/>
        </w:rPr>
        <w:t>双方依法办理取水许可、水资源使用权证等权属凭证的变更手续。</w:t>
      </w:r>
    </w:p>
    <w:p w14:paraId="759FF1A5">
      <w:pPr>
        <w:spacing w:after="0" w:line="360" w:lineRule="auto"/>
        <w:ind w:firstLine="643"/>
        <w:rPr>
          <w:color w:val="auto"/>
        </w:rPr>
      </w:pPr>
      <w:r>
        <w:rPr>
          <w:rFonts w:hint="eastAsia"/>
          <w:b/>
          <w:color w:val="auto"/>
          <w:szCs w:val="22"/>
        </w:rPr>
        <w:t xml:space="preserve">第十四条 </w:t>
      </w:r>
      <w:r>
        <w:rPr>
          <w:rFonts w:hint="eastAsia" w:cs="楷体"/>
          <w:b/>
          <w:bCs/>
          <w:color w:val="auto"/>
        </w:rPr>
        <w:t>沟通协调。</w:t>
      </w:r>
      <w:r>
        <w:rPr>
          <w:rFonts w:hint="eastAsia"/>
          <w:color w:val="auto"/>
        </w:rPr>
        <w:t>区财政、水行政主管部门应做好沟通协调，及时识别、预警交易可能产生的重大影响，采用警示公告、限制交易等措施，防范化解交易风险。</w:t>
      </w:r>
    </w:p>
    <w:p w14:paraId="4D016980">
      <w:pPr>
        <w:spacing w:after="0" w:line="360" w:lineRule="auto"/>
        <w:ind w:firstLine="643"/>
        <w:rPr>
          <w:rFonts w:cs="仿宋"/>
          <w:bCs/>
          <w:color w:val="auto"/>
        </w:rPr>
      </w:pPr>
      <w:r>
        <w:rPr>
          <w:rFonts w:hint="eastAsia"/>
          <w:b/>
          <w:color w:val="auto"/>
          <w:szCs w:val="22"/>
        </w:rPr>
        <w:t xml:space="preserve">第十五条 </w:t>
      </w:r>
      <w:r>
        <w:rPr>
          <w:rFonts w:hint="eastAsia" w:cs="楷体"/>
          <w:b/>
          <w:bCs/>
          <w:color w:val="auto"/>
        </w:rPr>
        <w:t>交易主体工作职责。</w:t>
      </w:r>
      <w:r>
        <w:rPr>
          <w:rFonts w:hint="eastAsia" w:cs="仿宋"/>
          <w:color w:val="auto"/>
        </w:rPr>
        <w:t>使用财政资金参与水权交易的相关部门、单位，应依法依规编制本部门、单位预算草案及执行制度，依法组织收入，严格支出管理，提高资金使用效益；自觉接受区财政、水行政主管部门的监督和检查，按要求整改问题，确保财政资金使用安全。</w:t>
      </w:r>
    </w:p>
    <w:p w14:paraId="0E50D6FF">
      <w:pPr>
        <w:pStyle w:val="3"/>
        <w:numPr>
          <w:ilvl w:val="0"/>
          <w:numId w:val="0"/>
        </w:numPr>
        <w:spacing w:before="0" w:beforeLines="0" w:after="0" w:afterLines="0" w:line="580" w:lineRule="exact"/>
        <w:jc w:val="center"/>
      </w:pPr>
      <w:r>
        <w:rPr>
          <w:rFonts w:hint="eastAsia"/>
        </w:rPr>
        <w:t>第五章 附则</w:t>
      </w:r>
    </w:p>
    <w:p w14:paraId="2D6EA8FA">
      <w:pPr>
        <w:spacing w:after="0" w:line="580" w:lineRule="exact"/>
        <w:ind w:firstLine="643"/>
        <w:rPr>
          <w:rFonts w:hint="eastAsia" w:ascii="仿宋" w:hAnsi="仿宋"/>
        </w:rPr>
      </w:pPr>
      <w:r>
        <w:rPr>
          <w:rFonts w:hint="eastAsia" w:ascii="仿宋" w:hAnsi="仿宋"/>
          <w:b/>
          <w:szCs w:val="22"/>
        </w:rPr>
        <w:t>第十六条 试行期限。</w:t>
      </w:r>
      <w:r>
        <w:rPr>
          <w:rFonts w:hint="eastAsia" w:ascii="仿宋" w:hAnsi="仿宋"/>
        </w:rPr>
        <w:t>本办法自2024年**月**日起实施，有效期为2年。</w:t>
      </w:r>
    </w:p>
    <w:bookmarkEnd w:id="1"/>
    <w:p w14:paraId="09555584">
      <w:pPr>
        <w:spacing w:after="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E8E9A">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0BA84">
                          <w:pPr>
                            <w:pStyle w:val="2"/>
                            <w:ind w:firstLine="56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10BA84">
                    <w:pPr>
                      <w:pStyle w:val="2"/>
                      <w:ind w:firstLine="56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1F7B2">
    <w:pPr>
      <w:pStyle w:val="13"/>
      <w:ind w:firstLine="360"/>
    </w:pPr>
  </w:p>
  <w:p w14:paraId="3128167F"/>
  <w:p w14:paraId="69F3CDC4"/>
  <w:p w14:paraId="4929CAEB"/>
  <w:p w14:paraId="635A76BB"/>
  <w:p w14:paraId="2089CA37"/>
  <w:p w14:paraId="611F5122"/>
  <w:p w14:paraId="097865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980AA">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8CBD">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32FD">
    <w:pPr>
      <w:pStyle w:val="14"/>
      <w:ind w:firstLine="360"/>
    </w:pPr>
  </w:p>
  <w:p w14:paraId="21EFEF06"/>
  <w:p w14:paraId="0CB18E3A"/>
  <w:p w14:paraId="12AA00C5"/>
  <w:p w14:paraId="1EEC33CD"/>
  <w:p w14:paraId="668BF5B8"/>
  <w:p w14:paraId="225E812B"/>
  <w:p w14:paraId="1E8E02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CEA17">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5CF35"/>
    <w:multiLevelType w:val="multilevel"/>
    <w:tmpl w:val="3365CF35"/>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wZmM3YmU1NmIyNzYxZGRkZWEyNzNkMWU3MjczMDQifQ=="/>
  </w:docVars>
  <w:rsids>
    <w:rsidRoot w:val="061A2D9F"/>
    <w:rsid w:val="00001474"/>
    <w:rsid w:val="0000291B"/>
    <w:rsid w:val="0002229F"/>
    <w:rsid w:val="0002349F"/>
    <w:rsid w:val="00037903"/>
    <w:rsid w:val="00045B8E"/>
    <w:rsid w:val="00053160"/>
    <w:rsid w:val="00067122"/>
    <w:rsid w:val="00081A73"/>
    <w:rsid w:val="00084C4E"/>
    <w:rsid w:val="000904AF"/>
    <w:rsid w:val="00091716"/>
    <w:rsid w:val="000931DE"/>
    <w:rsid w:val="000A7BF4"/>
    <w:rsid w:val="000B5C06"/>
    <w:rsid w:val="000B6EE9"/>
    <w:rsid w:val="000C1EF9"/>
    <w:rsid w:val="000D54EF"/>
    <w:rsid w:val="000D590B"/>
    <w:rsid w:val="000D6D74"/>
    <w:rsid w:val="000E65FF"/>
    <w:rsid w:val="000F1DA3"/>
    <w:rsid w:val="00104283"/>
    <w:rsid w:val="00117A96"/>
    <w:rsid w:val="00133E59"/>
    <w:rsid w:val="00134125"/>
    <w:rsid w:val="001362F3"/>
    <w:rsid w:val="00141176"/>
    <w:rsid w:val="0015000F"/>
    <w:rsid w:val="00166988"/>
    <w:rsid w:val="00172473"/>
    <w:rsid w:val="00176373"/>
    <w:rsid w:val="00193F01"/>
    <w:rsid w:val="00194F96"/>
    <w:rsid w:val="0019674D"/>
    <w:rsid w:val="001A03E2"/>
    <w:rsid w:val="001B0229"/>
    <w:rsid w:val="001B4B9F"/>
    <w:rsid w:val="001B7B5E"/>
    <w:rsid w:val="001B7E1A"/>
    <w:rsid w:val="001C64AD"/>
    <w:rsid w:val="001C6CE9"/>
    <w:rsid w:val="001E0185"/>
    <w:rsid w:val="001F20CD"/>
    <w:rsid w:val="0020012A"/>
    <w:rsid w:val="002062CA"/>
    <w:rsid w:val="00210587"/>
    <w:rsid w:val="002134BB"/>
    <w:rsid w:val="00232672"/>
    <w:rsid w:val="0024134A"/>
    <w:rsid w:val="00252CAF"/>
    <w:rsid w:val="00253D93"/>
    <w:rsid w:val="00255A3A"/>
    <w:rsid w:val="0027083A"/>
    <w:rsid w:val="00285712"/>
    <w:rsid w:val="002858A3"/>
    <w:rsid w:val="002927A5"/>
    <w:rsid w:val="002B6D20"/>
    <w:rsid w:val="002B7295"/>
    <w:rsid w:val="002C7FAD"/>
    <w:rsid w:val="002D2A32"/>
    <w:rsid w:val="002F0BE7"/>
    <w:rsid w:val="002F0DAE"/>
    <w:rsid w:val="002F1DCC"/>
    <w:rsid w:val="002F7EAE"/>
    <w:rsid w:val="0030652F"/>
    <w:rsid w:val="003131AF"/>
    <w:rsid w:val="003177D6"/>
    <w:rsid w:val="00331054"/>
    <w:rsid w:val="003321DF"/>
    <w:rsid w:val="00336105"/>
    <w:rsid w:val="0034511E"/>
    <w:rsid w:val="00346A6C"/>
    <w:rsid w:val="00346BFA"/>
    <w:rsid w:val="003475BF"/>
    <w:rsid w:val="003525F4"/>
    <w:rsid w:val="0035385D"/>
    <w:rsid w:val="00356581"/>
    <w:rsid w:val="003622FA"/>
    <w:rsid w:val="003635E7"/>
    <w:rsid w:val="00364CA5"/>
    <w:rsid w:val="00374902"/>
    <w:rsid w:val="00383145"/>
    <w:rsid w:val="0038603A"/>
    <w:rsid w:val="0039528C"/>
    <w:rsid w:val="003A78B6"/>
    <w:rsid w:val="003B31FE"/>
    <w:rsid w:val="003B4D82"/>
    <w:rsid w:val="003B7B1B"/>
    <w:rsid w:val="003F74D2"/>
    <w:rsid w:val="00401638"/>
    <w:rsid w:val="00410A03"/>
    <w:rsid w:val="004117AE"/>
    <w:rsid w:val="00415F8E"/>
    <w:rsid w:val="004162E4"/>
    <w:rsid w:val="00422B66"/>
    <w:rsid w:val="004255E4"/>
    <w:rsid w:val="00431EED"/>
    <w:rsid w:val="00432F14"/>
    <w:rsid w:val="0043448F"/>
    <w:rsid w:val="00435115"/>
    <w:rsid w:val="00457A41"/>
    <w:rsid w:val="00465B44"/>
    <w:rsid w:val="00470F1A"/>
    <w:rsid w:val="004751F2"/>
    <w:rsid w:val="00492609"/>
    <w:rsid w:val="004A0F07"/>
    <w:rsid w:val="004B6D25"/>
    <w:rsid w:val="004B7400"/>
    <w:rsid w:val="004C633F"/>
    <w:rsid w:val="004E243D"/>
    <w:rsid w:val="004E34AE"/>
    <w:rsid w:val="004F2953"/>
    <w:rsid w:val="004F4C9C"/>
    <w:rsid w:val="005026D1"/>
    <w:rsid w:val="005046FF"/>
    <w:rsid w:val="00505D85"/>
    <w:rsid w:val="00523A52"/>
    <w:rsid w:val="00525A2E"/>
    <w:rsid w:val="00541581"/>
    <w:rsid w:val="005433F6"/>
    <w:rsid w:val="00550387"/>
    <w:rsid w:val="005530E9"/>
    <w:rsid w:val="00562B6B"/>
    <w:rsid w:val="00573207"/>
    <w:rsid w:val="005774CF"/>
    <w:rsid w:val="005842BF"/>
    <w:rsid w:val="0058661B"/>
    <w:rsid w:val="00591660"/>
    <w:rsid w:val="005959D0"/>
    <w:rsid w:val="005967B5"/>
    <w:rsid w:val="005A316F"/>
    <w:rsid w:val="005A7EF6"/>
    <w:rsid w:val="005B0992"/>
    <w:rsid w:val="005B5F0D"/>
    <w:rsid w:val="005E3354"/>
    <w:rsid w:val="005F4F5C"/>
    <w:rsid w:val="0060354F"/>
    <w:rsid w:val="00621292"/>
    <w:rsid w:val="00633398"/>
    <w:rsid w:val="00640E8C"/>
    <w:rsid w:val="006518F0"/>
    <w:rsid w:val="00653336"/>
    <w:rsid w:val="006539C6"/>
    <w:rsid w:val="00654FFE"/>
    <w:rsid w:val="006550B3"/>
    <w:rsid w:val="0067036A"/>
    <w:rsid w:val="006713FD"/>
    <w:rsid w:val="006718AC"/>
    <w:rsid w:val="00681614"/>
    <w:rsid w:val="006837FB"/>
    <w:rsid w:val="00695560"/>
    <w:rsid w:val="006D6534"/>
    <w:rsid w:val="006E0C3E"/>
    <w:rsid w:val="006F2155"/>
    <w:rsid w:val="00712D7C"/>
    <w:rsid w:val="007241C1"/>
    <w:rsid w:val="007253D4"/>
    <w:rsid w:val="00743ED6"/>
    <w:rsid w:val="0076487A"/>
    <w:rsid w:val="00776526"/>
    <w:rsid w:val="00792EA0"/>
    <w:rsid w:val="00793811"/>
    <w:rsid w:val="007A2E8C"/>
    <w:rsid w:val="007A64B5"/>
    <w:rsid w:val="007A6BE0"/>
    <w:rsid w:val="007B109F"/>
    <w:rsid w:val="007B2C58"/>
    <w:rsid w:val="007C17FD"/>
    <w:rsid w:val="007C2D15"/>
    <w:rsid w:val="007D351F"/>
    <w:rsid w:val="007D7867"/>
    <w:rsid w:val="007E3D1F"/>
    <w:rsid w:val="007F44B2"/>
    <w:rsid w:val="007F6125"/>
    <w:rsid w:val="00803709"/>
    <w:rsid w:val="00807F4A"/>
    <w:rsid w:val="0081285C"/>
    <w:rsid w:val="00817C5D"/>
    <w:rsid w:val="00831FC3"/>
    <w:rsid w:val="008417EA"/>
    <w:rsid w:val="0084625E"/>
    <w:rsid w:val="00853D8B"/>
    <w:rsid w:val="008606BC"/>
    <w:rsid w:val="008760A6"/>
    <w:rsid w:val="00881265"/>
    <w:rsid w:val="008824AA"/>
    <w:rsid w:val="0088351D"/>
    <w:rsid w:val="00886EEC"/>
    <w:rsid w:val="00891582"/>
    <w:rsid w:val="00891AAB"/>
    <w:rsid w:val="008A1594"/>
    <w:rsid w:val="008B234B"/>
    <w:rsid w:val="008D1CDA"/>
    <w:rsid w:val="008D49BD"/>
    <w:rsid w:val="008E1A7B"/>
    <w:rsid w:val="008F097A"/>
    <w:rsid w:val="008F3600"/>
    <w:rsid w:val="008F4D7D"/>
    <w:rsid w:val="009027F4"/>
    <w:rsid w:val="00903C2B"/>
    <w:rsid w:val="00906210"/>
    <w:rsid w:val="009101B0"/>
    <w:rsid w:val="009103D7"/>
    <w:rsid w:val="00916E97"/>
    <w:rsid w:val="00936129"/>
    <w:rsid w:val="009375AE"/>
    <w:rsid w:val="0095503B"/>
    <w:rsid w:val="009664CF"/>
    <w:rsid w:val="00973C49"/>
    <w:rsid w:val="009826A9"/>
    <w:rsid w:val="00983DC5"/>
    <w:rsid w:val="0098527D"/>
    <w:rsid w:val="00985AF7"/>
    <w:rsid w:val="0099235E"/>
    <w:rsid w:val="009C5497"/>
    <w:rsid w:val="009C5574"/>
    <w:rsid w:val="009D2826"/>
    <w:rsid w:val="009D3207"/>
    <w:rsid w:val="009E4C3F"/>
    <w:rsid w:val="00A00AC0"/>
    <w:rsid w:val="00A07357"/>
    <w:rsid w:val="00A253A5"/>
    <w:rsid w:val="00A416FE"/>
    <w:rsid w:val="00A44B50"/>
    <w:rsid w:val="00A53000"/>
    <w:rsid w:val="00A56D08"/>
    <w:rsid w:val="00A65AEB"/>
    <w:rsid w:val="00A73C93"/>
    <w:rsid w:val="00A76A24"/>
    <w:rsid w:val="00A87723"/>
    <w:rsid w:val="00A87983"/>
    <w:rsid w:val="00A9277B"/>
    <w:rsid w:val="00AB61B7"/>
    <w:rsid w:val="00AB679D"/>
    <w:rsid w:val="00AC2A2D"/>
    <w:rsid w:val="00AC4D8B"/>
    <w:rsid w:val="00AD088F"/>
    <w:rsid w:val="00AF1A7E"/>
    <w:rsid w:val="00AF3359"/>
    <w:rsid w:val="00B24548"/>
    <w:rsid w:val="00B24B7C"/>
    <w:rsid w:val="00B54870"/>
    <w:rsid w:val="00B558C8"/>
    <w:rsid w:val="00B55EEE"/>
    <w:rsid w:val="00B6277B"/>
    <w:rsid w:val="00B66DF1"/>
    <w:rsid w:val="00B8565A"/>
    <w:rsid w:val="00BB46B0"/>
    <w:rsid w:val="00BC1673"/>
    <w:rsid w:val="00BC7FC6"/>
    <w:rsid w:val="00BD168C"/>
    <w:rsid w:val="00BE247B"/>
    <w:rsid w:val="00BE3CE6"/>
    <w:rsid w:val="00BE4C58"/>
    <w:rsid w:val="00BE7EF0"/>
    <w:rsid w:val="00BF198B"/>
    <w:rsid w:val="00C02120"/>
    <w:rsid w:val="00C0358E"/>
    <w:rsid w:val="00C12CD3"/>
    <w:rsid w:val="00C169FC"/>
    <w:rsid w:val="00C16AAB"/>
    <w:rsid w:val="00C213EF"/>
    <w:rsid w:val="00C22036"/>
    <w:rsid w:val="00C23E2A"/>
    <w:rsid w:val="00C24229"/>
    <w:rsid w:val="00C27D98"/>
    <w:rsid w:val="00C5366D"/>
    <w:rsid w:val="00C558CB"/>
    <w:rsid w:val="00C56FEA"/>
    <w:rsid w:val="00C71496"/>
    <w:rsid w:val="00C72665"/>
    <w:rsid w:val="00C777E9"/>
    <w:rsid w:val="00C86138"/>
    <w:rsid w:val="00C90450"/>
    <w:rsid w:val="00C97218"/>
    <w:rsid w:val="00CA4E05"/>
    <w:rsid w:val="00CB0100"/>
    <w:rsid w:val="00CC4155"/>
    <w:rsid w:val="00CC5C32"/>
    <w:rsid w:val="00CD5832"/>
    <w:rsid w:val="00CE1846"/>
    <w:rsid w:val="00CF0F43"/>
    <w:rsid w:val="00D037AD"/>
    <w:rsid w:val="00D128AE"/>
    <w:rsid w:val="00D14680"/>
    <w:rsid w:val="00D17891"/>
    <w:rsid w:val="00D20949"/>
    <w:rsid w:val="00D2417F"/>
    <w:rsid w:val="00D26AC9"/>
    <w:rsid w:val="00D2770E"/>
    <w:rsid w:val="00D318C9"/>
    <w:rsid w:val="00D3283D"/>
    <w:rsid w:val="00D462F3"/>
    <w:rsid w:val="00D52797"/>
    <w:rsid w:val="00D5758D"/>
    <w:rsid w:val="00D664BE"/>
    <w:rsid w:val="00D70B1A"/>
    <w:rsid w:val="00D7332A"/>
    <w:rsid w:val="00D73A1E"/>
    <w:rsid w:val="00D74E6A"/>
    <w:rsid w:val="00D903E7"/>
    <w:rsid w:val="00D91BD6"/>
    <w:rsid w:val="00DA29D2"/>
    <w:rsid w:val="00DA313C"/>
    <w:rsid w:val="00DA3D05"/>
    <w:rsid w:val="00DA42A1"/>
    <w:rsid w:val="00DB27AA"/>
    <w:rsid w:val="00DF1D6E"/>
    <w:rsid w:val="00DF42BD"/>
    <w:rsid w:val="00E04876"/>
    <w:rsid w:val="00E10A65"/>
    <w:rsid w:val="00E14B0D"/>
    <w:rsid w:val="00E26071"/>
    <w:rsid w:val="00E31A91"/>
    <w:rsid w:val="00E40F97"/>
    <w:rsid w:val="00E43759"/>
    <w:rsid w:val="00E50E43"/>
    <w:rsid w:val="00E513E0"/>
    <w:rsid w:val="00E579D8"/>
    <w:rsid w:val="00E61021"/>
    <w:rsid w:val="00E61D02"/>
    <w:rsid w:val="00E62EB5"/>
    <w:rsid w:val="00E76479"/>
    <w:rsid w:val="00E859CF"/>
    <w:rsid w:val="00E91E25"/>
    <w:rsid w:val="00EA0A87"/>
    <w:rsid w:val="00EA4870"/>
    <w:rsid w:val="00EA5CC0"/>
    <w:rsid w:val="00EB2581"/>
    <w:rsid w:val="00EC1652"/>
    <w:rsid w:val="00EC4DB8"/>
    <w:rsid w:val="00EC7BBC"/>
    <w:rsid w:val="00ED6F4A"/>
    <w:rsid w:val="00EE04F4"/>
    <w:rsid w:val="00EE1BD0"/>
    <w:rsid w:val="00F16862"/>
    <w:rsid w:val="00F16E31"/>
    <w:rsid w:val="00F22A04"/>
    <w:rsid w:val="00F22E6F"/>
    <w:rsid w:val="00F32073"/>
    <w:rsid w:val="00F34568"/>
    <w:rsid w:val="00F428D4"/>
    <w:rsid w:val="00F46506"/>
    <w:rsid w:val="00F530DE"/>
    <w:rsid w:val="00F774A0"/>
    <w:rsid w:val="00F81303"/>
    <w:rsid w:val="00F8597B"/>
    <w:rsid w:val="00F92FDF"/>
    <w:rsid w:val="00F945CA"/>
    <w:rsid w:val="00F950E5"/>
    <w:rsid w:val="00FA362F"/>
    <w:rsid w:val="00FA4DCD"/>
    <w:rsid w:val="00FA7A9C"/>
    <w:rsid w:val="00FB1433"/>
    <w:rsid w:val="00FC5C87"/>
    <w:rsid w:val="00FC71CD"/>
    <w:rsid w:val="00FD20DA"/>
    <w:rsid w:val="00FD74D0"/>
    <w:rsid w:val="00FE62C2"/>
    <w:rsid w:val="00FF2E36"/>
    <w:rsid w:val="00FF505D"/>
    <w:rsid w:val="00FF626D"/>
    <w:rsid w:val="010C3DC8"/>
    <w:rsid w:val="012D0479"/>
    <w:rsid w:val="016070FB"/>
    <w:rsid w:val="01AE15BA"/>
    <w:rsid w:val="03192A63"/>
    <w:rsid w:val="040A4AA1"/>
    <w:rsid w:val="04567CE7"/>
    <w:rsid w:val="04ED4B11"/>
    <w:rsid w:val="061A2D9F"/>
    <w:rsid w:val="06473D8B"/>
    <w:rsid w:val="07AF1BE8"/>
    <w:rsid w:val="07FC0BA5"/>
    <w:rsid w:val="086F1377"/>
    <w:rsid w:val="08C30284"/>
    <w:rsid w:val="0AB4389F"/>
    <w:rsid w:val="0AE778EA"/>
    <w:rsid w:val="0B421754"/>
    <w:rsid w:val="0BA47CDA"/>
    <w:rsid w:val="0C1977CA"/>
    <w:rsid w:val="0E99714E"/>
    <w:rsid w:val="0EA33348"/>
    <w:rsid w:val="0EEC54CF"/>
    <w:rsid w:val="0EF80318"/>
    <w:rsid w:val="0F362BEE"/>
    <w:rsid w:val="10D95F27"/>
    <w:rsid w:val="117D057E"/>
    <w:rsid w:val="126E3AEF"/>
    <w:rsid w:val="13A520F1"/>
    <w:rsid w:val="143E4A1F"/>
    <w:rsid w:val="154A1CA9"/>
    <w:rsid w:val="172C023E"/>
    <w:rsid w:val="18C43019"/>
    <w:rsid w:val="197A17D9"/>
    <w:rsid w:val="1AE4362D"/>
    <w:rsid w:val="1B9F2C06"/>
    <w:rsid w:val="1C5823F6"/>
    <w:rsid w:val="1CB03FE0"/>
    <w:rsid w:val="1D4210E1"/>
    <w:rsid w:val="20D65FDF"/>
    <w:rsid w:val="22754915"/>
    <w:rsid w:val="22D05153"/>
    <w:rsid w:val="258E6E89"/>
    <w:rsid w:val="25A466AC"/>
    <w:rsid w:val="25BC39F6"/>
    <w:rsid w:val="2665408D"/>
    <w:rsid w:val="272C6959"/>
    <w:rsid w:val="28A36429"/>
    <w:rsid w:val="2B3202B6"/>
    <w:rsid w:val="2C4B5AD3"/>
    <w:rsid w:val="2C7444B9"/>
    <w:rsid w:val="2E9F3EB4"/>
    <w:rsid w:val="2ED55B28"/>
    <w:rsid w:val="32101D0B"/>
    <w:rsid w:val="32562ADC"/>
    <w:rsid w:val="33C817B8"/>
    <w:rsid w:val="33FE5E58"/>
    <w:rsid w:val="34741DB3"/>
    <w:rsid w:val="34A031B3"/>
    <w:rsid w:val="3585695C"/>
    <w:rsid w:val="35F07BD9"/>
    <w:rsid w:val="3A015DF3"/>
    <w:rsid w:val="3DDB495B"/>
    <w:rsid w:val="3E416AF9"/>
    <w:rsid w:val="3E720C9E"/>
    <w:rsid w:val="427B304B"/>
    <w:rsid w:val="44054362"/>
    <w:rsid w:val="44DD0E3B"/>
    <w:rsid w:val="44E67E08"/>
    <w:rsid w:val="451C5E07"/>
    <w:rsid w:val="46A24A33"/>
    <w:rsid w:val="46B8631C"/>
    <w:rsid w:val="47501D98"/>
    <w:rsid w:val="47DB78B4"/>
    <w:rsid w:val="4890451C"/>
    <w:rsid w:val="4890663D"/>
    <w:rsid w:val="4A275032"/>
    <w:rsid w:val="4FE237A9"/>
    <w:rsid w:val="52045C59"/>
    <w:rsid w:val="540C5299"/>
    <w:rsid w:val="54532393"/>
    <w:rsid w:val="5596179E"/>
    <w:rsid w:val="55CD2162"/>
    <w:rsid w:val="599D70BF"/>
    <w:rsid w:val="5A144EA7"/>
    <w:rsid w:val="5A61633E"/>
    <w:rsid w:val="5A9009D2"/>
    <w:rsid w:val="5B0B05EE"/>
    <w:rsid w:val="5B3A6B8F"/>
    <w:rsid w:val="5D086F45"/>
    <w:rsid w:val="5E235E72"/>
    <w:rsid w:val="60F53CD0"/>
    <w:rsid w:val="630203DE"/>
    <w:rsid w:val="63691DC0"/>
    <w:rsid w:val="63D00152"/>
    <w:rsid w:val="63F43D7F"/>
    <w:rsid w:val="64122457"/>
    <w:rsid w:val="64917820"/>
    <w:rsid w:val="67C91250"/>
    <w:rsid w:val="694766FF"/>
    <w:rsid w:val="69C441F4"/>
    <w:rsid w:val="6AAD4C88"/>
    <w:rsid w:val="6B1765A5"/>
    <w:rsid w:val="6EAB5982"/>
    <w:rsid w:val="6FCF6351"/>
    <w:rsid w:val="6FFECAA6"/>
    <w:rsid w:val="70241EE0"/>
    <w:rsid w:val="70762BCA"/>
    <w:rsid w:val="717C1858"/>
    <w:rsid w:val="72F137D4"/>
    <w:rsid w:val="737F734B"/>
    <w:rsid w:val="73C6500C"/>
    <w:rsid w:val="75E8126A"/>
    <w:rsid w:val="772D08C3"/>
    <w:rsid w:val="776C7C79"/>
    <w:rsid w:val="78350FBB"/>
    <w:rsid w:val="79317EBA"/>
    <w:rsid w:val="7A707A80"/>
    <w:rsid w:val="7A7EBFA6"/>
    <w:rsid w:val="7AC202DC"/>
    <w:rsid w:val="7B6602F6"/>
    <w:rsid w:val="7B735A7A"/>
    <w:rsid w:val="7BDC53CD"/>
    <w:rsid w:val="7D112885"/>
    <w:rsid w:val="7D8B1972"/>
    <w:rsid w:val="7E472E15"/>
    <w:rsid w:val="7EEFEDBD"/>
    <w:rsid w:val="9FEDE924"/>
    <w:rsid w:val="B4CB74D9"/>
    <w:rsid w:val="D7BF8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after="160" w:line="600" w:lineRule="exact"/>
      <w:ind w:firstLine="640" w:firstLineChars="200"/>
      <w:jc w:val="both"/>
    </w:pP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style>
  <w:style w:type="paragraph" w:styleId="3">
    <w:name w:val="heading 1"/>
    <w:basedOn w:val="1"/>
    <w:next w:val="1"/>
    <w:link w:val="20"/>
    <w:qFormat/>
    <w:uiPriority w:val="0"/>
    <w:pPr>
      <w:keepNext/>
      <w:keepLines/>
      <w:numPr>
        <w:ilvl w:val="0"/>
        <w:numId w:val="1"/>
      </w:numPr>
      <w:spacing w:before="50" w:beforeLines="50" w:after="50" w:afterLines="50" w:line="360" w:lineRule="auto"/>
      <w:ind w:firstLine="0" w:firstLineChars="0"/>
      <w:outlineLvl w:val="0"/>
    </w:pPr>
    <w:rPr>
      <w:rFonts w:eastAsia="黑体" w:asciiTheme="minorHAnsi" w:hAnsiTheme="minorHAnsi"/>
      <w:bCs/>
      <w:kern w:val="44"/>
      <w:szCs w:val="44"/>
    </w:rPr>
  </w:style>
  <w:style w:type="paragraph" w:styleId="4">
    <w:name w:val="heading 2"/>
    <w:basedOn w:val="1"/>
    <w:next w:val="1"/>
    <w:link w:val="21"/>
    <w:unhideWhenUsed/>
    <w:qFormat/>
    <w:uiPriority w:val="0"/>
    <w:pPr>
      <w:keepNext/>
      <w:keepLines/>
      <w:spacing w:line="360" w:lineRule="auto"/>
      <w:ind w:firstLine="0" w:firstLineChars="0"/>
      <w:outlineLvl w:val="1"/>
    </w:pPr>
    <w:rPr>
      <w:rFonts w:ascii="Arial" w:hAnsi="Arial" w:eastAsia="楷体"/>
      <w:b/>
      <w:szCs w:val="22"/>
    </w:rPr>
  </w:style>
  <w:style w:type="paragraph" w:styleId="5">
    <w:name w:val="heading 3"/>
    <w:basedOn w:val="1"/>
    <w:next w:val="1"/>
    <w:semiHidden/>
    <w:unhideWhenUsed/>
    <w:qFormat/>
    <w:uiPriority w:val="0"/>
    <w:pPr>
      <w:keepNext/>
      <w:keepLines/>
      <w:numPr>
        <w:ilvl w:val="2"/>
        <w:numId w:val="1"/>
      </w:numPr>
      <w:spacing w:line="360" w:lineRule="auto"/>
      <w:ind w:left="0" w:firstLine="720" w:firstLineChars="0"/>
      <w:outlineLvl w:val="2"/>
    </w:pPr>
    <w:rPr>
      <w:rFonts w:asciiTheme="minorHAnsi" w:hAnsiTheme="minorHAnsi" w:eastAsiaTheme="minorEastAsia"/>
      <w:b/>
      <w:szCs w:val="22"/>
    </w:rPr>
  </w:style>
  <w:style w:type="paragraph" w:styleId="6">
    <w:name w:val="heading 4"/>
    <w:basedOn w:val="1"/>
    <w:next w:val="1"/>
    <w:semiHidden/>
    <w:unhideWhenUsed/>
    <w:qFormat/>
    <w:uiPriority w:val="0"/>
    <w:pPr>
      <w:keepNext/>
      <w:keepLines/>
      <w:numPr>
        <w:ilvl w:val="3"/>
        <w:numId w:val="1"/>
      </w:numPr>
      <w:spacing w:line="360" w:lineRule="auto"/>
      <w:outlineLvl w:val="3"/>
    </w:pPr>
    <w:rPr>
      <w:rFonts w:ascii="Arial" w:hAnsi="Arial"/>
      <w:b/>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rPr>
      <w:sz w:val="18"/>
    </w:rPr>
  </w:style>
  <w:style w:type="paragraph" w:styleId="12">
    <w:name w:val="Date"/>
    <w:basedOn w:val="1"/>
    <w:next w:val="1"/>
    <w:link w:val="23"/>
    <w:qFormat/>
    <w:uiPriority w:val="0"/>
    <w:pPr>
      <w:ind w:left="100" w:leftChars="2500"/>
    </w:pPr>
  </w:style>
  <w:style w:type="paragraph" w:styleId="13">
    <w:name w:val="footer"/>
    <w:basedOn w:val="1"/>
    <w:next w:val="14"/>
    <w:link w:val="22"/>
    <w:unhideWhenUsed/>
    <w:qFormat/>
    <w:uiPriority w:val="99"/>
    <w:pPr>
      <w:tabs>
        <w:tab w:val="center" w:pos="4153"/>
        <w:tab w:val="right" w:pos="8306"/>
      </w:tabs>
    </w:pPr>
    <w:rPr>
      <w:sz w:val="18"/>
      <w:szCs w:val="18"/>
    </w:rPr>
  </w:style>
  <w:style w:type="paragraph" w:styleId="1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15">
    <w:name w:val="Normal (Web)"/>
    <w:basedOn w:val="1"/>
    <w:qFormat/>
    <w:uiPriority w:val="0"/>
    <w:pPr>
      <w:spacing w:beforeAutospacing="1" w:after="0" w:afterAutospacing="1"/>
      <w:jc w:val="left"/>
    </w:pPr>
    <w:rPr>
      <w:kern w:val="0"/>
      <w:sz w:val="24"/>
    </w:rPr>
  </w:style>
  <w:style w:type="character" w:styleId="18">
    <w:name w:val="Strong"/>
    <w:basedOn w:val="17"/>
    <w:qFormat/>
    <w:uiPriority w:val="22"/>
    <w:rPr>
      <w:b/>
      <w:bCs/>
    </w:rPr>
  </w:style>
  <w:style w:type="character" w:styleId="19">
    <w:name w:val="Hyperlink"/>
    <w:basedOn w:val="17"/>
    <w:qFormat/>
    <w:uiPriority w:val="0"/>
    <w:rPr>
      <w:color w:val="0000FF"/>
      <w:u w:val="single"/>
    </w:rPr>
  </w:style>
  <w:style w:type="character" w:customStyle="1" w:styleId="20">
    <w:name w:val="标题 1 字符"/>
    <w:basedOn w:val="17"/>
    <w:link w:val="3"/>
    <w:qFormat/>
    <w:uiPriority w:val="0"/>
    <w:rPr>
      <w:rFonts w:eastAsia="黑体" w:cs="Times New Roman" w:asciiTheme="minorHAnsi" w:hAnsiTheme="minorHAnsi"/>
      <w:bCs/>
      <w:kern w:val="44"/>
      <w:sz w:val="32"/>
      <w:szCs w:val="44"/>
    </w:rPr>
  </w:style>
  <w:style w:type="character" w:customStyle="1" w:styleId="21">
    <w:name w:val="标题 2 字符"/>
    <w:link w:val="4"/>
    <w:qFormat/>
    <w:uiPriority w:val="0"/>
    <w:rPr>
      <w:rFonts w:ascii="Arial" w:hAnsi="Arial" w:eastAsia="楷体" w:cs="Times New Roman"/>
      <w:b/>
      <w:color w:val="000000" w:themeColor="text1"/>
      <w:kern w:val="2"/>
      <w:sz w:val="32"/>
      <w:szCs w:val="22"/>
      <w14:textFill>
        <w14:solidFill>
          <w14:schemeClr w14:val="tx1"/>
        </w14:solidFill>
      </w14:textFill>
    </w:rPr>
  </w:style>
  <w:style w:type="character" w:customStyle="1" w:styleId="22">
    <w:name w:val="页脚 字符"/>
    <w:basedOn w:val="17"/>
    <w:link w:val="13"/>
    <w:qFormat/>
    <w:uiPriority w:val="99"/>
    <w:rPr>
      <w:rFonts w:ascii="Calibri" w:hAnsi="Calibri" w:eastAsia="仿宋_GB2312" w:cs="Times New Roman"/>
      <w:kern w:val="2"/>
      <w:sz w:val="18"/>
      <w:szCs w:val="18"/>
    </w:rPr>
  </w:style>
  <w:style w:type="character" w:customStyle="1" w:styleId="23">
    <w:name w:val="日期 字符"/>
    <w:basedOn w:val="17"/>
    <w:link w:val="12"/>
    <w:qFormat/>
    <w:uiPriority w:val="0"/>
    <w:rPr>
      <w:rFonts w:ascii="Calibri" w:hAnsi="Calibri" w:eastAsia="仿宋_GB2312" w:cs="Times New Roman"/>
      <w:kern w:val="2"/>
      <w:sz w:val="24"/>
      <w:szCs w:val="21"/>
    </w:rPr>
  </w:style>
  <w:style w:type="paragraph" w:customStyle="1" w:styleId="24">
    <w:name w:val="修订1"/>
    <w:hidden/>
    <w:unhideWhenUsed/>
    <w:qFormat/>
    <w:uiPriority w:val="99"/>
    <w:pPr>
      <w:spacing w:after="160" w:line="278" w:lineRule="auto"/>
    </w:pPr>
    <w:rPr>
      <w:rFonts w:ascii="Calibri" w:hAnsi="Calibri" w:eastAsia="仿宋_GB2312" w:cs="Times New Roman"/>
      <w:kern w:val="2"/>
      <w:sz w:val="24"/>
      <w:szCs w:val="21"/>
      <w:lang w:val="en-US" w:eastAsia="zh-CN" w:bidi="ar-SA"/>
    </w:rPr>
  </w:style>
  <w:style w:type="paragraph" w:styleId="25">
    <w:name w:val="List Paragraph"/>
    <w:basedOn w:val="1"/>
    <w:unhideWhenUsed/>
    <w:qFormat/>
    <w:uiPriority w:val="99"/>
    <w:pPr>
      <w:ind w:firstLine="420"/>
    </w:pPr>
  </w:style>
  <w:style w:type="paragraph" w:customStyle="1" w:styleId="26">
    <w:name w:val="修订2"/>
    <w:hidden/>
    <w:unhideWhenUsed/>
    <w:qFormat/>
    <w:uiPriority w:val="99"/>
    <w:pPr>
      <w:spacing w:after="160" w:line="278" w:lineRule="auto"/>
    </w:pP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style>
  <w:style w:type="paragraph" w:customStyle="1" w:styleId="27">
    <w:name w:val="修订3"/>
    <w:hidden/>
    <w:unhideWhenUsed/>
    <w:qFormat/>
    <w:uiPriority w:val="99"/>
    <w:pPr>
      <w:spacing w:after="160" w:line="278" w:lineRule="auto"/>
    </w:pP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style>
  <w:style w:type="paragraph" w:customStyle="1" w:styleId="28">
    <w:name w:val="修订4"/>
    <w:hidden/>
    <w:unhideWhenUsed/>
    <w:qFormat/>
    <w:uiPriority w:val="99"/>
    <w:pPr>
      <w:spacing w:after="160" w:line="278" w:lineRule="auto"/>
    </w:pPr>
    <w:rPr>
      <w:rFonts w:ascii="Times New Roman" w:hAnsi="Times New Roman" w:eastAsia="仿宋" w:cs="Times New Roman"/>
      <w:color w:val="000000" w:themeColor="text1"/>
      <w:kern w:val="2"/>
      <w:sz w:val="32"/>
      <w:szCs w:val="3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2083</Words>
  <Characters>2095</Characters>
  <Lines>15</Lines>
  <Paragraphs>4</Paragraphs>
  <TotalTime>42</TotalTime>
  <ScaleCrop>false</ScaleCrop>
  <LinksUpToDate>false</LinksUpToDate>
  <CharactersWithSpaces>2125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2024-06-12T10:25:00Z</dcterms:created>
  <dc:creator>雷波</dc:creator>
  <cp:lastModifiedBy>陈秀</cp:lastModifiedBy>
  <cp:lastPrinted>2024-08-30T14:17:00Z</cp:lastPrinted>
  <dcterms:modified xsi:type="dcterms:W3CDTF">2024-11-05T04:51:04Z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64914250D16B4428AEC2E73AB32E4ABF_13</vt:lpwstr>
  </property>
</Properties>
</file>