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（乡村复兴少年宫建设）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该项目由区委宣传部的有力指导下进行，项目申报资金等情况良好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，预算资金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批复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及时，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符合资金管理办法等相关规定。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该项目主要围绕同德镇中心校现有场地打造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1个新时代乡村复兴少年宫，完善相关门牌、制度上墙，改善相关教学配套设施设备。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项目申报内容与具体实施内容相符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1．资金计划及到位。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该项目资金计划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实际到位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属于财政资金，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2．资金使用。该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项目资金的实际支出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因年底财政收回指标，预计在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2023年完成支付。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良好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严格执行财务管理制度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财务处理及时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受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到分管副镇长高度重视，积极与区委宣传部加强联系，争取有力指导，建设过程中强化监管措施，为同德镇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乡村复兴少年宫建成打下了坚实基础。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在合同时间内高质量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了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乡村复兴少年宫建设，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由镇、村两级共同完成验收，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因年底财政收回指标，预计在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2023年完成支付，总体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完成情况良好。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en-US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该项目打造成功后，社区家长、儿童满意率达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100%，项目效益良好。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25E06B0"/>
    <w:rsid w:val="08830107"/>
    <w:rsid w:val="0E86152E"/>
    <w:rsid w:val="0EDB478C"/>
    <w:rsid w:val="13E620B2"/>
    <w:rsid w:val="17252504"/>
    <w:rsid w:val="181C089E"/>
    <w:rsid w:val="1DB10E44"/>
    <w:rsid w:val="260470EF"/>
    <w:rsid w:val="291C455A"/>
    <w:rsid w:val="2B7B4862"/>
    <w:rsid w:val="36926D0C"/>
    <w:rsid w:val="36D15485"/>
    <w:rsid w:val="4A4970F0"/>
    <w:rsid w:val="4D8A04C7"/>
    <w:rsid w:val="4DAF2BCF"/>
    <w:rsid w:val="4DDB6F66"/>
    <w:rsid w:val="5B264E92"/>
    <w:rsid w:val="5B845B21"/>
    <w:rsid w:val="5D204456"/>
    <w:rsid w:val="6ED7199B"/>
    <w:rsid w:val="73C2417B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CBBB8BE1F92649B0904FA521ECB79B70</vt:lpwstr>
  </property>
</Properties>
</file>