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（2022年市级少数民族发展资金和自发迁居农民专项资金项目）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8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2022年12月13日区级下达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zh-CN" w:eastAsia="zh-CN" w:bidi="ar-SA"/>
        </w:rPr>
        <w:t>2022年市级少数民族发展资金和自发迁居农民专项资金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15万元，用于道中桥村沃柑基地建设（沃柑苗补助）。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攀仁财资农〔2022〕153号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下达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2022年市级少数民族发展资金和自发迁居农民专项资金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15万元，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该项目资金主要用于沃柑基地苗木补助，促进沃柑连片发展，壮大村集体经济发展，带动周围群众增收。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属于市级资金，将资金到位情况与资金计划进行比对，资金到位率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。因项目未开展实施，未实现资金支付。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2022年未实现资金支付。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项目财务管理制度建设、机构设置、会计核算及账务处理等相关情况符合要求。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项目计划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2023年开展组织实施</w:t>
      </w:r>
      <w:r>
        <w:rPr>
          <w:rFonts w:hint="eastAsia" w:ascii="仿宋_GB2312" w:hAnsi="宋体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2022年度项目未开工建设。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通过项目实施，将壮大村集体经济，带动群众增收；可实现沃柑连片种植发展，促进攀西效果经济发展。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8273270"/>
    <w:rsid w:val="0CF33F77"/>
    <w:rsid w:val="0EDB478C"/>
    <w:rsid w:val="15016082"/>
    <w:rsid w:val="17252504"/>
    <w:rsid w:val="1FCE373D"/>
    <w:rsid w:val="291C455A"/>
    <w:rsid w:val="2B7B4862"/>
    <w:rsid w:val="359F1476"/>
    <w:rsid w:val="36926D0C"/>
    <w:rsid w:val="38D717CE"/>
    <w:rsid w:val="42FE1995"/>
    <w:rsid w:val="478E1476"/>
    <w:rsid w:val="4A4970F0"/>
    <w:rsid w:val="4DAF2BCF"/>
    <w:rsid w:val="4DDB6F66"/>
    <w:rsid w:val="526428B8"/>
    <w:rsid w:val="55FF30A4"/>
    <w:rsid w:val="5B260E18"/>
    <w:rsid w:val="5B264E92"/>
    <w:rsid w:val="62AC31F3"/>
    <w:rsid w:val="73C2417B"/>
    <w:rsid w:val="792F2AEE"/>
    <w:rsid w:val="7E1F76D1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4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2023-05-15T07:17:36Z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CBBB8BE1F92649B0904FA521ECB79B70</vt:lpwstr>
  </property>
</Properties>
</file>