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攀枝花市仁和区同德镇人民政府2023年专项预算项目支出绩效自评报告</w: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（疫情防控和森林草原防灭火工作协调经费）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该项目2022年12月30日省级预算下达我镇，森林草原防灭火广告费用和疫情防控工作经费5万元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攀仁财资预乡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〔2022〕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29号、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攀财资预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〔2022〕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56号，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2022年森林草原防灭火广告费用和疫情防控工作经费5万元，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该项目主要用于森林防灭火制作标语、横幅、及其它宣传费用，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疫情防控工作就餐等费用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</w:t>
      </w:r>
      <w:r>
        <w:rPr>
          <w:rFonts w:hint="eastAsia" w:ascii="仿宋_GB2312" w:hAnsi="宋体"/>
          <w:lang w:val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bCs/>
          <w:lang w:val="zh-CN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该项目各类资金计划属于单位自筹资金及其他渠道资金，将资金到位情况与资金计划进行比对，资金到位率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该项目2022年12月30日省级预算下达我镇，2023年1月初完成支付，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无剩余资金。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该项目资金的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2022年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实际支出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0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说明项目财务管理制度建设、机构设置、会计核算及账务处理等情况符合相关要求。该项目资金管理办法，评价项目严格执行财务管理制度、财务处理及时、会计核算规范。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该项目由镇森林防灭火应急指挥部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及疫情防控工作领导小组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组织实施，接受镇、区相关部门监管，严格按照相关执行要求进行管理。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该项目主要用于森林防灭火制作标语、横幅、及其它宣传费用，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疫情防控工作就餐等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，圆满实现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2022年森林草原防灭火零火情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目标，圆满完成了我镇疫情防控相关工作。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该项目实现了我镇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2022年零火情，为保护我镇森林资源不受损失，人民群众财产安全不受危害，实现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生态可持续发展起到了积极作用，同时圆满完成了我镇疫情防控相关工作，对我镇新冠肺炎防控工作起到了积极作用，使我镇群众对森林防灭火工作和疫情防控工作大为满意。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楷体_GB2312" w:hAnsi="宋体" w:eastAsia="楷体_GB2312"/>
          <w:b/>
          <w:bCs w:val="0"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（一）存在的问题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lang w:val="en-US" w:eastAsia="zh-CN"/>
        </w:rPr>
      </w:pPr>
      <w:r>
        <w:rPr>
          <w:rFonts w:hint="eastAsia" w:ascii="仿宋_GB2312" w:hAnsi="宋体"/>
          <w:lang w:val="zh-CN"/>
        </w:rPr>
        <w:t>无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eastAsia" w:ascii="楷体_GB2312" w:hAnsi="宋体" w:eastAsia="楷体_GB2312"/>
          <w:b/>
          <w:bCs w:val="0"/>
          <w:lang w:val="zh-CN" w:eastAsia="zh-CN"/>
        </w:rPr>
      </w:pPr>
      <w:r>
        <w:rPr>
          <w:rFonts w:hint="eastAsia" w:ascii="楷体_GB2312" w:hAnsi="宋体" w:eastAsia="楷体_GB2312"/>
          <w:b/>
          <w:bCs w:val="0"/>
          <w:lang w:val="zh-CN" w:eastAsia="zh-CN"/>
        </w:rPr>
        <w:t>（二）相关建议</w:t>
      </w:r>
    </w:p>
    <w:p>
      <w:pPr>
        <w:adjustRightInd w:val="0"/>
        <w:snapToGrid w:val="0"/>
        <w:spacing w:line="560" w:lineRule="exact"/>
        <w:ind w:firstLine="720"/>
      </w:pPr>
      <w:r>
        <w:rPr>
          <w:rFonts w:hint="eastAsia" w:ascii="楷体_GB2312" w:hAnsi="宋体" w:eastAsia="楷体_GB2312"/>
          <w:b w:val="0"/>
          <w:bCs/>
          <w:lang w:val="zh-CN" w:eastAsia="zh-CN"/>
        </w:rPr>
        <w:t>无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  <w:embedRegular r:id="rId1" w:fontKey="{FA8AF0A5-36E4-4E1B-90B6-A396B61BA414}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  <w:embedRegular r:id="rId2" w:fontKey="{01302228-9F97-4FAA-852F-B283A762F73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9960513-2F4C-4DB1-8102-010399ED62F1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6C832F81-A115-4F97-883A-D3AF18D0E95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41063F3C-8E40-42C3-94D6-F77A38FC8FC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152C9"/>
    <w:rsid w:val="00866E99"/>
    <w:rsid w:val="048A40F2"/>
    <w:rsid w:val="098269A5"/>
    <w:rsid w:val="0CEA12C0"/>
    <w:rsid w:val="0EDB478C"/>
    <w:rsid w:val="10142F30"/>
    <w:rsid w:val="15F50E74"/>
    <w:rsid w:val="17252504"/>
    <w:rsid w:val="17EF0CD3"/>
    <w:rsid w:val="19B5733A"/>
    <w:rsid w:val="1C985929"/>
    <w:rsid w:val="212D69C7"/>
    <w:rsid w:val="243954FA"/>
    <w:rsid w:val="25162E4E"/>
    <w:rsid w:val="291C455A"/>
    <w:rsid w:val="2B7B4862"/>
    <w:rsid w:val="2E105B20"/>
    <w:rsid w:val="36926D0C"/>
    <w:rsid w:val="3A733554"/>
    <w:rsid w:val="3C6D5036"/>
    <w:rsid w:val="40B07AB8"/>
    <w:rsid w:val="4A4970F0"/>
    <w:rsid w:val="4C244FC8"/>
    <w:rsid w:val="4DAF2BCF"/>
    <w:rsid w:val="4DDB6F66"/>
    <w:rsid w:val="503D33DB"/>
    <w:rsid w:val="55D41951"/>
    <w:rsid w:val="571D087F"/>
    <w:rsid w:val="574249B5"/>
    <w:rsid w:val="59744A70"/>
    <w:rsid w:val="5B264E92"/>
    <w:rsid w:val="5E0821D5"/>
    <w:rsid w:val="5F19017F"/>
    <w:rsid w:val="63274660"/>
    <w:rsid w:val="6CAE5DEF"/>
    <w:rsid w:val="700237D6"/>
    <w:rsid w:val="70D93433"/>
    <w:rsid w:val="71C224FB"/>
    <w:rsid w:val="72FB6C28"/>
    <w:rsid w:val="73C2417B"/>
    <w:rsid w:val="78404F59"/>
    <w:rsid w:val="792F2AEE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26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2023-05-15T07:13:13Z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62EA5515AE4A4410BF7C3B305A31705F</vt:lpwstr>
  </property>
</Properties>
</file>