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6"/>
        <w:spacing w:line="560" w:lineRule="exact"/>
        <w:jc w:val="center"/>
        <w:rPr>
          <w:rFonts w:ascii="宋体" w:hAnsi="宋体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（定点帮扶村公共服务补助资金）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highlight w:val="none"/>
          <w:lang w:val="zh-CN" w:eastAsia="zh-CN"/>
        </w:rPr>
      </w:pPr>
      <w:r>
        <w:rPr>
          <w:rFonts w:hint="eastAsia" w:ascii="楷体_GB2312" w:hAnsi="宋体" w:eastAsia="楷体_GB2312"/>
          <w:b/>
          <w:highlight w:val="none"/>
          <w:lang w:val="zh-CN" w:eastAsia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highlight w:val="yellow"/>
          <w:lang w:val="zh-CN"/>
        </w:rPr>
      </w:pPr>
      <w:r>
        <w:rPr>
          <w:rFonts w:hint="eastAsia" w:ascii="仿宋_GB2312" w:hAnsi="宋体"/>
          <w:lang w:val="zh-CN" w:eastAsia="zh-CN"/>
        </w:rPr>
        <w:t>根据</w:t>
      </w:r>
      <w:r>
        <w:rPr>
          <w:rFonts w:hint="eastAsia" w:ascii="仿宋_GB2312" w:hAnsi="宋体"/>
          <w:lang w:val="en-US" w:eastAsia="zh-CN"/>
        </w:rPr>
        <w:t>攀仁财资预乡</w:t>
      </w:r>
      <w:r>
        <w:rPr>
          <w:rFonts w:hint="default" w:ascii="仿宋_GB2312" w:hAnsi="宋体"/>
          <w:lang w:val="en-US" w:eastAsia="zh-CN"/>
        </w:rPr>
        <w:t>〔2022〕28号文件相关内容</w:t>
      </w:r>
      <w:r>
        <w:rPr>
          <w:rFonts w:hint="default" w:ascii="仿宋_GB2312" w:hAnsi="宋体"/>
          <w:lang w:val="zh-CN"/>
        </w:rPr>
        <w:t>，申请并经上级批复</w:t>
      </w:r>
      <w:r>
        <w:rPr>
          <w:rFonts w:hint="eastAsia" w:ascii="仿宋_GB2312" w:hAnsi="宋体"/>
          <w:lang w:val="en-US" w:eastAsia="zh-CN"/>
        </w:rPr>
        <w:t>定点帮扶村公共服务补助资金10万元，其中干坝子村、大龙潭村</w:t>
      </w:r>
      <w:r>
        <w:rPr>
          <w:rFonts w:hint="default" w:ascii="仿宋_GB2312" w:hAnsi="宋体"/>
          <w:lang w:val="en-US" w:eastAsia="zh-CN"/>
        </w:rPr>
        <w:t>村各5万元，</w:t>
      </w:r>
      <w:r>
        <w:rPr>
          <w:rFonts w:hint="eastAsia" w:ascii="仿宋_GB2312" w:hAnsi="宋体"/>
          <w:lang w:val="zh-CN"/>
        </w:rPr>
        <w:t>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项目绩效目标。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none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开展村庄整治、基础设施建设、产业帮扶等项目。</w:t>
      </w:r>
    </w:p>
    <w:p>
      <w:pPr>
        <w:pStyle w:val="6"/>
        <w:spacing w:line="560" w:lineRule="exact"/>
        <w:ind w:firstLine="562" w:firstLineChars="200"/>
        <w:jc w:val="left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pStyle w:val="6"/>
        <w:spacing w:line="560" w:lineRule="exact"/>
        <w:ind w:firstLine="640" w:firstLineChars="200"/>
        <w:jc w:val="left"/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</w:pPr>
      <w:r>
        <w:rPr>
          <w:rFonts w:hint="default" w:ascii="仿宋_GB2312" w:hAnsi="宋体" w:eastAsia="仿宋_GB2312"/>
          <w:color w:val="auto"/>
          <w:kern w:val="2"/>
          <w:sz w:val="32"/>
          <w:szCs w:val="32"/>
          <w:lang w:val="zh-CN" w:eastAsia="zh-CN"/>
        </w:rPr>
        <w:t>该项目申报内容是与具体实施内容相符、申报目标合理可行。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1．资金计划及到位。资金计划及到位。</w:t>
      </w:r>
      <w:r>
        <w:rPr>
          <w:rFonts w:hint="eastAsia" w:ascii="仿宋_GB2312" w:hAnsi="宋体"/>
          <w:lang w:val="zh-CN"/>
        </w:rPr>
        <w:t>该项目资金到位与资金计划一致，资金到位率</w:t>
      </w:r>
      <w:bookmarkStart w:id="0" w:name="OLE_LINK1"/>
      <w:r>
        <w:rPr>
          <w:rFonts w:hint="eastAsia" w:ascii="仿宋_GB2312" w:hAnsi="宋体"/>
        </w:rPr>
        <w:t>100％</w:t>
      </w:r>
      <w:r>
        <w:rPr>
          <w:rFonts w:hint="eastAsia" w:ascii="仿宋_GB2312" w:hAnsi="宋体"/>
          <w:lang w:val="zh-CN"/>
        </w:rPr>
        <w:t>，</w:t>
      </w:r>
      <w:bookmarkEnd w:id="0"/>
      <w:r>
        <w:rPr>
          <w:rFonts w:hint="eastAsia" w:ascii="仿宋_GB2312" w:hAnsi="宋体"/>
          <w:lang w:val="zh-CN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highlight w:val="none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</w:t>
      </w:r>
      <w:r>
        <w:rPr>
          <w:rFonts w:hint="eastAsia" w:ascii="楷体_GB2312" w:hAnsi="宋体" w:eastAsia="楷体_GB2312"/>
          <w:highlight w:val="none"/>
          <w:lang w:val="zh-CN"/>
        </w:rPr>
        <w:t>。</w:t>
      </w:r>
      <w:r>
        <w:rPr>
          <w:rFonts w:hint="eastAsia" w:ascii="仿宋_GB2312" w:hAnsi="宋体"/>
          <w:highlight w:val="none"/>
          <w:lang w:val="zh-CN"/>
        </w:rPr>
        <w:t>截止2022年12月31日，该项目资金已支付</w:t>
      </w:r>
      <w:r>
        <w:rPr>
          <w:rFonts w:hint="eastAsia" w:ascii="仿宋_GB2312" w:hAnsi="宋体"/>
          <w:highlight w:val="none"/>
          <w:lang w:val="en-US" w:eastAsia="zh-CN"/>
        </w:rPr>
        <w:t>10万</w:t>
      </w:r>
      <w:r>
        <w:rPr>
          <w:rFonts w:hint="eastAsia" w:ascii="仿宋_GB2312" w:hAnsi="宋体"/>
          <w:highlight w:val="none"/>
        </w:rPr>
        <w:t>元</w:t>
      </w:r>
      <w:r>
        <w:rPr>
          <w:rFonts w:hint="eastAsia" w:ascii="仿宋_GB2312" w:hAnsi="宋体"/>
          <w:highlight w:val="none"/>
          <w:lang w:val="zh-CN"/>
        </w:rPr>
        <w:t>，资金实际支出率为</w:t>
      </w:r>
      <w:r>
        <w:rPr>
          <w:rFonts w:hint="eastAsia" w:ascii="仿宋_GB2312" w:hAnsi="宋体"/>
          <w:highlight w:val="none"/>
        </w:rPr>
        <w:t>100</w:t>
      </w:r>
      <w:r>
        <w:rPr>
          <w:rFonts w:hint="eastAsia" w:ascii="仿宋_GB2312" w:hAnsi="宋体"/>
          <w:highlight w:val="none"/>
          <w:lang w:val="zh-CN"/>
        </w:rPr>
        <w:t>％，支付依据合规合法，资金支付与预算相符。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仿宋_GB2312" w:hAnsi="宋体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本单位严格遵守财务管理制度进行项目管理，按照专款专用安排使用资金，及时进行账务处理，并进行准确核算。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bookmarkStart w:id="1" w:name="_GoBack"/>
      <w:bookmarkEnd w:id="1"/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cs="Times New Roman"/>
          <w:kern w:val="0"/>
          <w:sz w:val="32"/>
          <w:szCs w:val="32"/>
          <w:lang w:val="en-US" w:eastAsia="zh-CN"/>
        </w:rPr>
        <w:t>干坝子村、大龙潭村，将资金用于基础设施建设，改善人居环境。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 w:firstLine="640" w:firstLineChars="200"/>
        <w:rPr>
          <w:rFonts w:hint="eastAsia" w:ascii="仿宋_GB2312" w:hAnsi="宋体"/>
          <w:highlight w:val="none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巩固拓展脱贫攻坚成果，壮大村级集体经济，进一步推动脱贫攻坚与乡村振兴战略有效衔接，增加群众幸福感。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pStyle w:val="2"/>
        <w:ind w:firstLine="1280" w:firstLineChars="4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rPr>
          <w:rFonts w:hint="eastAsia" w:eastAsia="楷体_GB2312" w:cs="Times New Roman"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      </w:t>
      </w:r>
      <w:r>
        <w:rPr>
          <w:rFonts w:hint="eastAsia" w:eastAsia="楷体_GB2312" w:cs="Times New Roman"/>
          <w:lang w:val="en-US" w:eastAsia="zh-CN"/>
        </w:rPr>
        <w:t xml:space="preserve"> 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40" w:firstLineChars="7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59264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Z445nbAAAADAEAAA8AAAAAAAAAAQAgAAAAIgAAAGRycy9kb3ducmV2LnhtbFBLAQIUABQAAAAI&#10;AIdO4kDHQ+5DlQIAACsHAAAOAAAAAAAAAAEAIAAAACoBAABkcnMvZTJvRG9jLnhtbFBLBQYAAAAA&#10;BgAGAFkBAAAx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eastAsia="楷体_GB2312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B748C0"/>
    <w:multiLevelType w:val="singleLevel"/>
    <w:tmpl w:val="C2B748C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BCA4642"/>
    <w:multiLevelType w:val="singleLevel"/>
    <w:tmpl w:val="4BCA464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30D3A1D"/>
    <w:rsid w:val="1E051EDA"/>
    <w:rsid w:val="272F33F1"/>
    <w:rsid w:val="291C455A"/>
    <w:rsid w:val="36926D0C"/>
    <w:rsid w:val="3A222A44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16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2023-05-15T07:42:16Z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2E65179F39F548FA93666D495D633595</vt:lpwstr>
  </property>
</Properties>
</file>