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5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（2021年农村综合改革转移支付预算（美丽乡村奖补））</w:t>
      </w:r>
    </w:p>
    <w:p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仁和区财政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为项目主管部门，对项目的建设进行审查及监管。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2、根据仁和区水利局《关于仁和区2021年美丽乡村建设项目-大龙潭彝族乡基础设施建设给水工程项目设计报告批复的函》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攀仁水函〔2022〕79号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实施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给水项目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基础设施项目经仁和区财政局审批实施。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3、资金管理办法根据仁和区财政局制定，资金使用按项目的要求进行使用。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4、资金分配的原则及考虑因素。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资金分配科学客观，严格按照资金支付流程支付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lang w:val="zh-CN"/>
        </w:rPr>
        <w:t>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1、项目主要内容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给水项目：</w:t>
      </w:r>
      <w:r>
        <w:rPr>
          <w:rFonts w:hint="eastAsia" w:ascii="仿宋" w:hAnsi="仿宋" w:eastAsia="仿宋"/>
          <w:sz w:val="32"/>
          <w:szCs w:val="32"/>
        </w:rPr>
        <w:t>架设DN100镀锌钢管（壁厚4mm）3100m，安装CDLF32-120水泵1台（配套电机22KW），架设φ125PE管（1.6Mpa）3320m，架设φ90PE管（1.6Mpa）4650m，架设φ75PE管（1.6Mpa）1360m，架设φ63PE管（1.6Mpa）1827m，架设φ50PE管（1.6Mpa）3320m，架设φ40PE管（1.6Mpa）5610m，新建300 m</w:t>
      </w:r>
      <w:r>
        <w:rPr>
          <w:rFonts w:hint="eastAsia" w:ascii="仿宋" w:hAnsi="仿宋" w:eastAsia="仿宋_GB2312"/>
          <w:sz w:val="32"/>
          <w:szCs w:val="32"/>
        </w:rPr>
        <w:t>³</w:t>
      </w:r>
      <w:r>
        <w:rPr>
          <w:rFonts w:hint="eastAsia" w:ascii="仿宋" w:hAnsi="仿宋" w:eastAsia="仿宋"/>
          <w:sz w:val="32"/>
          <w:szCs w:val="32"/>
        </w:rPr>
        <w:t>清水池（封盖）1口。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基础设施项目：50mm厚6mm粒径C25强固透水混凝土球场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675.15m</w:t>
      </w:r>
      <w:r>
        <w:rPr>
          <w:rFonts w:hint="eastAsia" w:ascii="仿宋" w:hAnsi="仿宋" w:eastAsia="仿宋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，文化墙绘1517.5m</w:t>
      </w:r>
      <w:r>
        <w:rPr>
          <w:rFonts w:hint="eastAsia" w:ascii="仿宋" w:hAnsi="仿宋" w:eastAsia="仿宋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，C20混凝土水渠422m,成品LED太阳能灯3套，游乐健身设施、户外桌椅组合，防腐木栏杆37.21m</w:t>
      </w:r>
      <w:r>
        <w:rPr>
          <w:rFonts w:hint="eastAsia" w:ascii="仿宋" w:hAnsi="仿宋" w:eastAsia="仿宋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，宣传栏等项目。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2、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在规定时间内完成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在规定时间内时行报账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申报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的项目与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实际相符，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有效</w:t>
      </w:r>
      <w:r>
        <w:rPr>
          <w:rFonts w:hint="eastAsia"/>
          <w:color w:val="auto"/>
          <w:kern w:val="0"/>
          <w:sz w:val="32"/>
          <w:szCs w:val="32"/>
          <w:lang w:eastAsia="zh-CN"/>
        </w:rPr>
        <w:t>解决大龙潭村生活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用水，</w:t>
      </w:r>
      <w:r>
        <w:rPr>
          <w:rFonts w:hint="eastAsia"/>
          <w:color w:val="auto"/>
          <w:kern w:val="0"/>
          <w:sz w:val="32"/>
          <w:szCs w:val="32"/>
          <w:lang w:eastAsia="zh-CN"/>
        </w:rPr>
        <w:t>解决大龙潭村的休闲设施，解决大龙潭村排水需求，</w:t>
      </w: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项目实施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1、资金计划及到位。</w:t>
      </w:r>
    </w:p>
    <w:p>
      <w:pPr>
        <w:spacing w:line="480" w:lineRule="exact"/>
        <w:ind w:firstLine="640" w:firstLineChars="200"/>
        <w:rPr>
          <w:rStyle w:val="8"/>
          <w:rFonts w:hint="default"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仁和区2021年美丽乡村建设项目</w:t>
      </w:r>
      <w:r>
        <w:rPr>
          <w:rFonts w:hint="eastAsia" w:ascii="仿宋" w:hAnsi="仿宋" w:eastAsia="仿宋"/>
          <w:sz w:val="32"/>
          <w:szCs w:val="32"/>
          <w:lang w:eastAsia="zh-CN"/>
        </w:rPr>
        <w:t>经仁和区财政局《</w:t>
      </w:r>
      <w:r>
        <w:rPr>
          <w:rFonts w:hint="eastAsia" w:ascii="仿宋" w:hAnsi="仿宋" w:eastAsia="仿宋"/>
          <w:sz w:val="32"/>
          <w:szCs w:val="32"/>
        </w:rPr>
        <w:t>关于调整下达2021年农村综合改革转移支付预算（美丽乡村奖补）的通知（大龙潭）</w:t>
      </w:r>
      <w:r>
        <w:rPr>
          <w:rStyle w:val="8"/>
          <w:rFonts w:hint="eastAsia" w:ascii="仿宋" w:hAnsi="仿宋" w:eastAsia="仿宋"/>
          <w:lang w:eastAsia="zh-CN"/>
        </w:rPr>
        <w:t>》（</w:t>
      </w:r>
      <w:r>
        <w:rPr>
          <w:rFonts w:hint="eastAsia" w:ascii="仿宋" w:hAnsi="仿宋" w:eastAsia="仿宋"/>
          <w:sz w:val="32"/>
          <w:szCs w:val="32"/>
        </w:rPr>
        <w:t>攀仁财资农【2022】83号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文下达资金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300万元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目前工程已完工，资金到位支付资金</w:t>
      </w:r>
      <w:r>
        <w:rPr>
          <w:rFonts w:hint="eastAsia" w:ascii="仿宋_GB2312" w:hAnsi="宋体"/>
          <w:lang w:val="en-US" w:eastAsia="zh-CN"/>
        </w:rPr>
        <w:t>62.8万元，</w:t>
      </w:r>
      <w:r>
        <w:rPr>
          <w:rFonts w:hint="eastAsia" w:ascii="仿宋_GB2312" w:hAnsi="宋体"/>
          <w:lang w:val="zh-CN"/>
        </w:rPr>
        <w:t>资金到位率</w:t>
      </w:r>
      <w:r>
        <w:rPr>
          <w:rFonts w:hint="eastAsia" w:ascii="仿宋_GB2312" w:hAnsi="宋体"/>
          <w:lang w:val="en-US" w:eastAsia="zh-CN"/>
        </w:rPr>
        <w:t>21%，资金到位不</w:t>
      </w:r>
      <w:r>
        <w:rPr>
          <w:rFonts w:hint="eastAsia" w:ascii="仿宋_GB2312" w:hAnsi="宋体"/>
          <w:lang w:val="zh-CN"/>
        </w:rPr>
        <w:t>及时，资金申请支付一直未得到审批。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lang w:val="zh-CN"/>
        </w:rPr>
      </w:pPr>
      <w:r>
        <w:rPr>
          <w:rFonts w:hint="eastAsia" w:ascii="楷体_GB2312" w:hAnsi="宋体" w:eastAsia="楷体_GB2312"/>
          <w:color w:val="auto"/>
          <w:lang w:val="en-US" w:eastAsia="zh-CN"/>
        </w:rPr>
        <w:t>2、</w:t>
      </w:r>
      <w:r>
        <w:rPr>
          <w:rFonts w:hint="eastAsia" w:ascii="楷体_GB2312" w:hAnsi="宋体" w:eastAsia="楷体_GB2312"/>
          <w:lang w:val="zh-CN"/>
        </w:rPr>
        <w:t>资金</w:t>
      </w:r>
      <w:r>
        <w:rPr>
          <w:rFonts w:hint="eastAsia" w:ascii="楷体_GB2312" w:hAnsi="宋体" w:eastAsia="楷体_GB2312"/>
          <w:color w:val="auto"/>
          <w:lang w:val="zh-CN"/>
        </w:rPr>
        <w:t>使用。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该项目使用2021年农村综合改革转移支付预算（美丽乡村奖补）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，该项目资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lang w:eastAsia="zh-CN"/>
        </w:rPr>
        <w:t>金未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到位。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仿宋_GB2312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资金计划</w:t>
      </w:r>
      <w:r>
        <w:rPr>
          <w:rFonts w:hint="eastAsia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2021年农村综合改革转移支付预算（美丽乡村奖补）资金计划投资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仿宋_GB2312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资金到位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2021年农村综合改革转移支付预算（美丽乡村奖补）资金到位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lang w:val="en-US" w:eastAsia="zh-CN"/>
        </w:rPr>
        <w:t>62.8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</w:t>
      </w:r>
      <w:r>
        <w:rPr>
          <w:rFonts w:ascii="Times New Roman" w:hAnsi="Times New Roman" w:eastAsia="仿宋_GB2312"/>
          <w:color w:val="auto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（二）项目财务管理情况。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资金使用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根据2021年农村综合改革转移支付预算（美丽乡村奖补）资金安排情况，落实2021年农村综合改革转移支付预算（美丽乡村奖补）资金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（三）项目组织实施情况。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楷体_GB2312"/>
          <w:color w:val="auto"/>
          <w:kern w:val="0"/>
          <w:sz w:val="32"/>
          <w:szCs w:val="32"/>
        </w:rPr>
      </w:pPr>
      <w:r>
        <w:rPr>
          <w:rFonts w:hint="eastAsia" w:ascii="仿宋_GB2312" w:hAnsi="宋体"/>
          <w:color w:val="auto"/>
          <w:lang w:val="en-US" w:eastAsia="zh-CN"/>
        </w:rPr>
        <w:t>1、</w:t>
      </w:r>
      <w:r>
        <w:rPr>
          <w:rFonts w:ascii="Times New Roman" w:hAnsi="Times New Roman" w:eastAsia="楷体_GB2312"/>
          <w:color w:val="auto"/>
          <w:kern w:val="0"/>
          <w:sz w:val="32"/>
          <w:szCs w:val="32"/>
        </w:rPr>
        <w:t>项目组织架构及实施流程。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基础设施项目由大龙潭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村委会成立项目管理、质量监督、财务管理三个小组对项目进行管理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项目材料通过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竞争性谈判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由有资质的施工单位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给水项目由大龙潭彝族乡人民政府落实相关人员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对项目进行管理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项目材料通过采购中心招标，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由有资质的施工单位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Times New Roman" w:hAnsi="Times New Roman" w:eastAsia="楷体_GB2312"/>
          <w:color w:val="auto"/>
          <w:kern w:val="0"/>
          <w:sz w:val="32"/>
          <w:szCs w:val="32"/>
        </w:rPr>
      </w:pPr>
      <w:r>
        <w:rPr>
          <w:rFonts w:ascii="Times New Roman" w:hAnsi="Times New Roman" w:eastAsia="楷体_GB2312"/>
          <w:color w:val="auto"/>
          <w:kern w:val="0"/>
          <w:sz w:val="32"/>
          <w:szCs w:val="32"/>
        </w:rPr>
        <w:t>项目管理情况。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基础设施项目由三个管理小组、村民小组长、村支两委成员、村民代表直接参加管理。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给水项目由乡人民政府请监理单位进行项目管理。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600" w:lineRule="exact"/>
        <w:ind w:left="0" w:leftChars="0" w:firstLine="640" w:firstLineChars="200"/>
        <w:jc w:val="left"/>
        <w:rPr>
          <w:rFonts w:ascii="Times New Roman" w:hAnsi="Times New Roman" w:eastAsia="楷体_GB2312"/>
          <w:color w:val="auto"/>
          <w:kern w:val="0"/>
          <w:sz w:val="32"/>
          <w:szCs w:val="32"/>
        </w:rPr>
      </w:pPr>
      <w:r>
        <w:rPr>
          <w:rFonts w:ascii="Times New Roman" w:hAnsi="Times New Roman" w:eastAsia="楷体_GB2312"/>
          <w:color w:val="auto"/>
          <w:kern w:val="0"/>
          <w:sz w:val="32"/>
          <w:szCs w:val="32"/>
        </w:rPr>
        <w:t>项目监管情况。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项目除三个管理小组、村民小组长、村支两委成员、村民代表直接参加管理外，区水利局和乡人民政府派出人员进行检查和监督。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color w:val="auto"/>
          <w:lang w:val="zh-CN"/>
        </w:rPr>
      </w:pPr>
      <w:r>
        <w:rPr>
          <w:rFonts w:hint="eastAsia" w:ascii="黑体" w:hAnsi="宋体" w:eastAsia="黑体"/>
          <w:color w:val="auto"/>
        </w:rPr>
        <w:t>三、项目绩效情况</w:t>
      </w:r>
      <w:r>
        <w:rPr>
          <w:rFonts w:hint="eastAsia" w:ascii="仿宋_GB2312" w:hAnsi="宋体"/>
          <w:color w:val="auto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（一）项目完成情况。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给水项目：架设DN100镀锌钢管（壁厚4mm）3100m，安装CDLF32-120水泵1台（配套电机22KW），架设φ125PE管（1.6Mpa）3320m，架设φ90PE管（1.6Mpa）4650m，架设φ75PE管（1.6Mpa）1360m，架设φ63PE管（1.6Mpa）1827m，架设φ50PE管（1.6Mpa）3320m，架设φ40PE管（1.6Mpa）5610m，新建300 m³清水池（封盖）1口。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基础设施项目：50mm厚6mm粒径C25强固透水混凝土球场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675.15m2，文化墙绘1517.5m2，C20混凝土水渠422m,成品LED太阳能灯3套，游乐健身设施、户外桌椅组合，防腐木栏杆37.21m2，宣传栏等项目。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="仿宋_GB2312" w:hAnsi="宋体"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（二）项目效益情况。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val="zh-CN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解决大龙潭村13个村民小组418户2327人饮水问题，解决村民的文化休闲场所。 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color w:val="auto"/>
        </w:rPr>
      </w:pPr>
      <w:r>
        <w:rPr>
          <w:rFonts w:hint="eastAsia" w:ascii="黑体" w:hAnsi="宋体" w:eastAsia="黑体"/>
          <w:color w:val="auto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（一）存在的问题。</w:t>
      </w:r>
    </w:p>
    <w:p>
      <w:pPr>
        <w:adjustRightInd w:val="0"/>
        <w:snapToGrid w:val="0"/>
        <w:spacing w:line="560" w:lineRule="exact"/>
        <w:ind w:firstLine="720"/>
        <w:rPr>
          <w:rFonts w:hint="eastAsia"/>
          <w:color w:val="auto"/>
          <w:kern w:val="0"/>
          <w:sz w:val="32"/>
          <w:szCs w:val="32"/>
          <w:lang w:val="zh-CN" w:eastAsia="zh-CN"/>
        </w:rPr>
      </w:pPr>
      <w:r>
        <w:rPr>
          <w:rFonts w:hint="eastAsia"/>
          <w:color w:val="auto"/>
          <w:kern w:val="0"/>
          <w:sz w:val="32"/>
          <w:szCs w:val="32"/>
          <w:lang w:val="zh-CN" w:eastAsia="zh-CN"/>
        </w:rPr>
        <w:t>资金支付进度慢，下达任务时间紧，基层为业主无有技术力量监管。</w:t>
      </w:r>
    </w:p>
    <w:p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楷体_GB2312" w:hAnsi="宋体" w:eastAsia="楷体_GB2312"/>
          <w:b/>
          <w:color w:val="auto"/>
          <w:lang w:val="zh-CN"/>
        </w:rPr>
      </w:pPr>
      <w:r>
        <w:rPr>
          <w:rFonts w:hint="eastAsia" w:ascii="楷体_GB2312" w:hAnsi="宋体" w:eastAsia="楷体_GB2312"/>
          <w:b/>
          <w:color w:val="auto"/>
          <w:lang w:val="zh-CN"/>
        </w:rPr>
        <w:t>（二）相关建议。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240" w:leftChars="200" w:hanging="1600" w:hangingChars="5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auto"/>
          <w:kern w:val="0"/>
          <w:sz w:val="32"/>
          <w:szCs w:val="32"/>
        </w:rPr>
        <w:t>建议</w:t>
      </w:r>
      <w:r>
        <w:rPr>
          <w:rFonts w:hint="eastAsia"/>
          <w:color w:val="auto"/>
          <w:kern w:val="0"/>
          <w:sz w:val="32"/>
          <w:szCs w:val="32"/>
          <w:lang w:eastAsia="zh-CN"/>
        </w:rPr>
        <w:t>委托第三方进行代建。</w:t>
      </w:r>
      <w:r>
        <w:rPr>
          <w:rFonts w:hint="eastAsia"/>
          <w:color w:val="auto"/>
          <w:kern w:val="0"/>
          <w:sz w:val="32"/>
          <w:szCs w:val="32"/>
          <w:lang w:eastAsia="zh-CN"/>
        </w:rPr>
        <w:br w:type="textWrapping"/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年5月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日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FZFangSong-Z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_New_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B89B8C"/>
    <w:multiLevelType w:val="singleLevel"/>
    <w:tmpl w:val="19B89B8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D939FFB"/>
    <w:multiLevelType w:val="singleLevel"/>
    <w:tmpl w:val="5D939F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3EA4E76"/>
    <w:rsid w:val="057052E7"/>
    <w:rsid w:val="060D4598"/>
    <w:rsid w:val="084D13DC"/>
    <w:rsid w:val="0EDB478C"/>
    <w:rsid w:val="183B7ACD"/>
    <w:rsid w:val="1B0540AA"/>
    <w:rsid w:val="1C3813D9"/>
    <w:rsid w:val="1D1A58A3"/>
    <w:rsid w:val="23D44657"/>
    <w:rsid w:val="291C455A"/>
    <w:rsid w:val="2DDA0856"/>
    <w:rsid w:val="2E573222"/>
    <w:rsid w:val="30D034A6"/>
    <w:rsid w:val="36926D0C"/>
    <w:rsid w:val="38C84649"/>
    <w:rsid w:val="393D31F5"/>
    <w:rsid w:val="3C220D6A"/>
    <w:rsid w:val="3F076A79"/>
    <w:rsid w:val="42544638"/>
    <w:rsid w:val="458139F9"/>
    <w:rsid w:val="4DAF2BCF"/>
    <w:rsid w:val="4DDB6F66"/>
    <w:rsid w:val="4E8F4A69"/>
    <w:rsid w:val="5CF563CF"/>
    <w:rsid w:val="63A16F83"/>
    <w:rsid w:val="67D961C0"/>
    <w:rsid w:val="772F536B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6">
    <w:name w:val="fontstyle01"/>
    <w:basedOn w:val="4"/>
    <w:qFormat/>
    <w:uiPriority w:val="0"/>
    <w:rPr>
      <w:rFonts w:ascii="FZFangSong-Z02" w:hAnsi="FZFangSong-Z02" w:eastAsia="FZFangSong-Z02" w:cs="FZFangSong-Z02"/>
      <w:color w:val="000000"/>
      <w:sz w:val="32"/>
      <w:szCs w:val="32"/>
    </w:rPr>
  </w:style>
  <w:style w:type="character" w:customStyle="1" w:styleId="7">
    <w:name w:val="fontstyle11"/>
    <w:basedOn w:val="4"/>
    <w:qFormat/>
    <w:uiPriority w:val="0"/>
    <w:rPr>
      <w:rFonts w:ascii="Times_New_Roman" w:hAnsi="Times_New_Roman" w:eastAsia="Times_New_Roman" w:cs="Times_New_Roman"/>
      <w:color w:val="000000"/>
      <w:sz w:val="32"/>
      <w:szCs w:val="32"/>
    </w:rPr>
  </w:style>
  <w:style w:type="character" w:customStyle="1" w:styleId="8">
    <w:name w:val="fontstyle21"/>
    <w:basedOn w:val="4"/>
    <w:qFormat/>
    <w:uiPriority w:val="0"/>
    <w:rPr>
      <w:rFonts w:ascii="Times_New_Roman" w:hAnsi="Times_New_Roman" w:eastAsia="Times_New_Roman" w:cs="Times_New_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2023-05-15T07:35:36Z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C2023967F62548819D232147F5B5B2B8</vt:lpwstr>
  </property>
</Properties>
</file>