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7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（疫情防控服务点专项经费）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辖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干坝子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大龙潭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裕民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新街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村、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拉鲊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村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混撒拉村6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个村，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个村民小组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，区疫情防控指挥部〔2022〕24号</w:t>
      </w:r>
      <w:r>
        <w:rPr>
          <w:rFonts w:hint="eastAsia" w:eastAsia="仿宋" w:cs="Times New Roman"/>
          <w:color w:val="auto"/>
          <w:kern w:val="0"/>
          <w:sz w:val="32"/>
          <w:szCs w:val="32"/>
          <w:lang w:eastAsia="zh-CN"/>
        </w:rPr>
        <w:t>文件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下达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冠疫苗接种专项经费。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该经费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主要用于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大龙潭彝族乡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新冠疫苗接种所需物资采购及现场工作人员就餐等支出。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960" w:firstLineChars="3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照相关规定向区财政进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行项目资金申报。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highlight w:val="none"/>
          <w:lang w:val="zh-CN" w:eastAsia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项目绩效目标。</w:t>
      </w:r>
    </w:p>
    <w:p>
      <w:pPr>
        <w:pStyle w:val="2"/>
        <w:numPr>
          <w:ilvl w:val="0"/>
          <w:numId w:val="0"/>
        </w:numPr>
        <w:ind w:left="7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把疫情常态化防控作为经济社会秩序全面恢复的前提和基础，统筹推进经济社会全面发展，强化责任担当，切实保障人民群众生命安全和身体健康。</w:t>
      </w:r>
    </w:p>
    <w:p>
      <w:pPr>
        <w:pStyle w:val="7"/>
        <w:spacing w:line="560" w:lineRule="exact"/>
        <w:ind w:firstLine="562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pStyle w:val="7"/>
        <w:spacing w:line="560" w:lineRule="exact"/>
        <w:ind w:firstLine="640" w:firstLineChars="200"/>
        <w:jc w:val="left"/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</w:pPr>
      <w:r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kern w:val="0"/>
          <w:sz w:val="32"/>
          <w:szCs w:val="32"/>
        </w:rPr>
        <w:t>1．资金计划及到位。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根据攀仁财资社医〔202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〕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号下达202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年新冠病毒疫苗接种区级专项经费的要求，收到下达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大龙潭乡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年新冠病毒疫苗接种区级专项经费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21.96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万元。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highlight w:val="none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</w:t>
      </w:r>
      <w:r>
        <w:rPr>
          <w:rFonts w:hint="eastAsia" w:ascii="楷体_GB2312" w:hAnsi="宋体" w:eastAsia="楷体_GB2312"/>
          <w:highlight w:val="none"/>
          <w:lang w:val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截止2022年12月31日，该项目资金已支付</w:t>
      </w:r>
      <w:r>
        <w:rPr>
          <w:rFonts w:hint="eastAsia" w:ascii="仿宋_GB2312" w:hAnsi="宋体"/>
          <w:highlight w:val="none"/>
          <w:lang w:val="en-US" w:eastAsia="zh-CN"/>
        </w:rPr>
        <w:t>21.96万</w:t>
      </w:r>
      <w:r>
        <w:rPr>
          <w:rFonts w:hint="eastAsia" w:ascii="仿宋_GB2312" w:hAnsi="宋体"/>
          <w:highlight w:val="none"/>
        </w:rPr>
        <w:t>元</w:t>
      </w:r>
      <w:r>
        <w:rPr>
          <w:rFonts w:hint="eastAsia" w:ascii="仿宋_GB2312" w:hAnsi="宋体"/>
          <w:highlight w:val="none"/>
          <w:lang w:val="zh-CN"/>
        </w:rPr>
        <w:t>，资金实际支出率为</w:t>
      </w:r>
      <w:r>
        <w:rPr>
          <w:rFonts w:hint="eastAsia" w:ascii="仿宋_GB2312" w:hAnsi="宋体"/>
          <w:highlight w:val="none"/>
        </w:rPr>
        <w:t>100</w:t>
      </w:r>
      <w:r>
        <w:rPr>
          <w:rFonts w:hint="eastAsia" w:ascii="仿宋_GB2312" w:hAnsi="宋体"/>
          <w:highlight w:val="none"/>
          <w:lang w:val="zh-CN"/>
        </w:rPr>
        <w:t>％，支付依据合规合法，资金支付与预算相符。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该项目资金通过区财政局下达到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人民政府大平台，主要用于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大龙潭彝族乡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新冠疫苗接种所需物资采购及现场工作人员就餐等支出，符合支出的经会议讨论，向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乡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财政所提交相关报账资料申请资金拨付。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该项目均在规定的时间内完成。</w:t>
      </w:r>
    </w:p>
    <w:p>
      <w:pPr>
        <w:pStyle w:val="2"/>
        <w:numPr>
          <w:ilvl w:val="0"/>
          <w:numId w:val="1"/>
        </w:numPr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pStyle w:val="2"/>
        <w:numPr>
          <w:ilvl w:val="0"/>
          <w:numId w:val="0"/>
        </w:numPr>
        <w:ind w:left="72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统筹推进了经济社会全面发展，强化责任担当，切实保障人民群众生命安全和身体健康。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3"/>
        <w:ind w:firstLine="1280" w:firstLineChars="4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3"/>
        <w:rPr>
          <w:rFonts w:hint="eastAsia" w:eastAsia="楷体_GB2312" w:cs="Times New Roman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   </w:t>
      </w:r>
      <w:r>
        <w:rPr>
          <w:rFonts w:hint="eastAsia" w:eastAsia="楷体_GB2312" w:cs="Times New Roman"/>
          <w:lang w:val="en-US" w:eastAsia="zh-CN"/>
        </w:rPr>
        <w:t xml:space="preserve"> 无。</w:t>
      </w:r>
    </w:p>
    <w:p>
      <w:pPr>
        <w:pStyle w:val="3"/>
        <w:rPr>
          <w:rFonts w:hint="eastAsia" w:eastAsia="楷体_GB2312" w:cs="Times New Roman"/>
          <w:lang w:val="en-US" w:eastAsia="zh-CN"/>
        </w:rPr>
      </w:pPr>
    </w:p>
    <w:p>
      <w:pPr>
        <w:pStyle w:val="3"/>
        <w:rPr>
          <w:rFonts w:hint="eastAsia" w:eastAsia="楷体_GB2312" w:cs="Times New Roman"/>
          <w:lang w:val="en-US" w:eastAsia="zh-CN"/>
        </w:rPr>
      </w:pPr>
    </w:p>
    <w:p>
      <w:pPr>
        <w:pStyle w:val="3"/>
        <w:rPr>
          <w:rFonts w:hint="eastAsia" w:eastAsia="楷体_GB2312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月6日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59264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DHQ+5D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3"/>
        <w:rPr>
          <w:rFonts w:hint="default" w:eastAsia="楷体_GB2312" w:cs="Times New Roman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DB4E4"/>
    <w:multiLevelType w:val="singleLevel"/>
    <w:tmpl w:val="B68DB4E4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C2B748C0"/>
    <w:multiLevelType w:val="singleLevel"/>
    <w:tmpl w:val="C2B748C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7DDA25F"/>
    <w:multiLevelType w:val="singleLevel"/>
    <w:tmpl w:val="37DDA25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E051EDA"/>
    <w:rsid w:val="22DC043C"/>
    <w:rsid w:val="291C455A"/>
    <w:rsid w:val="36926D0C"/>
    <w:rsid w:val="44494395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87A9495D12514C71AA532DABF35A342B</vt:lpwstr>
  </property>
</Properties>
</file>