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028C2">
      <w:pPr>
        <w:spacing w:line="600" w:lineRule="exact"/>
        <w:jc w:val="left"/>
        <w:outlineLvl w:val="0"/>
        <w:rPr>
          <w:rFonts w:ascii="方正小标宋简体" w:hAnsi="宋体" w:eastAsia="方正小标宋简体"/>
          <w:szCs w:val="21"/>
        </w:rPr>
      </w:pPr>
      <w:bookmarkStart w:id="0" w:name="_Toc15306267"/>
    </w:p>
    <w:p w14:paraId="321EE87B">
      <w:pPr>
        <w:spacing w:line="600" w:lineRule="exact"/>
        <w:jc w:val="center"/>
        <w:outlineLvl w:val="0"/>
        <w:rPr>
          <w:rFonts w:ascii="方正小标宋简体" w:hAnsi="宋体" w:eastAsia="方正小标宋简体"/>
          <w:sz w:val="72"/>
          <w:szCs w:val="72"/>
        </w:rPr>
      </w:pPr>
    </w:p>
    <w:p w14:paraId="25EE886F">
      <w:pPr>
        <w:spacing w:line="600" w:lineRule="exact"/>
        <w:jc w:val="center"/>
        <w:outlineLvl w:val="0"/>
        <w:rPr>
          <w:rFonts w:ascii="方正小标宋简体" w:hAnsi="宋体" w:eastAsia="方正小标宋简体"/>
          <w:sz w:val="72"/>
          <w:szCs w:val="72"/>
        </w:rPr>
      </w:pPr>
    </w:p>
    <w:p w14:paraId="400BCC75">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78441"/>
      <w:bookmarkStart w:id="4" w:name="_Toc15396597"/>
      <w:bookmarkStart w:id="5" w:name="_Toc1539647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14:paraId="18FB44DF">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598"/>
      <w:bookmarkStart w:id="8" w:name="_Toc15396476"/>
      <w:bookmarkStart w:id="9" w:name="_Toc15378442"/>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攀枝花市仁和区布德镇卫生院单位决算</w:t>
      </w:r>
      <w:bookmarkEnd w:id="6"/>
      <w:bookmarkEnd w:id="7"/>
      <w:bookmarkEnd w:id="8"/>
      <w:bookmarkEnd w:id="9"/>
      <w:bookmarkEnd w:id="10"/>
      <w:bookmarkEnd w:id="11"/>
    </w:p>
    <w:p w14:paraId="07363A4A">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60745426">
      <w:pPr>
        <w:widowControl/>
        <w:jc w:val="center"/>
        <w:rPr>
          <w:rFonts w:ascii="黑体" w:hAnsi="黑体" w:eastAsia="黑体" w:cstheme="minorBidi"/>
          <w:sz w:val="28"/>
          <w:szCs w:val="28"/>
        </w:rPr>
      </w:pPr>
    </w:p>
    <w:p w14:paraId="79E568E3">
      <w:pPr>
        <w:pStyle w:val="10"/>
      </w:pPr>
      <w:r>
        <w:rPr>
          <w:rFonts w:hint="eastAsia"/>
        </w:rPr>
        <w:t xml:space="preserve">公开时间：2023年 </w:t>
      </w:r>
      <w:r>
        <w:rPr>
          <w:rFonts w:hint="eastAsia"/>
          <w:lang w:val="en-US" w:eastAsia="zh-CN"/>
        </w:rPr>
        <w:t>10</w:t>
      </w:r>
      <w:r>
        <w:rPr>
          <w:rFonts w:hint="eastAsia"/>
        </w:rPr>
        <w:t>月</w:t>
      </w:r>
      <w:r>
        <w:rPr>
          <w:rFonts w:hint="eastAsia"/>
          <w:lang w:val="en-US" w:eastAsia="zh-CN"/>
        </w:rPr>
        <w:t>9</w:t>
      </w:r>
      <w:r>
        <w:rPr>
          <w:rFonts w:hint="eastAsia"/>
        </w:rPr>
        <w:t xml:space="preserve"> 日</w:t>
      </w:r>
    </w:p>
    <w:p w14:paraId="7C69EDB3"/>
    <w:p w14:paraId="340BFA8E">
      <w:pPr>
        <w:pStyle w:val="10"/>
        <w:adjustRightInd w:val="0"/>
        <w:snapToGrid w:val="0"/>
        <w:spacing w:before="0" w:line="440" w:lineRule="exact"/>
        <w:jc w:val="left"/>
        <w:rPr>
          <w:rFonts w:ascii="宋体" w:hAnsi="宋体" w:eastAsia="宋体" w:cs="宋体"/>
          <w:sz w:val="24"/>
          <w:szCs w:val="24"/>
        </w:rPr>
      </w:pPr>
      <w:r>
        <w:rPr>
          <w:rFonts w:hint="eastAsia"/>
          <w:sz w:val="24"/>
        </w:rPr>
        <w:t>第一部分</w:t>
      </w:r>
      <w:r>
        <w:rPr>
          <w:sz w:val="24"/>
        </w:rPr>
        <w:t xml:space="preserve"> </w:t>
      </w:r>
      <w:r>
        <w:rPr>
          <w:rFonts w:hint="eastAsia"/>
          <w:sz w:val="24"/>
        </w:rPr>
        <w:t>单位概况</w:t>
      </w:r>
      <w:r>
        <w:rPr>
          <w:rFonts w:hint="eastAsia" w:ascii="宋体" w:hAnsi="宋体" w:eastAsia="宋体" w:cs="宋体"/>
          <w:sz w:val="24"/>
        </w:rPr>
        <w:t>................................................4</w:t>
      </w:r>
    </w:p>
    <w:p w14:paraId="763CA3BB">
      <w:pPr>
        <w:pStyle w:val="11"/>
        <w:adjustRightInd w:val="0"/>
        <w:snapToGrid w:val="0"/>
        <w:spacing w:line="440" w:lineRule="exact"/>
        <w:jc w:val="left"/>
        <w:rPr>
          <w:rFonts w:ascii="宋体" w:hAnsi="宋体" w:cs="宋体"/>
          <w:sz w:val="24"/>
        </w:rPr>
      </w:pPr>
      <w:r>
        <w:rPr>
          <w:rFonts w:hint="eastAsia"/>
          <w:sz w:val="24"/>
        </w:rPr>
        <w:t>一、主要职责</w:t>
      </w:r>
      <w:r>
        <w:rPr>
          <w:rFonts w:hint="eastAsia" w:ascii="宋体" w:hAnsi="宋体" w:cs="宋体"/>
          <w:sz w:val="24"/>
        </w:rPr>
        <w:t>..................................................4</w:t>
      </w:r>
    </w:p>
    <w:p w14:paraId="19168AEC">
      <w:pPr>
        <w:pStyle w:val="11"/>
        <w:adjustRightInd w:val="0"/>
        <w:snapToGrid w:val="0"/>
        <w:spacing w:line="440" w:lineRule="exact"/>
        <w:jc w:val="left"/>
      </w:pPr>
      <w:r>
        <w:rPr>
          <w:rFonts w:hint="eastAsia"/>
          <w:sz w:val="24"/>
        </w:rPr>
        <w:t>二、机构设置</w:t>
      </w:r>
      <w:r>
        <w:rPr>
          <w:rFonts w:hint="eastAsia" w:ascii="宋体" w:hAnsi="宋体" w:cs="宋体"/>
          <w:sz w:val="24"/>
        </w:rPr>
        <w:t>..................................................4</w:t>
      </w:r>
    </w:p>
    <w:p w14:paraId="590734AC">
      <w:pPr>
        <w:pStyle w:val="10"/>
        <w:adjustRightInd w:val="0"/>
        <w:snapToGrid w:val="0"/>
        <w:spacing w:before="0" w:line="440" w:lineRule="exact"/>
        <w:jc w:val="left"/>
        <w:rPr>
          <w:rFonts w:eastAsia="宋体"/>
          <w:sz w:val="24"/>
          <w:szCs w:val="24"/>
        </w:rPr>
      </w:pPr>
      <w:r>
        <w:rPr>
          <w:rFonts w:hint="eastAsia"/>
          <w:sz w:val="24"/>
        </w:rPr>
        <w:t>第二部分 2022年度单位决算情况说明</w:t>
      </w:r>
      <w:r>
        <w:rPr>
          <w:rFonts w:hint="eastAsia" w:ascii="宋体" w:hAnsi="宋体" w:eastAsia="宋体" w:cs="宋体"/>
          <w:sz w:val="24"/>
        </w:rPr>
        <w:t>................................6</w:t>
      </w:r>
    </w:p>
    <w:p w14:paraId="6CC4AEEF">
      <w:pPr>
        <w:pStyle w:val="11"/>
        <w:adjustRightInd w:val="0"/>
        <w:snapToGrid w:val="0"/>
        <w:spacing w:line="440" w:lineRule="exact"/>
        <w:jc w:val="left"/>
        <w:rPr>
          <w:rFonts w:ascii="仿宋" w:hAnsi="仿宋" w:cstheme="minorBidi"/>
          <w:sz w:val="24"/>
        </w:rPr>
      </w:pPr>
      <w:r>
        <w:rPr>
          <w:rFonts w:hint="eastAsia"/>
          <w:sz w:val="24"/>
        </w:rPr>
        <w:t>一、收入支出决算总体情况说明</w:t>
      </w:r>
      <w:r>
        <w:rPr>
          <w:rFonts w:hint="eastAsia" w:ascii="宋体" w:hAnsi="宋体" w:cs="宋体"/>
          <w:sz w:val="24"/>
        </w:rPr>
        <w:t>..................................6</w:t>
      </w:r>
    </w:p>
    <w:p w14:paraId="3DD8F92F">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ascii="宋体" w:hAnsi="宋体" w:cs="宋体"/>
          <w:sz w:val="24"/>
        </w:rPr>
        <w:t>..........................................6</w:t>
      </w:r>
    </w:p>
    <w:p w14:paraId="000319B0">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eastAsia" w:ascii="宋体" w:hAnsi="宋体" w:cs="宋体"/>
          <w:sz w:val="24"/>
        </w:rPr>
        <w:t>..........................................7</w:t>
      </w:r>
    </w:p>
    <w:p w14:paraId="2A9BDF1A">
      <w:pPr>
        <w:pStyle w:val="11"/>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hint="eastAsia" w:ascii="宋体" w:hAnsi="宋体" w:cs="宋体"/>
          <w:sz w:val="24"/>
        </w:rPr>
        <w:t>..........................8</w:t>
      </w:r>
    </w:p>
    <w:p w14:paraId="57350B2E">
      <w:pPr>
        <w:pStyle w:val="11"/>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hint="eastAsia" w:ascii="宋体" w:hAnsi="宋体" w:cs="宋体"/>
          <w:sz w:val="24"/>
        </w:rPr>
        <w:t>......................9</w:t>
      </w:r>
    </w:p>
    <w:p w14:paraId="51FCB9AA">
      <w:pPr>
        <w:pStyle w:val="11"/>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hint="eastAsia" w:ascii="宋体" w:hAnsi="宋体" w:cs="宋体"/>
          <w:sz w:val="24"/>
        </w:rPr>
        <w:t>..................10</w:t>
      </w:r>
    </w:p>
    <w:p w14:paraId="1742A494">
      <w:pPr>
        <w:pStyle w:val="11"/>
        <w:adjustRightInd w:val="0"/>
        <w:snapToGrid w:val="0"/>
        <w:spacing w:line="440" w:lineRule="exact"/>
        <w:jc w:val="left"/>
        <w:rPr>
          <w:rFonts w:ascii="仿宋" w:hAnsi="仿宋" w:cstheme="minorBidi"/>
          <w:sz w:val="24"/>
        </w:rPr>
      </w:pPr>
      <w:r>
        <w:rPr>
          <w:rFonts w:hint="eastAsia"/>
          <w:sz w:val="24"/>
        </w:rPr>
        <w:t>七、财政拨款“三公”经费支出决算情况说明</w:t>
      </w:r>
      <w:r>
        <w:rPr>
          <w:rFonts w:hint="eastAsia" w:ascii="宋体" w:hAnsi="宋体" w:cs="宋体"/>
          <w:sz w:val="24"/>
        </w:rPr>
        <w:t>......................11</w:t>
      </w:r>
    </w:p>
    <w:p w14:paraId="55015FC6">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hint="eastAsia" w:ascii="宋体" w:hAnsi="宋体" w:cs="宋体"/>
          <w:sz w:val="24"/>
        </w:rPr>
        <w:t>............................13</w:t>
      </w:r>
    </w:p>
    <w:p w14:paraId="1D36A440">
      <w:pPr>
        <w:pStyle w:val="11"/>
        <w:adjustRightInd w:val="0"/>
        <w:snapToGrid w:val="0"/>
        <w:spacing w:line="440" w:lineRule="exact"/>
        <w:jc w:val="left"/>
        <w:rPr>
          <w:sz w:val="24"/>
        </w:rPr>
      </w:pPr>
      <w:r>
        <w:rPr>
          <w:rFonts w:hint="eastAsia"/>
          <w:sz w:val="24"/>
        </w:rPr>
        <w:t>九、国有资本经营预算支出决算情况说明</w:t>
      </w:r>
      <w:r>
        <w:rPr>
          <w:rFonts w:hint="eastAsia" w:ascii="宋体" w:hAnsi="宋体" w:cs="宋体"/>
          <w:sz w:val="24"/>
        </w:rPr>
        <w:t>..........................13</w:t>
      </w:r>
    </w:p>
    <w:p w14:paraId="6B4F92CC">
      <w:pPr>
        <w:pStyle w:val="11"/>
        <w:adjustRightInd w:val="0"/>
        <w:snapToGrid w:val="0"/>
        <w:spacing w:line="440" w:lineRule="exact"/>
        <w:jc w:val="left"/>
        <w:rPr>
          <w:sz w:val="24"/>
        </w:rPr>
      </w:pPr>
      <w:r>
        <w:rPr>
          <w:rFonts w:hint="eastAsia"/>
          <w:sz w:val="24"/>
        </w:rPr>
        <w:t>十、其他重要事项的情况说明</w:t>
      </w:r>
      <w:r>
        <w:rPr>
          <w:rFonts w:hint="eastAsia" w:ascii="宋体" w:hAnsi="宋体" w:cs="宋体"/>
          <w:sz w:val="24"/>
        </w:rPr>
        <w:t>....................................13</w:t>
      </w:r>
    </w:p>
    <w:p w14:paraId="2250AF32">
      <w:pPr>
        <w:pStyle w:val="10"/>
        <w:adjustRightInd w:val="0"/>
        <w:snapToGrid w:val="0"/>
        <w:spacing w:before="0" w:line="440" w:lineRule="exact"/>
        <w:jc w:val="left"/>
        <w:rPr>
          <w:rFonts w:eastAsia="宋体" w:cstheme="minorBidi"/>
          <w:sz w:val="24"/>
          <w:szCs w:val="24"/>
        </w:rPr>
      </w:pPr>
      <w:r>
        <w:rPr>
          <w:rFonts w:hint="eastAsia"/>
          <w:sz w:val="24"/>
        </w:rPr>
        <w:t>第三部分</w:t>
      </w:r>
      <w:r>
        <w:rPr>
          <w:sz w:val="24"/>
        </w:rPr>
        <w:t xml:space="preserve"> </w:t>
      </w:r>
      <w:r>
        <w:rPr>
          <w:rFonts w:hint="eastAsia"/>
          <w:sz w:val="24"/>
        </w:rPr>
        <w:t>名词解释</w:t>
      </w:r>
      <w:r>
        <w:rPr>
          <w:rFonts w:hint="eastAsia" w:ascii="宋体" w:hAnsi="宋体" w:eastAsia="宋体" w:cs="宋体"/>
          <w:sz w:val="24"/>
        </w:rPr>
        <w:t>.................................................15</w:t>
      </w:r>
    </w:p>
    <w:p w14:paraId="6046EEEC">
      <w:pPr>
        <w:pStyle w:val="10"/>
        <w:adjustRightInd w:val="0"/>
        <w:snapToGrid w:val="0"/>
        <w:spacing w:before="0" w:line="440" w:lineRule="exact"/>
        <w:jc w:val="left"/>
        <w:rPr>
          <w:rFonts w:hint="eastAsia" w:eastAsia="宋体"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ascii="宋体" w:hAnsi="宋体" w:eastAsia="宋体" w:cs="宋体"/>
          <w:sz w:val="24"/>
        </w:rPr>
        <w:t>.....................................................1</w:t>
      </w:r>
      <w:r>
        <w:rPr>
          <w:rFonts w:hint="eastAsia" w:ascii="宋体" w:hAnsi="宋体" w:eastAsia="宋体" w:cs="宋体"/>
          <w:sz w:val="24"/>
          <w:lang w:val="en-US" w:eastAsia="zh-CN"/>
        </w:rPr>
        <w:t>8</w:t>
      </w:r>
    </w:p>
    <w:p w14:paraId="351E39F9">
      <w:pPr>
        <w:pStyle w:val="10"/>
        <w:adjustRightInd w:val="0"/>
        <w:snapToGrid w:val="0"/>
        <w:spacing w:before="0" w:line="440" w:lineRule="exact"/>
        <w:jc w:val="left"/>
        <w:rPr>
          <w:rFonts w:hint="default" w:eastAsia="宋体"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ascii="宋体" w:hAnsi="宋体" w:eastAsia="宋体" w:cs="宋体"/>
          <w:sz w:val="24"/>
        </w:rPr>
        <w:t>.....................................................</w:t>
      </w:r>
      <w:r>
        <w:rPr>
          <w:rFonts w:hint="eastAsia" w:ascii="宋体" w:hAnsi="宋体" w:eastAsia="宋体" w:cs="宋体"/>
          <w:sz w:val="24"/>
          <w:lang w:val="en-US" w:eastAsia="zh-CN"/>
        </w:rPr>
        <w:t>19</w:t>
      </w:r>
    </w:p>
    <w:p w14:paraId="56A403CE">
      <w:pPr>
        <w:pStyle w:val="11"/>
        <w:adjustRightInd w:val="0"/>
        <w:snapToGrid w:val="0"/>
        <w:spacing w:line="440" w:lineRule="exact"/>
        <w:jc w:val="left"/>
        <w:rPr>
          <w:sz w:val="24"/>
        </w:rPr>
      </w:pPr>
      <w:r>
        <w:rPr>
          <w:rFonts w:hint="eastAsia"/>
          <w:sz w:val="24"/>
        </w:rPr>
        <w:t>一、收入支出决算总表</w:t>
      </w:r>
    </w:p>
    <w:p w14:paraId="2F61751C">
      <w:pPr>
        <w:pStyle w:val="11"/>
        <w:adjustRightInd w:val="0"/>
        <w:snapToGrid w:val="0"/>
        <w:spacing w:line="440" w:lineRule="exact"/>
        <w:jc w:val="left"/>
        <w:rPr>
          <w:sz w:val="24"/>
        </w:rPr>
      </w:pPr>
      <w:r>
        <w:rPr>
          <w:rFonts w:hint="eastAsia"/>
          <w:sz w:val="24"/>
        </w:rPr>
        <w:t>二、收入决算表</w:t>
      </w:r>
    </w:p>
    <w:p w14:paraId="565EDA64">
      <w:pPr>
        <w:pStyle w:val="11"/>
        <w:adjustRightInd w:val="0"/>
        <w:snapToGrid w:val="0"/>
        <w:spacing w:line="440" w:lineRule="exact"/>
        <w:jc w:val="left"/>
        <w:rPr>
          <w:sz w:val="24"/>
        </w:rPr>
      </w:pPr>
      <w:r>
        <w:rPr>
          <w:rFonts w:hint="eastAsia"/>
          <w:sz w:val="24"/>
        </w:rPr>
        <w:t>三、支出决算表</w:t>
      </w:r>
    </w:p>
    <w:p w14:paraId="0D9CF282">
      <w:pPr>
        <w:pStyle w:val="11"/>
        <w:adjustRightInd w:val="0"/>
        <w:snapToGrid w:val="0"/>
        <w:spacing w:line="440" w:lineRule="exact"/>
        <w:jc w:val="left"/>
        <w:rPr>
          <w:sz w:val="24"/>
        </w:rPr>
      </w:pPr>
      <w:r>
        <w:rPr>
          <w:rFonts w:hint="eastAsia"/>
          <w:sz w:val="24"/>
        </w:rPr>
        <w:t>四、财政拨款收入支出决算总表</w:t>
      </w:r>
    </w:p>
    <w:p w14:paraId="23EC38D7">
      <w:pPr>
        <w:pStyle w:val="11"/>
        <w:adjustRightInd w:val="0"/>
        <w:snapToGrid w:val="0"/>
        <w:spacing w:line="440" w:lineRule="exact"/>
        <w:jc w:val="left"/>
        <w:rPr>
          <w:sz w:val="24"/>
        </w:rPr>
      </w:pPr>
      <w:r>
        <w:rPr>
          <w:rFonts w:hint="eastAsia"/>
          <w:sz w:val="24"/>
        </w:rPr>
        <w:t>五、财政拨款支出决算明细表</w:t>
      </w:r>
    </w:p>
    <w:p w14:paraId="1D100707">
      <w:pPr>
        <w:pStyle w:val="11"/>
        <w:adjustRightInd w:val="0"/>
        <w:snapToGrid w:val="0"/>
        <w:spacing w:line="440" w:lineRule="exact"/>
        <w:jc w:val="left"/>
        <w:rPr>
          <w:sz w:val="24"/>
        </w:rPr>
      </w:pPr>
      <w:r>
        <w:rPr>
          <w:rFonts w:hint="eastAsia"/>
          <w:sz w:val="24"/>
        </w:rPr>
        <w:t>六、一般公共预算财政拨款支出决算表</w:t>
      </w:r>
    </w:p>
    <w:p w14:paraId="29640A99">
      <w:pPr>
        <w:pStyle w:val="11"/>
        <w:adjustRightInd w:val="0"/>
        <w:snapToGrid w:val="0"/>
        <w:spacing w:line="440" w:lineRule="exact"/>
        <w:jc w:val="left"/>
        <w:rPr>
          <w:sz w:val="24"/>
        </w:rPr>
      </w:pPr>
      <w:r>
        <w:rPr>
          <w:rFonts w:hint="eastAsia"/>
          <w:sz w:val="24"/>
        </w:rPr>
        <w:t>七、一般公共预算财政拨款支出决算明细表</w:t>
      </w:r>
    </w:p>
    <w:p w14:paraId="249A7E9C">
      <w:pPr>
        <w:pStyle w:val="11"/>
        <w:adjustRightInd w:val="0"/>
        <w:snapToGrid w:val="0"/>
        <w:spacing w:line="440" w:lineRule="exact"/>
        <w:jc w:val="left"/>
        <w:rPr>
          <w:sz w:val="24"/>
        </w:rPr>
      </w:pPr>
      <w:r>
        <w:rPr>
          <w:rFonts w:hint="eastAsia"/>
          <w:sz w:val="24"/>
        </w:rPr>
        <w:t>八、一般公共预算财政拨款基本支出决算明细表</w:t>
      </w:r>
    </w:p>
    <w:p w14:paraId="7E50FB5E">
      <w:pPr>
        <w:pStyle w:val="11"/>
        <w:adjustRightInd w:val="0"/>
        <w:snapToGrid w:val="0"/>
        <w:spacing w:line="440" w:lineRule="exact"/>
        <w:jc w:val="left"/>
        <w:rPr>
          <w:sz w:val="24"/>
        </w:rPr>
      </w:pPr>
      <w:r>
        <w:rPr>
          <w:rFonts w:hint="eastAsia"/>
          <w:sz w:val="24"/>
        </w:rPr>
        <w:t>九、一般公共预算财政拨款项目支出决算表</w:t>
      </w:r>
    </w:p>
    <w:p w14:paraId="6E1AEF5B">
      <w:pPr>
        <w:pStyle w:val="11"/>
        <w:adjustRightInd w:val="0"/>
        <w:snapToGrid w:val="0"/>
        <w:spacing w:line="440" w:lineRule="exact"/>
        <w:jc w:val="left"/>
        <w:rPr>
          <w:sz w:val="24"/>
        </w:rPr>
      </w:pPr>
      <w:r>
        <w:rPr>
          <w:rFonts w:hint="eastAsia"/>
          <w:sz w:val="24"/>
        </w:rPr>
        <w:t>十、政府性基金预算财政拨款收入支出决算表</w:t>
      </w:r>
    </w:p>
    <w:p w14:paraId="41433488">
      <w:pPr>
        <w:pStyle w:val="11"/>
        <w:adjustRightInd w:val="0"/>
        <w:snapToGrid w:val="0"/>
        <w:spacing w:line="440" w:lineRule="exact"/>
        <w:jc w:val="left"/>
        <w:rPr>
          <w:sz w:val="24"/>
        </w:rPr>
      </w:pPr>
      <w:r>
        <w:rPr>
          <w:rFonts w:hint="eastAsia"/>
          <w:sz w:val="24"/>
        </w:rPr>
        <w:t>十一、国有资本经营预算财政拨款收入支出决算表</w:t>
      </w:r>
    </w:p>
    <w:p w14:paraId="62090D34">
      <w:pPr>
        <w:pStyle w:val="11"/>
        <w:adjustRightInd w:val="0"/>
        <w:snapToGrid w:val="0"/>
        <w:spacing w:line="440" w:lineRule="exact"/>
        <w:jc w:val="left"/>
        <w:rPr>
          <w:sz w:val="24"/>
        </w:rPr>
      </w:pPr>
      <w:r>
        <w:rPr>
          <w:rFonts w:hint="eastAsia"/>
          <w:sz w:val="24"/>
        </w:rPr>
        <w:t>十二、国有资本经营预算财政拨款支出决算表</w:t>
      </w:r>
    </w:p>
    <w:p w14:paraId="448D971D">
      <w:pPr>
        <w:pStyle w:val="11"/>
        <w:adjustRightInd w:val="0"/>
        <w:snapToGrid w:val="0"/>
        <w:spacing w:line="440" w:lineRule="exact"/>
        <w:jc w:val="left"/>
        <w:rPr>
          <w:sz w:val="24"/>
        </w:rPr>
      </w:pPr>
      <w:r>
        <w:rPr>
          <w:rFonts w:hint="eastAsia"/>
          <w:sz w:val="24"/>
        </w:rPr>
        <w:t>十三、财政拨款“三公”经费支出决算表</w:t>
      </w:r>
    </w:p>
    <w:p w14:paraId="1A307773">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2D9FD9DF">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14:paraId="4430B704">
      <w:pPr>
        <w:widowControl/>
        <w:jc w:val="left"/>
        <w:rPr>
          <w:rFonts w:ascii="黑体" w:eastAsia="黑体"/>
          <w:sz w:val="32"/>
          <w:szCs w:val="32"/>
        </w:rPr>
      </w:pPr>
    </w:p>
    <w:p w14:paraId="1D909C2C">
      <w:pPr>
        <w:pStyle w:val="4"/>
        <w:numPr>
          <w:ilvl w:val="0"/>
          <w:numId w:val="1"/>
        </w:numPr>
        <w:rPr>
          <w:rStyle w:val="26"/>
          <w:rFonts w:ascii="黑体" w:hAnsi="黑体" w:eastAsia="黑体"/>
          <w:b w:val="0"/>
          <w:bCs w:val="0"/>
        </w:rPr>
      </w:pPr>
      <w:bookmarkStart w:id="14" w:name="_Toc15396600"/>
      <w:bookmarkStart w:id="15" w:name="_Toc15377197"/>
      <w:r>
        <w:rPr>
          <w:rStyle w:val="26"/>
          <w:rFonts w:hint="eastAsia" w:ascii="黑体" w:hAnsi="黑体" w:eastAsia="黑体"/>
          <w:b w:val="0"/>
          <w:bCs w:val="0"/>
        </w:rPr>
        <w:t>主要职责</w:t>
      </w:r>
    </w:p>
    <w:p w14:paraId="489A0C6A">
      <w:pPr>
        <w:pStyle w:val="24"/>
        <w:spacing w:before="156" w:beforeLines="50" w:after="100" w:afterAutospacing="1"/>
        <w:ind w:left="420" w:firstLine="0" w:firstLineChars="0"/>
        <w:rPr>
          <w:rFonts w:ascii="仿宋" w:hAnsi="仿宋" w:eastAsia="仿宋"/>
          <w:sz w:val="32"/>
          <w:szCs w:val="32"/>
          <w:shd w:val="clear" w:color="auto" w:fill="FFFFFF"/>
        </w:rPr>
      </w:pPr>
      <w:r>
        <w:rPr>
          <w:rFonts w:ascii="仿宋" w:hAnsi="仿宋" w:eastAsia="仿宋"/>
          <w:sz w:val="32"/>
          <w:szCs w:val="32"/>
        </w:rPr>
        <w:t>（一）职能简介。</w:t>
      </w:r>
      <w:r>
        <w:rPr>
          <w:rFonts w:hint="eastAsia" w:ascii="仿宋" w:hAnsi="仿宋" w:eastAsia="仿宋"/>
          <w:sz w:val="32"/>
          <w:szCs w:val="32"/>
          <w:shd w:val="clear" w:color="auto" w:fill="FFFFFF"/>
        </w:rPr>
        <w:t>负责本乡镇卫生计生工作法律、法规、政策的宣传、贯彻、落实，以维护当地居民健康、提高人口素质为中心，综合提供公共卫生和基本医疗、计划生育技术服务（含流动人口）、突发公共卫生事件及舆情处置报告等服务；按上级卫生和计生行政部门要求开展工作；负责承办上级和计生行政部门下达的其他工作。</w:t>
      </w:r>
    </w:p>
    <w:p w14:paraId="5D762F8C">
      <w:pPr>
        <w:pStyle w:val="2"/>
        <w:adjustRightInd w:val="0"/>
        <w:snapToGrid w:val="0"/>
        <w:spacing w:before="156" w:beforeLines="50" w:line="560" w:lineRule="exact"/>
        <w:ind w:firstLine="320" w:firstLineChars="100"/>
        <w:rPr>
          <w:rFonts w:ascii="仿宋" w:hAnsi="仿宋" w:eastAsia="仿宋"/>
          <w:sz w:val="32"/>
          <w:szCs w:val="32"/>
        </w:rPr>
      </w:pPr>
      <w:r>
        <w:rPr>
          <w:rFonts w:hint="eastAsia" w:ascii="仿宋" w:hAnsi="仿宋" w:eastAsia="仿宋"/>
          <w:sz w:val="32"/>
          <w:szCs w:val="32"/>
        </w:rPr>
        <w:t>（二）2022年重点工作任务介绍。2022年重点开展为辖区内的居民提供基本医疗服务，做好疾病预防、传染病预防、计划免疫、慢性病的筛查和管理、精神病管理、妇女保健、儿童保健、老年保健、健康知识指导宣传、计划生育服务宣传等工作。</w:t>
      </w:r>
    </w:p>
    <w:p w14:paraId="6B853602">
      <w:pPr>
        <w:pStyle w:val="2"/>
        <w:adjustRightInd w:val="0"/>
        <w:snapToGrid w:val="0"/>
        <w:spacing w:before="156" w:beforeLines="50" w:line="560" w:lineRule="exact"/>
        <w:ind w:firstLine="300" w:firstLineChars="100"/>
        <w:rPr>
          <w:rFonts w:ascii="黑体" w:hAnsi="黑体" w:eastAsia="黑体"/>
        </w:rPr>
      </w:pPr>
      <w:r>
        <w:rPr>
          <w:rFonts w:hint="eastAsia" w:ascii="黑体" w:hAnsi="黑体" w:eastAsia="黑体"/>
        </w:rPr>
        <w:t>二、机构设置</w:t>
      </w:r>
    </w:p>
    <w:bookmarkEnd w:id="14"/>
    <w:bookmarkEnd w:id="15"/>
    <w:p w14:paraId="04A0FEEF">
      <w:pPr>
        <w:widowControl/>
        <w:spacing w:before="156" w:beforeLines="50" w:after="100" w:afterAutospacing="1" w:line="240" w:lineRule="atLeast"/>
        <w:ind w:firstLine="800" w:firstLineChars="250"/>
        <w:jc w:val="left"/>
        <w:rPr>
          <w:rFonts w:ascii="仿宋" w:hAnsi="仿宋" w:eastAsia="仿宋"/>
          <w:sz w:val="32"/>
          <w:szCs w:val="32"/>
        </w:rPr>
      </w:pPr>
      <w:r>
        <w:rPr>
          <w:rFonts w:hint="eastAsia" w:ascii="仿宋" w:hAnsi="仿宋" w:eastAsia="仿宋"/>
          <w:sz w:val="32"/>
          <w:szCs w:val="32"/>
        </w:rPr>
        <w:t>攀枝花市仁和区布德镇卫生院</w:t>
      </w:r>
      <w:r>
        <w:rPr>
          <w:rFonts w:ascii="仿宋" w:hAnsi="仿宋" w:eastAsia="仿宋"/>
          <w:sz w:val="32"/>
          <w:szCs w:val="32"/>
        </w:rPr>
        <w:t>2022</w:t>
      </w:r>
      <w:r>
        <w:rPr>
          <w:rFonts w:hint="eastAsia" w:ascii="仿宋" w:hAnsi="仿宋" w:eastAsia="仿宋"/>
          <w:sz w:val="32"/>
          <w:szCs w:val="32"/>
        </w:rPr>
        <w:t>年度部门预算编报的单位共</w:t>
      </w:r>
      <w:r>
        <w:rPr>
          <w:rFonts w:ascii="仿宋" w:hAnsi="仿宋" w:eastAsia="仿宋"/>
          <w:sz w:val="32"/>
          <w:szCs w:val="32"/>
        </w:rPr>
        <w:t>1</w:t>
      </w:r>
      <w:r>
        <w:rPr>
          <w:rFonts w:hint="eastAsia" w:ascii="仿宋" w:hAnsi="仿宋" w:eastAsia="仿宋"/>
          <w:sz w:val="32"/>
          <w:szCs w:val="32"/>
        </w:rPr>
        <w:t>个。无下属二级单位。其中：行政单位</w:t>
      </w:r>
      <w:r>
        <w:rPr>
          <w:rFonts w:ascii="仿宋" w:hAnsi="仿宋" w:eastAsia="仿宋"/>
          <w:sz w:val="32"/>
          <w:szCs w:val="32"/>
        </w:rPr>
        <w:t>0</w:t>
      </w:r>
      <w:r>
        <w:rPr>
          <w:rFonts w:hint="eastAsia" w:ascii="仿宋" w:hAnsi="仿宋" w:eastAsia="仿宋"/>
          <w:sz w:val="32"/>
          <w:szCs w:val="32"/>
        </w:rPr>
        <w:t>个，事业单位</w:t>
      </w:r>
      <w:r>
        <w:rPr>
          <w:rFonts w:ascii="仿宋" w:hAnsi="仿宋" w:eastAsia="仿宋"/>
          <w:sz w:val="32"/>
          <w:szCs w:val="32"/>
        </w:rPr>
        <w:t>1</w:t>
      </w:r>
      <w:r>
        <w:rPr>
          <w:rFonts w:hint="eastAsia" w:ascii="仿宋" w:hAnsi="仿宋" w:eastAsia="仿宋"/>
          <w:sz w:val="32"/>
          <w:szCs w:val="32"/>
        </w:rPr>
        <w:t>个，其他单位</w:t>
      </w:r>
      <w:r>
        <w:rPr>
          <w:rFonts w:ascii="仿宋" w:hAnsi="仿宋" w:eastAsia="仿宋"/>
          <w:sz w:val="32"/>
          <w:szCs w:val="32"/>
        </w:rPr>
        <w:t>0</w:t>
      </w:r>
      <w:r>
        <w:rPr>
          <w:rFonts w:hint="eastAsia" w:ascii="仿宋" w:hAnsi="仿宋" w:eastAsia="仿宋"/>
          <w:sz w:val="32"/>
          <w:szCs w:val="32"/>
        </w:rPr>
        <w:t>个。属财政全额补助事业单位，主管部门攀枝花市仁和区卫生健康局。</w:t>
      </w:r>
    </w:p>
    <w:p w14:paraId="77CD8D01">
      <w:pPr>
        <w:widowControl/>
        <w:shd w:val="clear" w:color="auto" w:fill="FFFFFF"/>
        <w:spacing w:before="156" w:beforeLines="50" w:after="100" w:afterAutospacing="1" w:line="520" w:lineRule="exact"/>
        <w:ind w:firstLine="630"/>
        <w:rPr>
          <w:rFonts w:ascii="仿宋" w:hAnsi="仿宋" w:eastAsia="仿宋" w:cs="宋体"/>
          <w:kern w:val="0"/>
          <w:sz w:val="32"/>
          <w:szCs w:val="32"/>
        </w:rPr>
      </w:pPr>
      <w:r>
        <w:rPr>
          <w:rFonts w:hint="eastAsia" w:ascii="仿宋" w:hAnsi="仿宋" w:eastAsia="仿宋" w:cs="宋体"/>
          <w:kern w:val="0"/>
          <w:sz w:val="32"/>
          <w:szCs w:val="32"/>
        </w:rPr>
        <w:t>攀枝花市仁和区布德镇卫生院</w:t>
      </w:r>
      <w:r>
        <w:rPr>
          <w:rFonts w:ascii="仿宋" w:hAnsi="仿宋" w:eastAsia="仿宋"/>
          <w:kern w:val="0"/>
          <w:sz w:val="32"/>
          <w:szCs w:val="32"/>
        </w:rPr>
        <w:t>2022</w:t>
      </w:r>
      <w:r>
        <w:rPr>
          <w:rFonts w:hint="eastAsia" w:ascii="仿宋" w:hAnsi="仿宋" w:eastAsia="仿宋" w:cs="宋体"/>
          <w:kern w:val="0"/>
          <w:sz w:val="32"/>
          <w:szCs w:val="32"/>
        </w:rPr>
        <w:t>年编制人数</w:t>
      </w:r>
      <w:r>
        <w:rPr>
          <w:rFonts w:hint="eastAsia" w:ascii="仿宋" w:hAnsi="仿宋" w:eastAsia="仿宋"/>
          <w:kern w:val="0"/>
          <w:sz w:val="32"/>
          <w:szCs w:val="32"/>
        </w:rPr>
        <w:t>21</w:t>
      </w:r>
      <w:r>
        <w:rPr>
          <w:rFonts w:hint="eastAsia" w:ascii="仿宋" w:hAnsi="仿宋" w:eastAsia="仿宋" w:cs="宋体"/>
          <w:kern w:val="0"/>
          <w:sz w:val="32"/>
          <w:szCs w:val="32"/>
        </w:rPr>
        <w:t>人，退休职工</w:t>
      </w:r>
      <w:r>
        <w:rPr>
          <w:rFonts w:hint="eastAsia" w:ascii="仿宋" w:hAnsi="仿宋" w:eastAsia="仿宋"/>
          <w:kern w:val="0"/>
          <w:sz w:val="32"/>
          <w:szCs w:val="32"/>
        </w:rPr>
        <w:t>7</w:t>
      </w:r>
      <w:r>
        <w:rPr>
          <w:rFonts w:hint="eastAsia" w:ascii="仿宋" w:hAnsi="仿宋" w:eastAsia="仿宋" w:cs="宋体"/>
          <w:kern w:val="0"/>
          <w:sz w:val="32"/>
          <w:szCs w:val="32"/>
        </w:rPr>
        <w:t>人，实有人数</w:t>
      </w:r>
      <w:r>
        <w:rPr>
          <w:rFonts w:hint="eastAsia" w:ascii="仿宋" w:hAnsi="仿宋" w:eastAsia="仿宋"/>
          <w:kern w:val="0"/>
          <w:sz w:val="32"/>
          <w:szCs w:val="32"/>
        </w:rPr>
        <w:t>29</w:t>
      </w:r>
      <w:r>
        <w:rPr>
          <w:rFonts w:hint="eastAsia" w:ascii="仿宋" w:hAnsi="仿宋" w:eastAsia="仿宋" w:cs="宋体"/>
          <w:kern w:val="0"/>
          <w:sz w:val="32"/>
          <w:szCs w:val="32"/>
        </w:rPr>
        <w:t>人、（临聘</w:t>
      </w:r>
      <w:r>
        <w:rPr>
          <w:rFonts w:ascii="仿宋" w:hAnsi="仿宋" w:eastAsia="仿宋"/>
          <w:kern w:val="0"/>
          <w:sz w:val="32"/>
          <w:szCs w:val="32"/>
        </w:rPr>
        <w:t>1</w:t>
      </w:r>
      <w:r>
        <w:rPr>
          <w:rFonts w:hint="eastAsia" w:ascii="仿宋" w:hAnsi="仿宋" w:eastAsia="仿宋"/>
          <w:kern w:val="0"/>
          <w:sz w:val="32"/>
          <w:szCs w:val="32"/>
        </w:rPr>
        <w:t>4</w:t>
      </w:r>
      <w:r>
        <w:rPr>
          <w:rFonts w:hint="eastAsia" w:ascii="仿宋" w:hAnsi="仿宋" w:eastAsia="仿宋" w:cs="宋体"/>
          <w:kern w:val="0"/>
          <w:sz w:val="32"/>
          <w:szCs w:val="32"/>
        </w:rPr>
        <w:t>人、在编在职</w:t>
      </w:r>
      <w:r>
        <w:rPr>
          <w:rFonts w:hint="eastAsia" w:ascii="仿宋" w:hAnsi="仿宋" w:eastAsia="仿宋"/>
          <w:kern w:val="0"/>
          <w:sz w:val="32"/>
          <w:szCs w:val="32"/>
        </w:rPr>
        <w:t>15</w:t>
      </w:r>
      <w:r>
        <w:rPr>
          <w:rFonts w:hint="eastAsia" w:ascii="仿宋" w:hAnsi="仿宋" w:eastAsia="仿宋" w:cs="宋体"/>
          <w:kern w:val="0"/>
          <w:sz w:val="32"/>
          <w:szCs w:val="32"/>
        </w:rPr>
        <w:t>人） 内设机构</w:t>
      </w:r>
      <w:r>
        <w:rPr>
          <w:rFonts w:hint="eastAsia" w:ascii="仿宋" w:hAnsi="仿宋" w:eastAsia="仿宋"/>
          <w:color w:val="000000"/>
          <w:kern w:val="0"/>
          <w:sz w:val="32"/>
          <w:szCs w:val="32"/>
        </w:rPr>
        <w:t>（内外妇儿全科、中医科、公卫、护理、母婴保健和计划生育、预防接种、药房、彩超、医保结算）</w:t>
      </w:r>
      <w:r>
        <w:rPr>
          <w:rFonts w:hint="eastAsia" w:ascii="仿宋" w:hAnsi="仿宋" w:eastAsia="仿宋" w:cs="宋体"/>
          <w:kern w:val="0"/>
          <w:sz w:val="32"/>
          <w:szCs w:val="32"/>
        </w:rPr>
        <w:t>。</w:t>
      </w:r>
    </w:p>
    <w:p w14:paraId="0CDC52FC">
      <w:pPr>
        <w:widowControl/>
        <w:jc w:val="left"/>
        <w:rPr>
          <w:rFonts w:ascii="仿宋" w:hAnsi="仿宋" w:eastAsia="仿宋"/>
          <w:kern w:val="0"/>
          <w:sz w:val="32"/>
          <w:szCs w:val="32"/>
        </w:rPr>
      </w:pPr>
      <w:r>
        <w:rPr>
          <w:rFonts w:ascii="仿宋" w:hAnsi="仿宋" w:eastAsia="仿宋"/>
          <w:sz w:val="32"/>
          <w:szCs w:val="32"/>
        </w:rPr>
        <w:br w:type="page"/>
      </w:r>
    </w:p>
    <w:p w14:paraId="598D6553">
      <w:pPr>
        <w:pStyle w:val="3"/>
        <w:ind w:right="440"/>
        <w:jc w:val="center"/>
        <w:rPr>
          <w:rStyle w:val="25"/>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5"/>
          <w:rFonts w:hint="eastAsia" w:ascii="黑体" w:hAnsi="黑体" w:eastAsia="黑体"/>
          <w:b w:val="0"/>
          <w:bCs/>
        </w:rPr>
        <w:t>单位决算情况说明</w:t>
      </w:r>
      <w:bookmarkEnd w:id="16"/>
      <w:bookmarkEnd w:id="17"/>
    </w:p>
    <w:p w14:paraId="7EDED3A4"/>
    <w:p w14:paraId="2C4C301B">
      <w:pPr>
        <w:pStyle w:val="24"/>
        <w:numPr>
          <w:ilvl w:val="0"/>
          <w:numId w:val="2"/>
        </w:numPr>
        <w:spacing w:line="600" w:lineRule="exact"/>
        <w:ind w:firstLineChars="0"/>
        <w:outlineLvl w:val="1"/>
        <w:rPr>
          <w:rStyle w:val="26"/>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14:paraId="63E6069B">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2022年度收入总计713.96万元、支出总计713.96万元。与2021年相比，收、支总计各增加272.3万元，增长61.65</w:t>
      </w:r>
      <w:r>
        <w:rPr>
          <w:rFonts w:ascii="仿宋" w:hAnsi="仿宋" w:eastAsia="仿宋"/>
          <w:sz w:val="32"/>
          <w:szCs w:val="32"/>
        </w:rPr>
        <w:t>%</w:t>
      </w:r>
      <w:r>
        <w:rPr>
          <w:rFonts w:hint="eastAsia" w:ascii="仿宋" w:hAnsi="仿宋" w:eastAsia="仿宋"/>
          <w:sz w:val="32"/>
          <w:szCs w:val="32"/>
        </w:rPr>
        <w:t>。主要变动原因是攀枝花市仁和区布德镇卫生院与攀枝花市仁和区布德镇民政卫生院两家机构合并，导致收入跟支出相应增加。</w:t>
      </w:r>
    </w:p>
    <w:p w14:paraId="6D5E50F9">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4CF5E69A">
      <w:pPr>
        <w:pStyle w:val="2"/>
        <w:spacing w:before="93"/>
        <w:rPr>
          <w:rFonts w:ascii="仿宋" w:hAnsi="仿宋" w:eastAsia="仿宋"/>
          <w:sz w:val="32"/>
          <w:szCs w:val="32"/>
        </w:rPr>
      </w:pPr>
    </w:p>
    <w:p w14:paraId="06DE2898">
      <w:pPr>
        <w:pStyle w:val="2"/>
        <w:spacing w:before="93"/>
        <w:rPr>
          <w:sz w:val="32"/>
          <w:szCs w:val="32"/>
        </w:rPr>
      </w:pPr>
      <w:r>
        <w:rPr>
          <w:rFonts w:hint="eastAsia" w:ascii="仿宋" w:hAnsi="仿宋" w:eastAsia="仿宋"/>
          <w:sz w:val="32"/>
          <w:szCs w:val="32"/>
        </w:rPr>
        <w:drawing>
          <wp:inline distT="0" distB="0" distL="114300" distR="114300">
            <wp:extent cx="5242560" cy="2362200"/>
            <wp:effectExtent l="4445" t="4445" r="10795" b="14605"/>
            <wp:docPr id="4" name="图表 4" descr="7b0a202020202263686172745265734964223a202232303437363038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3BA43CE">
      <w:pPr>
        <w:pStyle w:val="24"/>
        <w:numPr>
          <w:ilvl w:val="0"/>
          <w:numId w:val="2"/>
        </w:numPr>
        <w:spacing w:line="600" w:lineRule="exact"/>
        <w:ind w:firstLineChars="0"/>
        <w:outlineLvl w:val="1"/>
        <w:rPr>
          <w:rStyle w:val="26"/>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14:paraId="141ABED9">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22年本年收入合计713.96万元，其中：一般公共预算财政拨款收入524.61万元，占73.48</w:t>
      </w:r>
      <w:r>
        <w:rPr>
          <w:rFonts w:ascii="仿宋" w:hAnsi="仿宋" w:eastAsia="仿宋"/>
          <w:sz w:val="32"/>
          <w:szCs w:val="32"/>
        </w:rPr>
        <w:t>%</w:t>
      </w:r>
      <w:r>
        <w:rPr>
          <w:rFonts w:hint="eastAsia" w:ascii="仿宋" w:hAnsi="仿宋" w:eastAsia="仿宋"/>
          <w:sz w:val="32"/>
          <w:szCs w:val="32"/>
        </w:rPr>
        <w:t>；政府性基金预算财政拨款收入0.4万元，占0.05</w:t>
      </w:r>
      <w:r>
        <w:rPr>
          <w:rFonts w:ascii="仿宋" w:hAnsi="仿宋" w:eastAsia="仿宋"/>
          <w:sz w:val="32"/>
          <w:szCs w:val="32"/>
        </w:rPr>
        <w:t>%</w:t>
      </w:r>
      <w:r>
        <w:rPr>
          <w:rFonts w:hint="eastAsia" w:ascii="仿宋" w:hAnsi="仿宋" w:eastAsia="仿宋"/>
          <w:sz w:val="32"/>
          <w:szCs w:val="32"/>
        </w:rPr>
        <w:t>；事业收入188.96万元，占26.47</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14:paraId="57E23DD7">
      <w:pPr>
        <w:spacing w:line="600" w:lineRule="exact"/>
        <w:ind w:firstLine="640" w:firstLineChars="200"/>
        <w:outlineLvl w:val="1"/>
        <w:rPr>
          <w:rFonts w:ascii="仿宋" w:hAnsi="仿宋" w:eastAsia="仿宋"/>
          <w:sz w:val="32"/>
          <w:szCs w:val="32"/>
        </w:rPr>
      </w:pPr>
    </w:p>
    <w:p w14:paraId="50116B8E">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14:paraId="44457382">
      <w:pPr>
        <w:spacing w:line="600" w:lineRule="exact"/>
        <w:ind w:firstLine="640" w:firstLineChars="200"/>
        <w:rPr>
          <w:rFonts w:ascii="仿宋_GB2312" w:eastAsia="仿宋_GB2312"/>
          <w:sz w:val="32"/>
          <w:szCs w:val="32"/>
        </w:rPr>
      </w:pPr>
    </w:p>
    <w:p w14:paraId="27025FA8">
      <w:pPr>
        <w:pStyle w:val="2"/>
        <w:spacing w:before="93"/>
        <w:rPr>
          <w:sz w:val="32"/>
          <w:szCs w:val="32"/>
        </w:rPr>
      </w:pPr>
    </w:p>
    <w:p w14:paraId="033D7A25">
      <w:pPr>
        <w:pStyle w:val="2"/>
        <w:spacing w:before="93"/>
        <w:rPr>
          <w:sz w:val="32"/>
          <w:szCs w:val="32"/>
        </w:rPr>
      </w:pPr>
      <w:r>
        <w:rPr>
          <w:rFonts w:hint="eastAsia"/>
          <w:sz w:val="32"/>
          <w:szCs w:val="32"/>
        </w:rPr>
        <w:drawing>
          <wp:inline distT="0" distB="0" distL="114300" distR="114300">
            <wp:extent cx="4859655" cy="2256790"/>
            <wp:effectExtent l="4445" t="4445" r="12700" b="62865"/>
            <wp:docPr id="1" name="图表 1" descr="7b0a202020202263686172745265734964223a2022323034373631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B1D9640">
      <w:pPr>
        <w:pStyle w:val="24"/>
        <w:numPr>
          <w:ilvl w:val="0"/>
          <w:numId w:val="2"/>
        </w:numPr>
        <w:spacing w:line="600" w:lineRule="exact"/>
        <w:ind w:firstLineChars="0"/>
        <w:outlineLvl w:val="1"/>
        <w:rPr>
          <w:rStyle w:val="26"/>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14:paraId="0200B966">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22年本年支出合计667.52万元，其中：基本支出369.11万元，占55.30</w:t>
      </w:r>
      <w:r>
        <w:rPr>
          <w:rFonts w:ascii="仿宋" w:hAnsi="仿宋" w:eastAsia="仿宋"/>
          <w:sz w:val="32"/>
          <w:szCs w:val="32"/>
        </w:rPr>
        <w:t>%</w:t>
      </w:r>
      <w:r>
        <w:rPr>
          <w:rFonts w:hint="eastAsia" w:ascii="仿宋" w:hAnsi="仿宋" w:eastAsia="仿宋"/>
          <w:sz w:val="32"/>
          <w:szCs w:val="32"/>
        </w:rPr>
        <w:t>；项目支出298.41万元，占44.70</w:t>
      </w:r>
      <w:r>
        <w:rPr>
          <w:rFonts w:ascii="仿宋" w:hAnsi="仿宋" w:eastAsia="仿宋"/>
          <w:sz w:val="32"/>
          <w:szCs w:val="32"/>
        </w:rPr>
        <w:t>%</w:t>
      </w:r>
      <w:r>
        <w:rPr>
          <w:rFonts w:hint="eastAsia" w:ascii="仿宋" w:hAnsi="仿宋" w:eastAsia="仿宋"/>
          <w:sz w:val="32"/>
          <w:szCs w:val="32"/>
        </w:rPr>
        <w:t>。</w:t>
      </w:r>
    </w:p>
    <w:p w14:paraId="62F035A8">
      <w:pPr>
        <w:spacing w:line="600" w:lineRule="exact"/>
        <w:ind w:firstLine="640"/>
        <w:rPr>
          <w:rFonts w:ascii="仿宋" w:hAnsi="仿宋" w:eastAsia="仿宋"/>
          <w:sz w:val="32"/>
          <w:szCs w:val="32"/>
          <w:shd w:val="pct10" w:color="auto" w:fill="FFFFFF"/>
        </w:rPr>
      </w:pPr>
    </w:p>
    <w:p w14:paraId="2B8F6CD4">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14:paraId="6CB704AD">
      <w:pPr>
        <w:spacing w:line="600" w:lineRule="exact"/>
        <w:ind w:firstLine="640" w:firstLineChars="200"/>
        <w:rPr>
          <w:rFonts w:ascii="仿宋_GB2312" w:eastAsia="仿宋_GB2312"/>
          <w:sz w:val="32"/>
          <w:szCs w:val="32"/>
        </w:rPr>
      </w:pPr>
    </w:p>
    <w:p w14:paraId="4BBAB161">
      <w:pPr>
        <w:pStyle w:val="2"/>
        <w:spacing w:before="93"/>
        <w:rPr>
          <w:sz w:val="32"/>
          <w:szCs w:val="32"/>
        </w:rPr>
      </w:pPr>
      <w:r>
        <w:rPr>
          <w:rFonts w:hint="eastAsia"/>
          <w:sz w:val="32"/>
          <w:szCs w:val="32"/>
        </w:rPr>
        <w:drawing>
          <wp:inline distT="0" distB="0" distL="114300" distR="114300">
            <wp:extent cx="4670425" cy="1953260"/>
            <wp:effectExtent l="5080" t="4445" r="10795" b="234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DD897B">
      <w:pPr>
        <w:spacing w:line="600" w:lineRule="exact"/>
        <w:outlineLvl w:val="1"/>
        <w:rPr>
          <w:rStyle w:val="26"/>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14:paraId="0D2EB38C">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22年财政拨款收入525.01万元、支出总计525.01万元。与</w:t>
      </w:r>
      <w:r>
        <w:rPr>
          <w:rFonts w:ascii="仿宋" w:hAnsi="仿宋" w:eastAsia="仿宋"/>
          <w:sz w:val="32"/>
          <w:szCs w:val="32"/>
        </w:rPr>
        <w:t>20</w:t>
      </w:r>
      <w:r>
        <w:rPr>
          <w:rFonts w:hint="eastAsia" w:ascii="仿宋" w:hAnsi="仿宋" w:eastAsia="仿宋"/>
          <w:sz w:val="32"/>
          <w:szCs w:val="32"/>
        </w:rPr>
        <w:t>21年相比，财政拨款收入增加83.35万元，增长18.87%、支出总计增加83.35万元，增长18.87</w:t>
      </w:r>
      <w:r>
        <w:rPr>
          <w:rFonts w:ascii="仿宋" w:hAnsi="仿宋" w:eastAsia="仿宋"/>
          <w:sz w:val="32"/>
          <w:szCs w:val="32"/>
        </w:rPr>
        <w:t>%</w:t>
      </w:r>
      <w:r>
        <w:rPr>
          <w:rFonts w:hint="eastAsia" w:ascii="仿宋" w:hAnsi="仿宋" w:eastAsia="仿宋"/>
          <w:sz w:val="32"/>
          <w:szCs w:val="32"/>
        </w:rPr>
        <w:t>。主要变动原因是攀枝花市仁和区布德镇卫生院与攀枝花市仁和区布德镇民政卫生院两家机构合并人员增加，导致财政拨款收入跟支出相应增加。</w:t>
      </w:r>
    </w:p>
    <w:p w14:paraId="57FF3D94">
      <w:pPr>
        <w:spacing w:line="600" w:lineRule="exact"/>
        <w:rPr>
          <w:rFonts w:ascii="仿宋" w:hAnsi="仿宋" w:eastAsia="仿宋"/>
          <w:sz w:val="32"/>
          <w:szCs w:val="32"/>
        </w:rPr>
      </w:pPr>
      <w:r>
        <w:rPr>
          <w:rFonts w:hint="eastAsia" w:ascii="仿宋" w:hAnsi="仿宋" w:eastAsia="仿宋"/>
          <w:sz w:val="32"/>
          <w:szCs w:val="32"/>
        </w:rPr>
        <w:t>（图4：财政拨款收、支决算总计变动情况）</w:t>
      </w:r>
    </w:p>
    <w:p w14:paraId="67A8C1DF">
      <w:pPr>
        <w:spacing w:line="600" w:lineRule="exact"/>
        <w:ind w:firstLine="640"/>
        <w:rPr>
          <w:rFonts w:ascii="仿宋" w:hAnsi="仿宋" w:eastAsia="仿宋"/>
          <w:b/>
          <w:sz w:val="32"/>
          <w:szCs w:val="32"/>
        </w:rPr>
      </w:pPr>
    </w:p>
    <w:p w14:paraId="439E150F">
      <w:pPr>
        <w:pStyle w:val="2"/>
        <w:spacing w:before="93"/>
        <w:rPr>
          <w:rFonts w:ascii="仿宋" w:hAnsi="仿宋" w:eastAsia="仿宋"/>
          <w:b/>
          <w:sz w:val="32"/>
          <w:szCs w:val="32"/>
        </w:rPr>
      </w:pPr>
      <w:r>
        <w:rPr>
          <w:rFonts w:hint="eastAsia" w:ascii="仿宋" w:hAnsi="仿宋" w:eastAsia="仿宋"/>
          <w:b/>
          <w:sz w:val="32"/>
          <w:szCs w:val="32"/>
        </w:rPr>
        <w:drawing>
          <wp:inline distT="0" distB="0" distL="114300" distR="114300">
            <wp:extent cx="5156200" cy="20955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F3BBE7">
      <w:pPr>
        <w:pStyle w:val="2"/>
        <w:spacing w:before="93"/>
        <w:rPr>
          <w:rFonts w:ascii="仿宋" w:hAnsi="仿宋" w:eastAsia="仿宋"/>
          <w:b/>
          <w:sz w:val="32"/>
          <w:szCs w:val="32"/>
        </w:rPr>
      </w:pPr>
    </w:p>
    <w:p w14:paraId="1C2D1B73">
      <w:pPr>
        <w:spacing w:line="600" w:lineRule="exact"/>
        <w:ind w:firstLine="640" w:firstLineChars="200"/>
        <w:outlineLvl w:val="1"/>
        <w:rPr>
          <w:rStyle w:val="26"/>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14:paraId="66D6DA86">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6D2504E9">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22年一般公共预算财政拨款支出524.61万元，占本年支出合计的73.48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21年相比，一般公共预算财政拨款支出增加115.97万元，增长28.38</w:t>
      </w:r>
      <w:r>
        <w:rPr>
          <w:rFonts w:ascii="仿宋" w:hAnsi="仿宋" w:eastAsia="仿宋"/>
          <w:sz w:val="32"/>
          <w:szCs w:val="32"/>
        </w:rPr>
        <w:t>%</w:t>
      </w:r>
      <w:r>
        <w:rPr>
          <w:rFonts w:hint="eastAsia" w:ascii="仿宋" w:hAnsi="仿宋" w:eastAsia="仿宋"/>
          <w:sz w:val="32"/>
          <w:szCs w:val="32"/>
        </w:rPr>
        <w:t>。主要变动原因是攀枝花市仁和区布德镇卫生院与攀枝花市仁和区布德镇民政卫生院两家机构合并，人员增加，导致一般公共预算财政拨款支出相应增加。</w:t>
      </w:r>
    </w:p>
    <w:p w14:paraId="18FAA89D">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w:t>
      </w:r>
    </w:p>
    <w:p w14:paraId="23833CE9">
      <w:pPr>
        <w:spacing w:line="600" w:lineRule="exact"/>
        <w:ind w:firstLine="640" w:firstLineChars="200"/>
        <w:rPr>
          <w:rFonts w:ascii="仿宋" w:hAnsi="仿宋" w:eastAsia="仿宋"/>
          <w:sz w:val="32"/>
          <w:szCs w:val="32"/>
        </w:rPr>
      </w:pPr>
    </w:p>
    <w:p w14:paraId="5644103A">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032375" cy="1933575"/>
            <wp:effectExtent l="4445" t="4445" r="11430"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C82236">
      <w:pPr>
        <w:spacing w:line="600" w:lineRule="exact"/>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112CBBB4">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22年一般公共预算财政拨款支出524.61万元，主要用于以下方面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32.83万元，占6.26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卫生健康支出470.75</w:t>
      </w:r>
      <w:r>
        <w:rPr>
          <w:rFonts w:hint="eastAsia" w:ascii="仿宋" w:hAnsi="仿宋" w:eastAsia="仿宋"/>
          <w:sz w:val="32"/>
          <w:szCs w:val="32"/>
        </w:rPr>
        <w:t>万元，占89.73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21.04万元，占4.01</w:t>
      </w:r>
      <w:r>
        <w:rPr>
          <w:rFonts w:ascii="仿宋" w:hAnsi="仿宋" w:eastAsia="仿宋"/>
          <w:sz w:val="32"/>
          <w:szCs w:val="32"/>
        </w:rPr>
        <w:t>%</w:t>
      </w:r>
      <w:r>
        <w:rPr>
          <w:rFonts w:hint="eastAsia" w:ascii="仿宋" w:hAnsi="仿宋" w:eastAsia="仿宋"/>
          <w:sz w:val="32"/>
          <w:szCs w:val="32"/>
        </w:rPr>
        <w:t>。</w:t>
      </w:r>
    </w:p>
    <w:p w14:paraId="44CE6188">
      <w:pPr>
        <w:spacing w:line="600" w:lineRule="exact"/>
        <w:ind w:firstLine="640"/>
        <w:rPr>
          <w:rFonts w:ascii="仿宋" w:hAnsi="仿宋" w:eastAsia="仿宋"/>
          <w:sz w:val="32"/>
          <w:szCs w:val="32"/>
        </w:rPr>
      </w:pPr>
    </w:p>
    <w:p w14:paraId="4D60419D">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08AB6B22">
      <w:pPr>
        <w:pStyle w:val="2"/>
        <w:spacing w:before="93"/>
        <w:rPr>
          <w:rFonts w:eastAsia="仿宋"/>
        </w:rPr>
      </w:pPr>
      <w:r>
        <w:rPr>
          <w:rFonts w:hint="eastAsia" w:eastAsia="仿宋"/>
        </w:rPr>
        <w:drawing>
          <wp:inline distT="0" distB="0" distL="114300" distR="114300">
            <wp:extent cx="5032375" cy="2266950"/>
            <wp:effectExtent l="4445" t="4445" r="11430"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FF86C3">
      <w:pPr>
        <w:spacing w:line="600" w:lineRule="exact"/>
        <w:ind w:firstLine="640" w:firstLineChars="200"/>
        <w:rPr>
          <w:rFonts w:ascii="仿宋" w:hAnsi="仿宋" w:eastAsia="仿宋"/>
          <w:sz w:val="32"/>
          <w:szCs w:val="32"/>
        </w:rPr>
      </w:pPr>
    </w:p>
    <w:p w14:paraId="4B62F9AF">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17B92DF4">
      <w:pPr>
        <w:spacing w:line="600" w:lineRule="exact"/>
        <w:ind w:firstLine="643" w:firstLineChars="200"/>
        <w:outlineLvl w:val="2"/>
        <w:rPr>
          <w:rStyle w:val="15"/>
          <w:rFonts w:ascii="仿宋" w:hAnsi="仿宋" w:eastAsia="仿宋"/>
          <w:bCs/>
          <w:sz w:val="32"/>
          <w:szCs w:val="32"/>
        </w:rPr>
      </w:pPr>
      <w:bookmarkStart w:id="31" w:name="_Toc15378460"/>
      <w:bookmarkStart w:id="32" w:name="_Toc15377444"/>
      <w:bookmarkStart w:id="33" w:name="_Toc15377213"/>
      <w:r>
        <w:rPr>
          <w:rFonts w:hint="eastAsia" w:ascii="仿宋" w:hAnsi="仿宋" w:eastAsia="仿宋"/>
          <w:b/>
          <w:sz w:val="32"/>
          <w:szCs w:val="32"/>
        </w:rPr>
        <w:t>2022年一般公共预算支出决算数为524.61</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14:paraId="5BA8F6A2">
      <w:pPr>
        <w:spacing w:line="600" w:lineRule="exact"/>
        <w:ind w:firstLine="643" w:firstLineChars="200"/>
        <w:rPr>
          <w:rFonts w:ascii="仿宋" w:hAnsi="仿宋" w:eastAsia="仿宋"/>
          <w:bCs/>
          <w:color w:val="000000"/>
          <w:sz w:val="32"/>
          <w:szCs w:val="32"/>
        </w:rPr>
      </w:pPr>
      <w:r>
        <w:rPr>
          <w:rStyle w:val="15"/>
          <w:rFonts w:hint="eastAsia" w:ascii="仿宋" w:hAnsi="仿宋" w:eastAsia="仿宋"/>
          <w:color w:val="000000"/>
          <w:sz w:val="32"/>
          <w:szCs w:val="32"/>
        </w:rPr>
        <w:t>1</w:t>
      </w:r>
      <w:r>
        <w:rPr>
          <w:rStyle w:val="15"/>
          <w:rFonts w:ascii="仿宋" w:hAnsi="仿宋" w:eastAsia="仿宋"/>
          <w:color w:val="000000"/>
          <w:sz w:val="32"/>
          <w:szCs w:val="32"/>
        </w:rPr>
        <w:t>.</w:t>
      </w:r>
      <w:r>
        <w:rPr>
          <w:rStyle w:val="15"/>
          <w:rFonts w:hint="eastAsia" w:ascii="仿宋" w:hAnsi="仿宋" w:eastAsia="仿宋"/>
          <w:color w:val="000000"/>
          <w:sz w:val="32"/>
          <w:szCs w:val="32"/>
        </w:rPr>
        <w:t>社会保障和就业（208类）20805（款）2080505（项）</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支出决算为16.10万元，完成调整预算100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color w:val="000000"/>
          <w:sz w:val="32"/>
          <w:szCs w:val="32"/>
        </w:rPr>
        <w:t>（208类）20805（款）2080502（项）</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支出决算为12.06万元，完成调整预算100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color w:val="000000"/>
          <w:sz w:val="32"/>
          <w:szCs w:val="32"/>
        </w:rPr>
        <w:t>（208类）20808（款）2080801（项）</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支出决算为4.67万元，完成调整预算100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，与预算持平。</w:t>
      </w:r>
    </w:p>
    <w:p w14:paraId="63FA43A7">
      <w:pPr>
        <w:spacing w:line="600" w:lineRule="exact"/>
        <w:ind w:firstLine="643" w:firstLineChars="200"/>
        <w:rPr>
          <w:rFonts w:ascii="仿宋" w:hAnsi="仿宋" w:eastAsia="仿宋"/>
          <w:b/>
          <w:color w:val="000000"/>
          <w:sz w:val="32"/>
          <w:szCs w:val="32"/>
        </w:rPr>
      </w:pPr>
      <w:r>
        <w:rPr>
          <w:rStyle w:val="15"/>
          <w:rFonts w:hint="eastAsia" w:ascii="仿宋" w:hAnsi="仿宋" w:eastAsia="仿宋"/>
          <w:color w:val="000000"/>
          <w:sz w:val="32"/>
          <w:szCs w:val="32"/>
        </w:rPr>
        <w:t>2</w:t>
      </w:r>
      <w:r>
        <w:rPr>
          <w:rStyle w:val="15"/>
          <w:rFonts w:ascii="仿宋" w:hAnsi="仿宋" w:eastAsia="仿宋"/>
          <w:color w:val="000000"/>
          <w:sz w:val="32"/>
          <w:szCs w:val="32"/>
        </w:rPr>
        <w:t>.</w:t>
      </w:r>
      <w:r>
        <w:rPr>
          <w:rFonts w:hint="eastAsia" w:ascii="仿宋" w:hAnsi="仿宋" w:eastAsia="仿宋"/>
          <w:b/>
          <w:color w:val="000000"/>
          <w:sz w:val="32"/>
          <w:szCs w:val="32"/>
        </w:rPr>
        <w:t>卫生健康</w:t>
      </w:r>
      <w:r>
        <w:rPr>
          <w:rStyle w:val="15"/>
          <w:rFonts w:hint="eastAsia" w:ascii="仿宋" w:hAnsi="仿宋" w:eastAsia="仿宋"/>
          <w:color w:val="000000"/>
          <w:sz w:val="32"/>
          <w:szCs w:val="32"/>
        </w:rPr>
        <w:t>（210类）21003（款）2100302（项）</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支出决算为302.10万元，完成调整预算100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color w:val="000000"/>
          <w:sz w:val="32"/>
          <w:szCs w:val="32"/>
        </w:rPr>
        <w:t>（210类）21003（款）2100399（项）</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支出决算为14.11万元，完成调整预算100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color w:val="000000"/>
          <w:sz w:val="32"/>
          <w:szCs w:val="32"/>
        </w:rPr>
        <w:t>（210类）21004（款）2100408（项）</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支出决算为138.21万元;</w:t>
      </w:r>
      <w:r>
        <w:rPr>
          <w:rStyle w:val="15"/>
          <w:rFonts w:hint="eastAsia" w:ascii="仿宋" w:hAnsi="仿宋" w:eastAsia="仿宋"/>
          <w:color w:val="000000"/>
          <w:sz w:val="32"/>
          <w:szCs w:val="32"/>
        </w:rPr>
        <w:t>（210类）21004（款）2100409（项）:</w:t>
      </w:r>
      <w:r>
        <w:rPr>
          <w:rStyle w:val="15"/>
          <w:rFonts w:hint="eastAsia" w:ascii="仿宋" w:hAnsi="仿宋" w:eastAsia="仿宋"/>
          <w:b w:val="0"/>
          <w:bCs/>
          <w:color w:val="000000"/>
          <w:sz w:val="32"/>
          <w:szCs w:val="32"/>
        </w:rPr>
        <w:t xml:space="preserve"> 支出决算为0.52万元，完成调整预算100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color w:val="000000"/>
          <w:sz w:val="32"/>
          <w:szCs w:val="32"/>
        </w:rPr>
        <w:t>（210类）21011（款）2101102（项）</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支出决算为14.08万元，完成调整预算100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color w:val="000000"/>
          <w:sz w:val="32"/>
          <w:szCs w:val="32"/>
        </w:rPr>
        <w:t>（210类）21011（款）2101103（项）</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支出决算为1.73万元，完成调整预算100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color w:val="000000"/>
          <w:sz w:val="32"/>
          <w:szCs w:val="32"/>
        </w:rPr>
        <w:t>（212类）21008（款）2100802（项）:</w:t>
      </w:r>
      <w:r>
        <w:rPr>
          <w:rStyle w:val="15"/>
          <w:rFonts w:hint="eastAsia" w:ascii="仿宋" w:hAnsi="仿宋" w:eastAsia="仿宋"/>
          <w:b w:val="0"/>
          <w:bCs/>
          <w:color w:val="000000"/>
          <w:sz w:val="32"/>
          <w:szCs w:val="32"/>
        </w:rPr>
        <w:t xml:space="preserve"> 支出决算为0.4万元，完成调整预算100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0ACC3D92">
      <w:pPr>
        <w:spacing w:line="600" w:lineRule="exact"/>
        <w:rPr>
          <w:rFonts w:ascii="仿宋" w:hAnsi="仿宋" w:eastAsia="仿宋"/>
          <w:b/>
          <w:sz w:val="32"/>
          <w:szCs w:val="32"/>
        </w:rPr>
      </w:pPr>
      <w:r>
        <w:rPr>
          <w:rStyle w:val="15"/>
          <w:rFonts w:hint="eastAsia" w:ascii="仿宋" w:hAnsi="仿宋" w:eastAsia="仿宋"/>
          <w:color w:val="000000"/>
          <w:sz w:val="32"/>
          <w:szCs w:val="32"/>
        </w:rPr>
        <w:t>3、</w:t>
      </w:r>
      <w:r>
        <w:rPr>
          <w:rFonts w:hint="eastAsia" w:ascii="仿宋" w:hAnsi="仿宋" w:eastAsia="仿宋"/>
          <w:b/>
          <w:color w:val="000000"/>
          <w:sz w:val="32"/>
          <w:szCs w:val="32"/>
        </w:rPr>
        <w:t>住房保障支出</w:t>
      </w:r>
      <w:r>
        <w:rPr>
          <w:rStyle w:val="15"/>
          <w:rFonts w:hint="eastAsia" w:ascii="仿宋" w:hAnsi="仿宋" w:eastAsia="仿宋"/>
          <w:color w:val="000000"/>
          <w:sz w:val="32"/>
          <w:szCs w:val="32"/>
        </w:rPr>
        <w:t>（221类）22102（款）2210201（项）</w:t>
      </w:r>
      <w:r>
        <w:rPr>
          <w:rFonts w:hint="eastAsia" w:ascii="仿宋" w:hAnsi="仿宋" w:eastAsia="仿宋"/>
          <w:color w:val="000000"/>
          <w:sz w:val="32"/>
          <w:szCs w:val="32"/>
        </w:rPr>
        <w:t>：</w:t>
      </w:r>
      <w:r>
        <w:rPr>
          <w:rStyle w:val="15"/>
          <w:rFonts w:hint="eastAsia" w:ascii="仿宋" w:hAnsi="仿宋" w:eastAsia="仿宋"/>
          <w:b w:val="0"/>
          <w:bCs/>
          <w:color w:val="000000"/>
          <w:sz w:val="32"/>
          <w:szCs w:val="32"/>
        </w:rPr>
        <w:t>支出决算为21.04万元，完成预算100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，与预算数持平。</w:t>
      </w:r>
    </w:p>
    <w:p w14:paraId="219A14F3">
      <w:pPr>
        <w:tabs>
          <w:tab w:val="right" w:pos="8306"/>
        </w:tabs>
        <w:spacing w:line="600" w:lineRule="exact"/>
        <w:ind w:firstLine="640"/>
        <w:outlineLvl w:val="1"/>
        <w:rPr>
          <w:rFonts w:ascii="黑体" w:eastAsia="黑体"/>
          <w:sz w:val="32"/>
          <w:szCs w:val="32"/>
        </w:rPr>
      </w:pPr>
      <w:bookmarkStart w:id="34" w:name="_Toc15396608"/>
      <w:bookmarkStart w:id="35" w:name="_Toc15377214"/>
    </w:p>
    <w:p w14:paraId="6CC1B76E">
      <w:pPr>
        <w:tabs>
          <w:tab w:val="right" w:pos="8306"/>
        </w:tabs>
        <w:spacing w:line="600" w:lineRule="exact"/>
        <w:ind w:firstLine="640"/>
        <w:outlineLvl w:val="1"/>
        <w:rPr>
          <w:rStyle w:val="26"/>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14:paraId="2F3BCDEE">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22年一般公共预算财政拨款基本支出226.60万元，其中：</w:t>
      </w:r>
    </w:p>
    <w:p w14:paraId="41654699">
      <w:pPr>
        <w:spacing w:line="600" w:lineRule="exact"/>
        <w:ind w:firstLine="645"/>
        <w:rPr>
          <w:rFonts w:ascii="仿宋" w:hAnsi="仿宋" w:eastAsia="仿宋"/>
          <w:sz w:val="32"/>
          <w:szCs w:val="32"/>
        </w:rPr>
      </w:pPr>
      <w:r>
        <w:rPr>
          <w:rFonts w:hint="eastAsia" w:ascii="仿宋" w:hAnsi="仿宋" w:eastAsia="仿宋"/>
          <w:sz w:val="32"/>
          <w:szCs w:val="32"/>
        </w:rPr>
        <w:t>人员经费226.60万元，主要包括：基本工资、津贴补贴、绩效工资、机关事业单位基本养老保险缴费、其他社会保障缴费、职工基本医疗保险缴费、公务员医疗补助缴费、抚恤金、生活补助、医疗费补助、住房公积金、其他对个人和家庭的补助支出等。</w:t>
      </w:r>
    </w:p>
    <w:p w14:paraId="25FDC31E">
      <w:pPr>
        <w:spacing w:line="600" w:lineRule="exact"/>
        <w:ind w:firstLine="645"/>
        <w:rPr>
          <w:rFonts w:ascii="仿宋" w:hAnsi="仿宋" w:eastAsia="仿宋"/>
          <w:sz w:val="32"/>
          <w:szCs w:val="32"/>
        </w:rPr>
      </w:pPr>
      <w:r>
        <w:rPr>
          <w:rFonts w:hint="eastAsia" w:ascii="仿宋" w:hAnsi="仿宋" w:eastAsia="仿宋"/>
          <w:sz w:val="32"/>
          <w:szCs w:val="32"/>
        </w:rPr>
        <w:t>公用经费0万元。</w:t>
      </w:r>
    </w:p>
    <w:p w14:paraId="3185DA9F">
      <w:pPr>
        <w:spacing w:line="600" w:lineRule="exact"/>
        <w:ind w:firstLine="640"/>
        <w:rPr>
          <w:rFonts w:ascii="仿宋" w:hAnsi="仿宋" w:eastAsia="仿宋"/>
          <w:b/>
          <w:sz w:val="32"/>
          <w:szCs w:val="32"/>
        </w:rPr>
      </w:pPr>
    </w:p>
    <w:p w14:paraId="66C7FCC5">
      <w:pPr>
        <w:spacing w:line="600" w:lineRule="exact"/>
        <w:ind w:firstLine="640"/>
        <w:outlineLvl w:val="1"/>
        <w:rPr>
          <w:rStyle w:val="26"/>
          <w:rFonts w:ascii="黑体" w:hAnsi="黑体" w:eastAsia="黑体"/>
          <w:b w:val="0"/>
        </w:rPr>
      </w:pPr>
      <w:bookmarkStart w:id="36" w:name="_Toc15396609"/>
      <w:bookmarkStart w:id="37" w:name="_Toc15377215"/>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36"/>
      <w:bookmarkEnd w:id="37"/>
    </w:p>
    <w:p w14:paraId="6C00AE9F">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7ADC593B">
      <w:pPr>
        <w:spacing w:line="600" w:lineRule="exact"/>
        <w:ind w:firstLine="640"/>
        <w:rPr>
          <w:rFonts w:ascii="仿宋" w:hAnsi="仿宋" w:eastAsia="仿宋"/>
          <w:color w:val="000000"/>
          <w:sz w:val="32"/>
          <w:szCs w:val="32"/>
        </w:rPr>
      </w:pPr>
      <w:r>
        <w:rPr>
          <w:rFonts w:ascii="仿宋" w:hAnsi="仿宋" w:eastAsia="仿宋"/>
          <w:sz w:val="32"/>
          <w:szCs w:val="32"/>
        </w:rPr>
        <w:t>20</w:t>
      </w:r>
      <w:r>
        <w:rPr>
          <w:rFonts w:hint="eastAsia" w:ascii="仿宋" w:hAnsi="仿宋" w:eastAsia="仿宋"/>
          <w:sz w:val="32"/>
          <w:szCs w:val="32"/>
        </w:rPr>
        <w:t>22年“三公”经费财政拨款支出决算为3.71万元，完成预算100</w:t>
      </w:r>
      <w:r>
        <w:rPr>
          <w:rFonts w:ascii="仿宋" w:hAnsi="仿宋" w:eastAsia="仿宋"/>
          <w:sz w:val="32"/>
          <w:szCs w:val="32"/>
        </w:rPr>
        <w:t>%</w:t>
      </w:r>
      <w:r>
        <w:rPr>
          <w:rFonts w:hint="eastAsia" w:ascii="仿宋" w:hAnsi="仿宋" w:eastAsia="仿宋"/>
          <w:sz w:val="32"/>
          <w:szCs w:val="32"/>
        </w:rPr>
        <w:t>，较上年增加3.24万元，增长689%。决算数跟预算数持平的主要原因是</w:t>
      </w:r>
      <w:r>
        <w:rPr>
          <w:rFonts w:hint="eastAsia" w:ascii="仿宋" w:hAnsi="仿宋" w:eastAsia="仿宋"/>
          <w:color w:val="000000"/>
          <w:sz w:val="32"/>
          <w:szCs w:val="32"/>
        </w:rPr>
        <w:t>本单位“三公”经费财政无预算，所以支出跟预算持平，剩余0.41万元预算用单位自有资金支出。</w:t>
      </w:r>
    </w:p>
    <w:p w14:paraId="5EC3C8FE">
      <w:pPr>
        <w:spacing w:line="600" w:lineRule="exact"/>
        <w:ind w:firstLine="640"/>
        <w:rPr>
          <w:rFonts w:ascii="仿宋" w:hAnsi="仿宋" w:eastAsia="仿宋"/>
          <w:sz w:val="32"/>
          <w:szCs w:val="32"/>
        </w:rPr>
      </w:pPr>
    </w:p>
    <w:p w14:paraId="1DDBA136">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6435E656">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；公务用车购置及运行维护费支出决算3.71万元，占100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14:paraId="62C2969A">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bookmarkStart w:id="67" w:name="_GoBack"/>
      <w:bookmarkEnd w:id="67"/>
    </w:p>
    <w:p w14:paraId="35A81988">
      <w:pPr>
        <w:pStyle w:val="2"/>
        <w:spacing w:before="93"/>
      </w:pPr>
    </w:p>
    <w:p w14:paraId="47276F18">
      <w:pPr>
        <w:pStyle w:val="2"/>
        <w:spacing w:before="93"/>
      </w:pPr>
    </w:p>
    <w:p w14:paraId="2DE0EEA4">
      <w:pPr>
        <w:pStyle w:val="2"/>
        <w:spacing w:before="93"/>
      </w:pPr>
      <w:r>
        <w:rPr>
          <w:rFonts w:hint="eastAsia"/>
        </w:rPr>
        <w:drawing>
          <wp:inline distT="0" distB="0" distL="114300" distR="114300">
            <wp:extent cx="4413885" cy="2477135"/>
            <wp:effectExtent l="4445" t="4445" r="20320" b="1397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0C1B5C">
      <w:pPr>
        <w:spacing w:line="600" w:lineRule="exact"/>
        <w:ind w:firstLine="640"/>
        <w:rPr>
          <w:rFonts w:ascii="仿宋_GB2312" w:eastAsia="仿宋_GB2312"/>
          <w:color w:val="000000"/>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w:t>
      </w:r>
      <w:r>
        <w:rPr>
          <w:rStyle w:val="15"/>
          <w:rFonts w:hint="eastAsia" w:ascii="仿宋" w:hAnsi="仿宋" w:eastAsia="仿宋"/>
          <w:b w:val="0"/>
          <w:bCs/>
          <w:color w:val="000000"/>
          <w:sz w:val="32"/>
          <w:szCs w:val="32"/>
        </w:rPr>
        <w:t>2022年无预算</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w:t>
      </w:r>
      <w:r>
        <w:rPr>
          <w:rFonts w:hint="eastAsia" w:ascii="仿宋_GB2312" w:eastAsia="仿宋_GB2312"/>
          <w:color w:val="000000"/>
          <w:sz w:val="32"/>
          <w:szCs w:val="32"/>
        </w:rPr>
        <w:t>因公出国（境）支出决算比</w:t>
      </w:r>
      <w:r>
        <w:rPr>
          <w:rFonts w:ascii="仿宋_GB2312" w:eastAsia="仿宋_GB2312"/>
          <w:color w:val="000000"/>
          <w:sz w:val="32"/>
          <w:szCs w:val="32"/>
        </w:rPr>
        <w:t>20</w:t>
      </w:r>
      <w:r>
        <w:rPr>
          <w:rFonts w:hint="eastAsia" w:ascii="仿宋_GB2312" w:eastAsia="仿宋_GB2312"/>
          <w:color w:val="000000"/>
          <w:sz w:val="32"/>
          <w:szCs w:val="32"/>
        </w:rPr>
        <w:t>21年持平。主要原因是本单位不涉及此项工作。</w:t>
      </w:r>
    </w:p>
    <w:p w14:paraId="3DAA475F">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3.71万元,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21年增加3.24万元，增长689</w:t>
      </w:r>
      <w:r>
        <w:rPr>
          <w:rFonts w:ascii="仿宋_GB2312" w:eastAsia="仿宋_GB2312"/>
          <w:sz w:val="32"/>
          <w:szCs w:val="32"/>
        </w:rPr>
        <w:t>%</w:t>
      </w:r>
      <w:r>
        <w:rPr>
          <w:rFonts w:hint="eastAsia" w:ascii="仿宋_GB2312" w:eastAsia="仿宋_GB2312"/>
          <w:sz w:val="32"/>
          <w:szCs w:val="32"/>
        </w:rPr>
        <w:t>。主要原因是2022年疫情防控采集、转运核酸次数增加，导致公务车运行维护费用支出增加。</w:t>
      </w:r>
    </w:p>
    <w:p w14:paraId="3E8BDBF8">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月底，单位共有公务用车3辆，其中：轿车0辆、越野车2辆、转运救护车1辆。</w:t>
      </w:r>
    </w:p>
    <w:p w14:paraId="335292F8">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公务用车运行维护费支出3.71</w:t>
      </w:r>
      <w:r>
        <w:rPr>
          <w:rFonts w:hint="eastAsia" w:ascii="仿宋_GB2312" w:eastAsia="仿宋_GB2312"/>
          <w:sz w:val="32"/>
          <w:szCs w:val="32"/>
        </w:rPr>
        <w:t>万元。主要用于</w:t>
      </w:r>
      <w:r>
        <w:rPr>
          <w:rFonts w:hint="eastAsia" w:ascii="仿宋_GB2312" w:eastAsia="仿宋_GB2312"/>
          <w:color w:val="000000"/>
          <w:sz w:val="32"/>
          <w:szCs w:val="32"/>
        </w:rPr>
        <w:t>医院基本公共卫生服务下乡体检、入户随访、贫困人口健康体检、疫情防控</w:t>
      </w:r>
      <w:r>
        <w:rPr>
          <w:rFonts w:hint="eastAsia" w:ascii="仿宋_GB2312" w:eastAsia="仿宋_GB2312"/>
          <w:sz w:val="32"/>
          <w:szCs w:val="32"/>
        </w:rPr>
        <w:t>等所需的公务用车燃料费、维修费、过路过桥费、保险费等支出。</w:t>
      </w:r>
    </w:p>
    <w:p w14:paraId="1DBE0073">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5"/>
          <w:rFonts w:hint="eastAsia" w:ascii="仿宋" w:hAnsi="仿宋" w:eastAsia="仿宋"/>
          <w:b w:val="0"/>
          <w:bCs/>
          <w:color w:val="000000"/>
          <w:sz w:val="32"/>
          <w:szCs w:val="32"/>
        </w:rPr>
        <w:t>2022年无预算</w:t>
      </w:r>
      <w:r>
        <w:rPr>
          <w:rStyle w:val="15"/>
          <w:rFonts w:hint="eastAsia" w:ascii="仿宋" w:hAnsi="仿宋" w:eastAsia="仿宋"/>
          <w:b w:val="0"/>
          <w:bCs/>
          <w:sz w:val="32"/>
          <w:szCs w:val="32"/>
        </w:rPr>
        <w:t>。</w:t>
      </w:r>
      <w:r>
        <w:rPr>
          <w:rFonts w:hint="eastAsia" w:ascii="仿宋_GB2312" w:eastAsia="仿宋_GB2312"/>
          <w:sz w:val="32"/>
          <w:szCs w:val="32"/>
        </w:rPr>
        <w:t>公务接待费支出决算与</w:t>
      </w:r>
      <w:r>
        <w:rPr>
          <w:rFonts w:ascii="仿宋_GB2312" w:eastAsia="仿宋_GB2312"/>
          <w:sz w:val="32"/>
          <w:szCs w:val="32"/>
        </w:rPr>
        <w:t>20</w:t>
      </w:r>
      <w:r>
        <w:rPr>
          <w:rFonts w:hint="eastAsia" w:ascii="仿宋_GB2312" w:eastAsia="仿宋_GB2312"/>
          <w:sz w:val="32"/>
          <w:szCs w:val="32"/>
        </w:rPr>
        <w:t>21年持平。主要原因是</w:t>
      </w:r>
      <w:r>
        <w:rPr>
          <w:rFonts w:hint="eastAsia" w:ascii="仿宋_GB2312" w:eastAsia="仿宋_GB2312"/>
          <w:color w:val="000000"/>
          <w:sz w:val="32"/>
          <w:szCs w:val="32"/>
        </w:rPr>
        <w:t>本单位不涉及此项工作。</w:t>
      </w:r>
    </w:p>
    <w:p w14:paraId="3CDA0F13">
      <w:pPr>
        <w:spacing w:line="600" w:lineRule="exact"/>
        <w:ind w:firstLine="640"/>
        <w:rPr>
          <w:rFonts w:ascii="仿宋_GB2312" w:eastAsia="仿宋_GB2312"/>
          <w:sz w:val="32"/>
          <w:szCs w:val="32"/>
        </w:rPr>
      </w:pPr>
      <w:r>
        <w:rPr>
          <w:rFonts w:hint="eastAsia" w:ascii="仿宋" w:hAnsi="仿宋" w:eastAsia="仿宋"/>
          <w:b/>
          <w:sz w:val="32"/>
          <w:szCs w:val="32"/>
        </w:rPr>
        <w:t>国内公务接待支出0</w:t>
      </w:r>
      <w:r>
        <w:rPr>
          <w:rFonts w:hint="eastAsia" w:ascii="仿宋_GB2312" w:eastAsia="仿宋_GB2312"/>
          <w:sz w:val="32"/>
          <w:szCs w:val="32"/>
        </w:rPr>
        <w:t>万元。</w:t>
      </w:r>
    </w:p>
    <w:p w14:paraId="7CDAD37F">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14:paraId="3766BFA5">
      <w:pPr>
        <w:spacing w:line="600" w:lineRule="exact"/>
        <w:ind w:firstLine="640"/>
        <w:outlineLvl w:val="1"/>
        <w:rPr>
          <w:rFonts w:ascii="黑体" w:eastAsia="黑体"/>
          <w:sz w:val="32"/>
          <w:szCs w:val="32"/>
        </w:rPr>
      </w:pPr>
      <w:bookmarkStart w:id="40" w:name="_Toc15396610"/>
      <w:bookmarkStart w:id="41" w:name="_Toc15377218"/>
    </w:p>
    <w:p w14:paraId="1B2F90B0">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14:paraId="680CA9B1">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22年政府性基金预算财政拨款支出0.4万元。</w:t>
      </w:r>
    </w:p>
    <w:p w14:paraId="3E143E0F">
      <w:pPr>
        <w:spacing w:line="600" w:lineRule="exact"/>
        <w:ind w:firstLine="640"/>
        <w:rPr>
          <w:rFonts w:ascii="仿宋_GB2312" w:eastAsia="仿宋_GB2312"/>
          <w:sz w:val="32"/>
          <w:szCs w:val="32"/>
        </w:rPr>
      </w:pPr>
    </w:p>
    <w:p w14:paraId="022CA7A1">
      <w:pPr>
        <w:numPr>
          <w:ilvl w:val="0"/>
          <w:numId w:val="3"/>
        </w:numPr>
        <w:spacing w:line="600" w:lineRule="exact"/>
        <w:ind w:firstLine="640"/>
        <w:outlineLvl w:val="1"/>
        <w:rPr>
          <w:rStyle w:val="26"/>
          <w:rFonts w:ascii="黑体" w:hAnsi="黑体" w:eastAsia="黑体"/>
          <w:b w:val="0"/>
        </w:rPr>
      </w:pPr>
      <w:bookmarkStart w:id="42" w:name="_Toc15396611"/>
      <w:bookmarkStart w:id="43" w:name="_Toc15377219"/>
      <w:r>
        <w:rPr>
          <w:rStyle w:val="26"/>
          <w:rFonts w:hint="eastAsia" w:ascii="黑体" w:hAnsi="黑体" w:eastAsia="黑体"/>
          <w:b w:val="0"/>
        </w:rPr>
        <w:t>国有资本经营预算支出决算情况说明</w:t>
      </w:r>
      <w:bookmarkEnd w:id="42"/>
      <w:bookmarkEnd w:id="43"/>
    </w:p>
    <w:p w14:paraId="7D34ADDD">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14:paraId="19B8E5DD">
      <w:pPr>
        <w:spacing w:line="580" w:lineRule="exact"/>
        <w:jc w:val="center"/>
        <w:rPr>
          <w:rFonts w:ascii="方正小标宋简体" w:hAnsi="方正小标宋简体" w:eastAsia="方正小标宋简体" w:cs="方正小标宋简体"/>
          <w:sz w:val="44"/>
          <w:szCs w:val="44"/>
        </w:rPr>
      </w:pPr>
    </w:p>
    <w:p w14:paraId="1791AC68">
      <w:pPr>
        <w:numPr>
          <w:ilvl w:val="0"/>
          <w:numId w:val="3"/>
        </w:numPr>
        <w:spacing w:line="600" w:lineRule="exact"/>
        <w:ind w:firstLine="640"/>
        <w:outlineLvl w:val="1"/>
        <w:rPr>
          <w:rStyle w:val="26"/>
          <w:rFonts w:ascii="黑体" w:hAnsi="黑体" w:eastAsia="黑体"/>
          <w:b w:val="0"/>
        </w:rPr>
      </w:pPr>
      <w:bookmarkStart w:id="44" w:name="_Toc15396612"/>
      <w:bookmarkStart w:id="45" w:name="_Toc15377221"/>
      <w:r>
        <w:rPr>
          <w:rStyle w:val="26"/>
          <w:rFonts w:hint="eastAsia" w:ascii="黑体" w:hAnsi="黑体" w:eastAsia="黑体"/>
          <w:b w:val="0"/>
        </w:rPr>
        <w:t>其他重要事项的情况说明</w:t>
      </w:r>
      <w:bookmarkEnd w:id="44"/>
      <w:bookmarkEnd w:id="45"/>
    </w:p>
    <w:p w14:paraId="1B1A6918">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102FF4B0">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olor w:val="000000"/>
          <w:sz w:val="32"/>
          <w:szCs w:val="32"/>
        </w:rPr>
        <w:t>本单位属于补助的事业单位，无机关运行经费。</w:t>
      </w:r>
    </w:p>
    <w:p w14:paraId="65A173D4">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38004175">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olor w:val="000000"/>
          <w:sz w:val="32"/>
          <w:szCs w:val="32"/>
        </w:rPr>
        <w:t>本单位未发生政府采购支出。</w:t>
      </w:r>
    </w:p>
    <w:p w14:paraId="51FCCB73">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102F4907">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日，攀枝花市仁和区布德镇卫生院共有车辆3辆，其中：主要领导干部用车0辆、机要通信用车0辆、应急保障用车0辆、其他用车3辆，其他用车主要是用于</w:t>
      </w:r>
      <w:r>
        <w:rPr>
          <w:rFonts w:hint="eastAsia" w:ascii="仿宋_GB2312" w:eastAsia="仿宋_GB2312"/>
          <w:color w:val="000000"/>
          <w:sz w:val="32"/>
          <w:szCs w:val="32"/>
        </w:rPr>
        <w:t>医院基本公共卫生服务下乡体检、入户随访、贫困人口健康体检、疫情防控</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万元以上专用设备0台（套）。</w:t>
      </w:r>
    </w:p>
    <w:p w14:paraId="25BC4B86">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700CEDE">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医疗卫生管理经费1个项目开展了预算事前绩效评估，对医疗卫生管理经费1个项目编制了绩效目标，预算执行过程中，选取医疗卫生管理经费1个项目开展绩效监控，组织对1个项目开展绩效自评，绩效绩效自评表详见第四部分附件。</w:t>
      </w:r>
    </w:p>
    <w:p w14:paraId="34A5F539">
      <w:pPr>
        <w:widowControl/>
        <w:jc w:val="left"/>
        <w:rPr>
          <w:rFonts w:ascii="仿宋_GB2312" w:eastAsia="仿宋_GB2312"/>
          <w:b/>
          <w:sz w:val="32"/>
          <w:szCs w:val="32"/>
        </w:rPr>
      </w:pPr>
      <w:r>
        <w:rPr>
          <w:rFonts w:ascii="仿宋_GB2312" w:eastAsia="仿宋_GB2312"/>
          <w:b/>
          <w:sz w:val="32"/>
          <w:szCs w:val="32"/>
        </w:rPr>
        <w:br w:type="page"/>
      </w:r>
    </w:p>
    <w:p w14:paraId="5D6F9797">
      <w:pPr>
        <w:numPr>
          <w:ilvl w:val="0"/>
          <w:numId w:val="4"/>
        </w:numPr>
        <w:spacing w:line="600" w:lineRule="exact"/>
        <w:ind w:firstLine="660" w:firstLineChars="150"/>
        <w:jc w:val="center"/>
        <w:outlineLvl w:val="0"/>
        <w:rPr>
          <w:rStyle w:val="25"/>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5"/>
          <w:rFonts w:hint="eastAsia" w:ascii="黑体" w:hAnsi="黑体" w:eastAsia="黑体"/>
          <w:b w:val="0"/>
        </w:rPr>
        <w:t>词解释</w:t>
      </w:r>
      <w:bookmarkEnd w:id="49"/>
      <w:bookmarkEnd w:id="50"/>
    </w:p>
    <w:p w14:paraId="189322C6">
      <w:pPr>
        <w:spacing w:line="600" w:lineRule="exact"/>
        <w:jc w:val="left"/>
        <w:rPr>
          <w:rFonts w:ascii="宋体"/>
          <w:b/>
          <w:sz w:val="44"/>
          <w:szCs w:val="44"/>
        </w:rPr>
      </w:pPr>
    </w:p>
    <w:p w14:paraId="478AEABE">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D945D5F">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6EDA26C3">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35B15B46">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691143E2">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0D82C253">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04AE7A91">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3A94F213">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558E6693">
      <w:pPr>
        <w:ind w:firstLine="640" w:firstLineChars="200"/>
        <w:rPr>
          <w:rFonts w:ascii="仿宋_GB2312" w:hAnsi="仿宋" w:eastAsia="仿宋_GB2312"/>
          <w:sz w:val="32"/>
          <w:szCs w:val="32"/>
        </w:rPr>
      </w:pPr>
      <w:r>
        <w:rPr>
          <w:rFonts w:hint="eastAsia" w:ascii="仿宋_GB2312" w:hAnsi="仿宋" w:eastAsia="仿宋_GB2312"/>
          <w:color w:val="000000"/>
          <w:sz w:val="32"/>
          <w:szCs w:val="32"/>
        </w:rPr>
        <w:t>9.社会保障和就业</w:t>
      </w:r>
      <w:r>
        <w:rPr>
          <w:rFonts w:hint="eastAsia" w:ascii="仿宋_GB2312" w:hAnsi="仿宋" w:eastAsia="仿宋_GB2312"/>
          <w:sz w:val="32"/>
          <w:szCs w:val="32"/>
        </w:rPr>
        <w:t>（类208）行政事业单位养老支出（款05）事业单位离退休（项02）：指实行归口管理的事业单位开支的离退休经费。</w:t>
      </w:r>
    </w:p>
    <w:p w14:paraId="35C989A4">
      <w:pPr>
        <w:ind w:firstLine="640" w:firstLineChars="200"/>
        <w:rPr>
          <w:rFonts w:ascii="仿宋_GB2312" w:hAnsi="仿宋" w:eastAsia="仿宋_GB2312"/>
          <w:sz w:val="32"/>
          <w:szCs w:val="32"/>
        </w:rPr>
      </w:pPr>
      <w:r>
        <w:rPr>
          <w:rFonts w:hint="eastAsia" w:ascii="仿宋_GB2312" w:hAnsi="仿宋" w:eastAsia="仿宋_GB2312"/>
          <w:sz w:val="32"/>
          <w:szCs w:val="32"/>
        </w:rPr>
        <w:t>10.（类208）行政事业单位养老支出（款05）</w:t>
      </w:r>
      <w:r>
        <w:rPr>
          <w:rFonts w:hint="eastAsia" w:eastAsia="仿宋_GB2312"/>
          <w:sz w:val="32"/>
          <w:szCs w:val="32"/>
        </w:rPr>
        <w:t>  </w:t>
      </w:r>
      <w:r>
        <w:rPr>
          <w:rFonts w:hint="eastAsia" w:ascii="仿宋_GB2312" w:hAnsi="仿宋" w:eastAsia="仿宋_GB2312"/>
          <w:sz w:val="32"/>
          <w:szCs w:val="32"/>
        </w:rPr>
        <w:t>机关事业单位基本养老保险缴费支出（项05）：指机关事业单位实施养老保险制度由单位缴纳的基本养老保险费支出。</w:t>
      </w:r>
    </w:p>
    <w:p w14:paraId="6F944B35">
      <w:pPr>
        <w:ind w:firstLine="640" w:firstLineChars="200"/>
        <w:rPr>
          <w:rFonts w:ascii="仿宋_GB2312" w:hAnsi="仿宋" w:eastAsia="仿宋_GB2312"/>
          <w:sz w:val="32"/>
          <w:szCs w:val="32"/>
        </w:rPr>
      </w:pPr>
      <w:r>
        <w:rPr>
          <w:rFonts w:hint="eastAsia" w:ascii="仿宋_GB2312" w:hAnsi="仿宋" w:eastAsia="仿宋_GB2312"/>
          <w:sz w:val="32"/>
          <w:szCs w:val="32"/>
        </w:rPr>
        <w:t>11.（类208）行政事业单位养老支出（款08）</w:t>
      </w:r>
      <w:r>
        <w:rPr>
          <w:rFonts w:hint="eastAsia" w:eastAsia="仿宋_GB2312"/>
          <w:sz w:val="32"/>
          <w:szCs w:val="32"/>
        </w:rPr>
        <w:t> 死亡抚恤</w:t>
      </w:r>
      <w:r>
        <w:rPr>
          <w:rFonts w:hint="eastAsia" w:ascii="仿宋_GB2312" w:hAnsi="仿宋" w:eastAsia="仿宋_GB2312"/>
          <w:sz w:val="32"/>
          <w:szCs w:val="32"/>
        </w:rPr>
        <w:t>支出（项01）</w:t>
      </w:r>
      <w:r>
        <w:rPr>
          <w:rFonts w:hint="eastAsia" w:eastAsia="仿宋_GB2312"/>
          <w:sz w:val="32"/>
          <w:szCs w:val="32"/>
        </w:rPr>
        <w:t> </w:t>
      </w:r>
      <w:r>
        <w:rPr>
          <w:rFonts w:hint="eastAsia" w:ascii="仿宋_GB2312" w:hAnsi="仿宋" w:eastAsia="仿宋_GB2312"/>
          <w:sz w:val="32"/>
          <w:szCs w:val="32"/>
        </w:rPr>
        <w:t>：是指机关事业单位对死者家属或伤残职工发放费用支出。</w:t>
      </w:r>
    </w:p>
    <w:p w14:paraId="391A76F5">
      <w:pPr>
        <w:ind w:firstLine="640" w:firstLineChars="200"/>
        <w:rPr>
          <w:rFonts w:ascii="仿宋_GB2312" w:hAnsi="仿宋" w:eastAsia="仿宋_GB2312"/>
          <w:sz w:val="32"/>
          <w:szCs w:val="32"/>
        </w:rPr>
      </w:pPr>
      <w:r>
        <w:rPr>
          <w:rFonts w:hint="eastAsia" w:ascii="仿宋_GB2312" w:hAnsi="仿宋" w:eastAsia="仿宋_GB2312"/>
          <w:sz w:val="32"/>
          <w:szCs w:val="32"/>
        </w:rPr>
        <w:t>12.（类210）基层医疗机构（款03）（项99）其他基层医疗机构：</w:t>
      </w:r>
      <w:r>
        <w:rPr>
          <w:rFonts w:hint="eastAsia" w:ascii="仿宋_GB2312" w:eastAsia="仿宋_GB2312"/>
          <w:color w:val="000000"/>
          <w:sz w:val="32"/>
          <w:szCs w:val="32"/>
        </w:rPr>
        <w:t>指其他用于基层医疗卫生机构的支出</w:t>
      </w:r>
      <w:r>
        <w:rPr>
          <w:rFonts w:hint="eastAsia" w:ascii="仿宋_GB2312" w:hAnsi="仿宋" w:eastAsia="仿宋_GB2312"/>
          <w:sz w:val="32"/>
          <w:szCs w:val="32"/>
        </w:rPr>
        <w:t>。</w:t>
      </w:r>
    </w:p>
    <w:p w14:paraId="603104B1">
      <w:pPr>
        <w:ind w:firstLine="640" w:firstLineChars="200"/>
        <w:rPr>
          <w:rFonts w:ascii="仿宋_GB2312" w:hAnsi="仿宋" w:eastAsia="仿宋_GB2312"/>
          <w:sz w:val="32"/>
          <w:szCs w:val="32"/>
        </w:rPr>
      </w:pPr>
      <w:r>
        <w:rPr>
          <w:rFonts w:hint="eastAsia" w:ascii="仿宋_GB2312" w:hAnsi="仿宋" w:eastAsia="仿宋_GB2312"/>
          <w:sz w:val="32"/>
          <w:szCs w:val="32"/>
        </w:rPr>
        <w:t>13.（类210）公共卫生（款04）基本公共卫生服务（项08）：指基本公共卫生服务支出。</w:t>
      </w:r>
    </w:p>
    <w:p w14:paraId="2E2790B5">
      <w:pPr>
        <w:ind w:firstLine="640" w:firstLineChars="200"/>
        <w:rPr>
          <w:rFonts w:ascii="仿宋_GB2312" w:eastAsia="仿宋_GB2312"/>
          <w:color w:val="000000"/>
          <w:sz w:val="32"/>
          <w:szCs w:val="32"/>
        </w:rPr>
      </w:pPr>
      <w:r>
        <w:rPr>
          <w:rFonts w:hint="eastAsia" w:ascii="仿宋_GB2312" w:hAnsi="仿宋" w:eastAsia="仿宋_GB2312"/>
          <w:sz w:val="32"/>
          <w:szCs w:val="32"/>
        </w:rPr>
        <w:t>14.（类210）公共卫生（款04）重大公共卫生服务（项09）：</w:t>
      </w:r>
      <w:r>
        <w:rPr>
          <w:rFonts w:hint="eastAsia" w:ascii="仿宋_GB2312" w:eastAsia="仿宋_GB2312"/>
          <w:color w:val="000000"/>
          <w:sz w:val="32"/>
          <w:szCs w:val="32"/>
        </w:rPr>
        <w:t>重大疾病、重大传染病预防控制等重大公共卫生服务项目支出。</w:t>
      </w:r>
    </w:p>
    <w:p w14:paraId="1820BBA9">
      <w:pPr>
        <w:ind w:firstLine="640" w:firstLineChars="200"/>
        <w:rPr>
          <w:rFonts w:ascii="仿宋_GB2312" w:hAnsi="仿宋" w:eastAsia="仿宋_GB2312"/>
          <w:sz w:val="32"/>
          <w:szCs w:val="32"/>
        </w:rPr>
      </w:pPr>
      <w:r>
        <w:rPr>
          <w:rFonts w:hint="eastAsia" w:ascii="仿宋_GB2312" w:eastAsia="仿宋_GB2312"/>
          <w:color w:val="000000"/>
          <w:sz w:val="32"/>
          <w:szCs w:val="32"/>
        </w:rPr>
        <w:t>15.</w:t>
      </w:r>
      <w:r>
        <w:rPr>
          <w:rFonts w:hint="eastAsia" w:ascii="仿宋_GB2312" w:hAnsi="仿宋" w:eastAsia="仿宋_GB2312"/>
          <w:sz w:val="32"/>
          <w:szCs w:val="32"/>
        </w:rPr>
        <w:t>（类210）行政事业单位医疗（款11）事业单位医疗（款02）：指财政部门安排的事业单位基本医疗保险缴费经费，未参加医疗保险的事业单位的公费医疗经费，按国家规定享受离退休人员待遇的医疗经费。</w:t>
      </w:r>
    </w:p>
    <w:p w14:paraId="593E36F8">
      <w:pPr>
        <w:ind w:firstLine="640" w:firstLineChars="200"/>
        <w:rPr>
          <w:rFonts w:ascii="仿宋_GB2312" w:eastAsia="仿宋_GB2312"/>
          <w:color w:val="000000"/>
          <w:sz w:val="32"/>
          <w:szCs w:val="32"/>
        </w:rPr>
      </w:pPr>
      <w:r>
        <w:rPr>
          <w:rFonts w:hint="eastAsia" w:ascii="仿宋_GB2312" w:hAnsi="仿宋" w:eastAsia="仿宋_GB2312"/>
          <w:sz w:val="32"/>
          <w:szCs w:val="32"/>
        </w:rPr>
        <w:t>16.（类210）行政事业单位医疗（款11）公务员医疗补助（款03）：指财政部门安排的公务员医疗补助经费。</w:t>
      </w:r>
    </w:p>
    <w:p w14:paraId="5F0CB1BB">
      <w:pPr>
        <w:ind w:firstLine="640" w:firstLineChars="200"/>
        <w:rPr>
          <w:rFonts w:ascii="仿宋_GB2312" w:hAnsi="仿宋" w:eastAsia="仿宋_GB2312"/>
          <w:sz w:val="32"/>
          <w:szCs w:val="32"/>
        </w:rPr>
      </w:pPr>
      <w:r>
        <w:rPr>
          <w:rFonts w:hint="eastAsia" w:ascii="仿宋_GB2312" w:hAnsi="仿宋" w:eastAsia="仿宋_GB2312"/>
          <w:color w:val="000000"/>
          <w:sz w:val="32"/>
          <w:szCs w:val="32"/>
        </w:rPr>
        <w:t>17.住房保障：</w:t>
      </w:r>
      <w:r>
        <w:rPr>
          <w:rFonts w:hint="eastAsia" w:ascii="仿宋_GB2312" w:hAnsi="仿宋" w:eastAsia="仿宋_GB2312"/>
          <w:sz w:val="32"/>
          <w:szCs w:val="32"/>
        </w:rPr>
        <w:t>（类221）住房改革支出（款02）住房公积金（项01）：指行政事业单位按人力资源和社会保障部、财政部规定的基本工资和津贴补贴以及规定比例为职工缴纳的住房公积金。</w:t>
      </w:r>
    </w:p>
    <w:p w14:paraId="156FBFA5">
      <w:pPr>
        <w:pStyle w:val="2"/>
        <w:spacing w:before="93"/>
        <w:ind w:firstLine="320" w:firstLineChars="100"/>
      </w:pPr>
      <w:r>
        <w:rPr>
          <w:rFonts w:hint="eastAsia" w:hAnsi="仿宋"/>
          <w:sz w:val="32"/>
          <w:szCs w:val="32"/>
        </w:rPr>
        <w:t>18.城乡社区支出（类212）国有土地使用权出让收入安排的支出（款08）土地开发支出（款02）：指用国有土地使用权出让收入安排的支出。</w:t>
      </w:r>
    </w:p>
    <w:p w14:paraId="384ECFAF">
      <w:pPr>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6990AB8C">
      <w:pPr>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3F9EBD87">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62AA3D6">
      <w:pPr>
        <w:spacing w:line="600" w:lineRule="exact"/>
        <w:jc w:val="center"/>
        <w:outlineLvl w:val="0"/>
        <w:rPr>
          <w:rStyle w:val="25"/>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5"/>
          <w:rFonts w:hint="eastAsia" w:ascii="黑体" w:hAnsi="黑体" w:eastAsia="黑体"/>
          <w:b w:val="0"/>
        </w:rPr>
        <w:t>四部分 附件</w:t>
      </w:r>
      <w:bookmarkEnd w:id="52"/>
    </w:p>
    <w:p w14:paraId="59A5F2C7">
      <w:pPr>
        <w:spacing w:line="572" w:lineRule="exact"/>
        <w:jc w:val="left"/>
        <w:outlineLvl w:val="0"/>
        <w:rPr>
          <w:rFonts w:ascii="仿宋_GB2312" w:hAnsi="仿宋_GB2312" w:eastAsia="仿宋_GB2312" w:cs="仿宋_GB2312"/>
          <w:sz w:val="32"/>
          <w:szCs w:val="32"/>
        </w:rPr>
      </w:pPr>
    </w:p>
    <w:p w14:paraId="1FC6B67A">
      <w:pPr>
        <w:spacing w:line="600" w:lineRule="exact"/>
        <w:ind w:firstLine="960" w:firstLineChars="300"/>
        <w:outlineLvl w:val="0"/>
        <w:rPr>
          <w:rFonts w:ascii="宋体" w:hAnsi="宋体" w:cs="宋体"/>
          <w:kern w:val="0"/>
          <w:sz w:val="32"/>
          <w:szCs w:val="32"/>
        </w:rPr>
      </w:pPr>
      <w:bookmarkStart w:id="53" w:name="_Toc15396618"/>
      <w:r>
        <w:rPr>
          <w:rFonts w:hint="eastAsia" w:ascii="宋体" w:hAnsi="宋体" w:cs="宋体"/>
          <w:kern w:val="0"/>
          <w:sz w:val="32"/>
          <w:szCs w:val="32"/>
        </w:rPr>
        <w:t>部门预算项目支出绩效绩效自评表（2022年度）</w:t>
      </w:r>
    </w:p>
    <w:p w14:paraId="3999FF11">
      <w:pPr>
        <w:spacing w:line="600" w:lineRule="exact"/>
        <w:jc w:val="center"/>
        <w:outlineLvl w:val="0"/>
        <w:rPr>
          <w:rFonts w:ascii="黑体" w:hAnsi="黑体" w:eastAsia="黑体"/>
          <w:sz w:val="44"/>
          <w:szCs w:val="44"/>
        </w:rPr>
      </w:pPr>
    </w:p>
    <w:p w14:paraId="18DFC9F1">
      <w:pPr>
        <w:spacing w:line="600" w:lineRule="exact"/>
        <w:jc w:val="center"/>
        <w:outlineLvl w:val="0"/>
        <w:rPr>
          <w:rFonts w:ascii="黑体" w:hAnsi="黑体" w:eastAsia="黑体"/>
          <w:sz w:val="44"/>
          <w:szCs w:val="44"/>
        </w:rPr>
      </w:pPr>
    </w:p>
    <w:p w14:paraId="7DF750AF">
      <w:pPr>
        <w:spacing w:line="600" w:lineRule="exact"/>
        <w:jc w:val="center"/>
        <w:outlineLvl w:val="0"/>
        <w:rPr>
          <w:rFonts w:ascii="黑体" w:hAnsi="黑体" w:eastAsia="黑体"/>
          <w:sz w:val="44"/>
          <w:szCs w:val="44"/>
        </w:rPr>
      </w:pPr>
    </w:p>
    <w:p w14:paraId="239EB4C2">
      <w:pPr>
        <w:spacing w:line="600" w:lineRule="exact"/>
        <w:jc w:val="center"/>
        <w:outlineLvl w:val="0"/>
        <w:rPr>
          <w:rFonts w:ascii="黑体" w:hAnsi="黑体" w:eastAsia="黑体"/>
          <w:sz w:val="44"/>
          <w:szCs w:val="44"/>
        </w:rPr>
      </w:pPr>
    </w:p>
    <w:p w14:paraId="76DCDCF9">
      <w:pPr>
        <w:spacing w:line="600" w:lineRule="exact"/>
        <w:jc w:val="center"/>
        <w:outlineLvl w:val="0"/>
        <w:rPr>
          <w:rFonts w:ascii="黑体" w:hAnsi="黑体" w:eastAsia="黑体"/>
          <w:sz w:val="44"/>
          <w:szCs w:val="44"/>
        </w:rPr>
      </w:pPr>
    </w:p>
    <w:p w14:paraId="2DBA9118">
      <w:pPr>
        <w:spacing w:line="600" w:lineRule="exact"/>
        <w:jc w:val="center"/>
        <w:outlineLvl w:val="0"/>
        <w:rPr>
          <w:rFonts w:ascii="黑体" w:hAnsi="黑体" w:eastAsia="黑体"/>
          <w:sz w:val="44"/>
          <w:szCs w:val="44"/>
        </w:rPr>
      </w:pPr>
    </w:p>
    <w:p w14:paraId="5B14AF64">
      <w:pPr>
        <w:spacing w:line="600" w:lineRule="exact"/>
        <w:jc w:val="center"/>
        <w:outlineLvl w:val="0"/>
        <w:rPr>
          <w:rFonts w:ascii="黑体" w:hAnsi="黑体" w:eastAsia="黑体"/>
          <w:sz w:val="44"/>
          <w:szCs w:val="44"/>
        </w:rPr>
      </w:pPr>
    </w:p>
    <w:p w14:paraId="1A69969F">
      <w:pPr>
        <w:spacing w:line="600" w:lineRule="exact"/>
        <w:jc w:val="center"/>
        <w:outlineLvl w:val="0"/>
        <w:rPr>
          <w:rFonts w:ascii="黑体" w:hAnsi="黑体" w:eastAsia="黑体"/>
          <w:sz w:val="44"/>
          <w:szCs w:val="44"/>
        </w:rPr>
      </w:pPr>
    </w:p>
    <w:p w14:paraId="3417E21E">
      <w:pPr>
        <w:spacing w:line="600" w:lineRule="exact"/>
        <w:jc w:val="center"/>
        <w:outlineLvl w:val="0"/>
        <w:rPr>
          <w:rFonts w:ascii="黑体" w:hAnsi="黑体" w:eastAsia="黑体"/>
          <w:sz w:val="44"/>
          <w:szCs w:val="44"/>
        </w:rPr>
      </w:pPr>
    </w:p>
    <w:p w14:paraId="5C519731">
      <w:pPr>
        <w:spacing w:line="600" w:lineRule="exact"/>
        <w:jc w:val="center"/>
        <w:outlineLvl w:val="0"/>
        <w:rPr>
          <w:rFonts w:ascii="黑体" w:hAnsi="黑体" w:eastAsia="黑体"/>
          <w:sz w:val="44"/>
          <w:szCs w:val="44"/>
        </w:rPr>
      </w:pPr>
    </w:p>
    <w:p w14:paraId="77C097F9">
      <w:pPr>
        <w:spacing w:line="600" w:lineRule="exact"/>
        <w:jc w:val="center"/>
        <w:outlineLvl w:val="0"/>
        <w:rPr>
          <w:rFonts w:ascii="黑体" w:hAnsi="黑体" w:eastAsia="黑体"/>
          <w:sz w:val="44"/>
          <w:szCs w:val="44"/>
        </w:rPr>
      </w:pPr>
    </w:p>
    <w:p w14:paraId="3A07E23D">
      <w:pPr>
        <w:spacing w:line="600" w:lineRule="exact"/>
        <w:outlineLvl w:val="0"/>
        <w:rPr>
          <w:rFonts w:hint="eastAsia" w:ascii="黑体" w:hAnsi="黑体" w:eastAsia="黑体"/>
          <w:sz w:val="44"/>
          <w:szCs w:val="44"/>
        </w:rPr>
      </w:pPr>
    </w:p>
    <w:p w14:paraId="3B9898C0">
      <w:pPr>
        <w:spacing w:line="600" w:lineRule="exact"/>
        <w:outlineLvl w:val="0"/>
        <w:rPr>
          <w:rFonts w:hint="eastAsia" w:ascii="黑体" w:hAnsi="黑体" w:eastAsia="黑体"/>
          <w:sz w:val="44"/>
          <w:szCs w:val="44"/>
        </w:rPr>
      </w:pPr>
    </w:p>
    <w:p w14:paraId="38749C08">
      <w:pPr>
        <w:spacing w:line="600" w:lineRule="exact"/>
        <w:outlineLvl w:val="0"/>
        <w:rPr>
          <w:rFonts w:hint="eastAsia" w:ascii="黑体" w:hAnsi="黑体" w:eastAsia="黑体"/>
          <w:sz w:val="44"/>
          <w:szCs w:val="44"/>
        </w:rPr>
      </w:pPr>
    </w:p>
    <w:p w14:paraId="3EBC1FE4">
      <w:pPr>
        <w:spacing w:line="600" w:lineRule="exact"/>
        <w:outlineLvl w:val="0"/>
        <w:rPr>
          <w:rFonts w:hint="eastAsia" w:ascii="黑体" w:hAnsi="黑体" w:eastAsia="黑体"/>
          <w:sz w:val="44"/>
          <w:szCs w:val="44"/>
        </w:rPr>
      </w:pPr>
    </w:p>
    <w:p w14:paraId="60F6F660">
      <w:pPr>
        <w:spacing w:line="600" w:lineRule="exact"/>
        <w:outlineLvl w:val="0"/>
        <w:rPr>
          <w:rFonts w:hint="eastAsia" w:ascii="黑体" w:hAnsi="黑体" w:eastAsia="黑体"/>
          <w:sz w:val="44"/>
          <w:szCs w:val="44"/>
        </w:rPr>
      </w:pPr>
    </w:p>
    <w:p w14:paraId="3A546E80">
      <w:pPr>
        <w:spacing w:line="600" w:lineRule="exact"/>
        <w:outlineLvl w:val="0"/>
        <w:rPr>
          <w:rFonts w:hint="eastAsia" w:ascii="黑体" w:hAnsi="黑体" w:eastAsia="黑体"/>
          <w:sz w:val="44"/>
          <w:szCs w:val="44"/>
        </w:rPr>
      </w:pPr>
    </w:p>
    <w:p w14:paraId="2A1F138D">
      <w:pPr>
        <w:spacing w:line="600" w:lineRule="exact"/>
        <w:outlineLvl w:val="0"/>
        <w:rPr>
          <w:rFonts w:hint="eastAsia" w:ascii="黑体" w:hAnsi="黑体" w:eastAsia="黑体"/>
          <w:sz w:val="44"/>
          <w:szCs w:val="44"/>
        </w:rPr>
      </w:pPr>
    </w:p>
    <w:p w14:paraId="64E49C57">
      <w:pPr>
        <w:spacing w:line="600" w:lineRule="exact"/>
        <w:outlineLvl w:val="0"/>
        <w:rPr>
          <w:rFonts w:hint="eastAsia" w:ascii="黑体" w:hAnsi="黑体" w:eastAsia="黑体"/>
          <w:sz w:val="44"/>
          <w:szCs w:val="44"/>
        </w:rPr>
      </w:pPr>
    </w:p>
    <w:p w14:paraId="43E4DCEA">
      <w:pPr>
        <w:spacing w:line="600" w:lineRule="exact"/>
        <w:outlineLvl w:val="0"/>
        <w:rPr>
          <w:rFonts w:hint="eastAsia" w:ascii="黑体" w:hAnsi="黑体" w:eastAsia="黑体"/>
          <w:sz w:val="44"/>
          <w:szCs w:val="44"/>
        </w:rPr>
      </w:pPr>
    </w:p>
    <w:p w14:paraId="1BE68BF6">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1"/>
      <w:bookmarkEnd w:id="53"/>
      <w:bookmarkStart w:id="54" w:name="_Toc15396619"/>
    </w:p>
    <w:p w14:paraId="468E76DB">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4"/>
    </w:p>
    <w:p w14:paraId="43BBAD1D">
      <w:pPr>
        <w:pStyle w:val="4"/>
        <w:rPr>
          <w:rFonts w:ascii="仿宋" w:hAnsi="仿宋" w:eastAsia="仿宋"/>
        </w:rPr>
      </w:pPr>
      <w:bookmarkStart w:id="55" w:name="_Toc15396620"/>
      <w:r>
        <w:rPr>
          <w:rFonts w:hint="eastAsia" w:ascii="仿宋" w:hAnsi="仿宋" w:eastAsia="仿宋"/>
          <w:b w:val="0"/>
        </w:rPr>
        <w:t>二、收</w:t>
      </w:r>
      <w:r>
        <w:rPr>
          <w:rStyle w:val="26"/>
          <w:rFonts w:hint="eastAsia" w:ascii="仿宋" w:hAnsi="仿宋" w:eastAsia="仿宋"/>
          <w:b w:val="0"/>
          <w:bCs w:val="0"/>
        </w:rPr>
        <w:t>入决算表</w:t>
      </w:r>
      <w:bookmarkEnd w:id="55"/>
    </w:p>
    <w:p w14:paraId="0A430786">
      <w:pPr>
        <w:pStyle w:val="4"/>
        <w:rPr>
          <w:rFonts w:ascii="仿宋" w:hAnsi="仿宋" w:eastAsia="仿宋"/>
        </w:rPr>
      </w:pPr>
      <w:bookmarkStart w:id="5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6"/>
    </w:p>
    <w:p w14:paraId="17F25F65">
      <w:pPr>
        <w:pStyle w:val="4"/>
        <w:rPr>
          <w:rFonts w:ascii="仿宋" w:hAnsi="仿宋" w:eastAsia="仿宋"/>
          <w:b w:val="0"/>
        </w:rPr>
      </w:pPr>
      <w:bookmarkStart w:id="5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7"/>
    </w:p>
    <w:p w14:paraId="5E4ECAB0">
      <w:pPr>
        <w:pStyle w:val="4"/>
        <w:rPr>
          <w:rStyle w:val="26"/>
          <w:rFonts w:ascii="仿宋" w:hAnsi="仿宋" w:eastAsia="仿宋"/>
          <w:b w:val="0"/>
          <w:bCs w:val="0"/>
        </w:rPr>
      </w:pPr>
      <w:bookmarkStart w:id="5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8"/>
      <w:bookmarkStart w:id="59" w:name="_Toc15396624"/>
    </w:p>
    <w:p w14:paraId="4224D0DB">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9"/>
    </w:p>
    <w:p w14:paraId="008744FD">
      <w:pPr>
        <w:pStyle w:val="4"/>
        <w:rPr>
          <w:rFonts w:ascii="仿宋" w:hAnsi="仿宋" w:eastAsia="仿宋"/>
        </w:rPr>
      </w:pPr>
      <w:bookmarkStart w:id="6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0"/>
    </w:p>
    <w:p w14:paraId="75197C21">
      <w:pPr>
        <w:pStyle w:val="4"/>
        <w:rPr>
          <w:rFonts w:ascii="仿宋" w:hAnsi="仿宋" w:eastAsia="仿宋"/>
        </w:rPr>
      </w:pPr>
      <w:bookmarkStart w:id="6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1"/>
    </w:p>
    <w:p w14:paraId="4852DC8A">
      <w:pPr>
        <w:pStyle w:val="4"/>
        <w:rPr>
          <w:rFonts w:ascii="仿宋" w:hAnsi="仿宋" w:eastAsia="仿宋"/>
        </w:rPr>
      </w:pPr>
      <w:bookmarkStart w:id="6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2"/>
    </w:p>
    <w:p w14:paraId="3D41E953">
      <w:pPr>
        <w:pStyle w:val="4"/>
        <w:rPr>
          <w:rFonts w:ascii="仿宋" w:hAnsi="仿宋" w:eastAsia="仿宋"/>
        </w:rPr>
      </w:pPr>
      <w:bookmarkStart w:id="63" w:name="_Toc15396628"/>
      <w:r>
        <w:rPr>
          <w:rStyle w:val="26"/>
          <w:rFonts w:hint="eastAsia" w:ascii="仿宋" w:hAnsi="仿宋" w:eastAsia="仿宋"/>
          <w:b w:val="0"/>
          <w:bCs w:val="0"/>
        </w:rPr>
        <w:t>十、</w:t>
      </w:r>
      <w:bookmarkEnd w:id="63"/>
      <w:r>
        <w:rPr>
          <w:rFonts w:hint="eastAsia" w:ascii="仿宋" w:hAnsi="仿宋" w:eastAsia="仿宋"/>
          <w:b w:val="0"/>
        </w:rPr>
        <w:t>政</w:t>
      </w:r>
      <w:r>
        <w:rPr>
          <w:rStyle w:val="26"/>
          <w:rFonts w:hint="eastAsia" w:ascii="仿宋" w:hAnsi="仿宋" w:eastAsia="仿宋"/>
          <w:b w:val="0"/>
          <w:bCs w:val="0"/>
        </w:rPr>
        <w:t>府性基金预算财政拨款收入支出决算表</w:t>
      </w:r>
    </w:p>
    <w:p w14:paraId="1A8E2C17">
      <w:pPr>
        <w:pStyle w:val="4"/>
        <w:rPr>
          <w:rFonts w:ascii="仿宋" w:hAnsi="仿宋" w:eastAsia="仿宋"/>
        </w:rPr>
      </w:pPr>
      <w:bookmarkStart w:id="64" w:name="_Toc15396629"/>
      <w:r>
        <w:rPr>
          <w:rStyle w:val="26"/>
          <w:rFonts w:hint="eastAsia" w:ascii="仿宋" w:hAnsi="仿宋" w:eastAsia="仿宋"/>
          <w:b w:val="0"/>
          <w:bCs w:val="0"/>
        </w:rPr>
        <w:t>十一、</w:t>
      </w:r>
      <w:bookmarkEnd w:id="64"/>
      <w:r>
        <w:rPr>
          <w:rFonts w:hint="eastAsia" w:ascii="仿宋" w:hAnsi="仿宋" w:eastAsia="仿宋"/>
          <w:b w:val="0"/>
        </w:rPr>
        <w:t>国</w:t>
      </w:r>
      <w:r>
        <w:rPr>
          <w:rStyle w:val="26"/>
          <w:rFonts w:hint="eastAsia" w:ascii="仿宋" w:hAnsi="仿宋" w:eastAsia="仿宋"/>
          <w:b w:val="0"/>
          <w:bCs w:val="0"/>
        </w:rPr>
        <w:t>有资本经营预算财政拨款收入支出决算表</w:t>
      </w:r>
    </w:p>
    <w:p w14:paraId="62CCD3EA">
      <w:pPr>
        <w:pStyle w:val="4"/>
        <w:rPr>
          <w:rFonts w:ascii="仿宋" w:hAnsi="仿宋" w:eastAsia="仿宋"/>
        </w:rPr>
      </w:pPr>
      <w:bookmarkStart w:id="65" w:name="_Toc15396630"/>
      <w:r>
        <w:rPr>
          <w:rStyle w:val="26"/>
          <w:rFonts w:hint="eastAsia" w:ascii="仿宋" w:hAnsi="仿宋" w:eastAsia="仿宋"/>
          <w:b w:val="0"/>
          <w:bCs w:val="0"/>
        </w:rPr>
        <w:t>十二、</w:t>
      </w:r>
      <w:bookmarkEnd w:id="65"/>
      <w:r>
        <w:rPr>
          <w:rStyle w:val="26"/>
          <w:rFonts w:hint="eastAsia" w:ascii="仿宋" w:hAnsi="仿宋" w:eastAsia="仿宋"/>
          <w:b w:val="0"/>
          <w:bCs w:val="0"/>
        </w:rPr>
        <w:t>国有资本经营预算财政拨款支出决算表</w:t>
      </w:r>
    </w:p>
    <w:p w14:paraId="2E12E5C7">
      <w:pPr>
        <w:pStyle w:val="4"/>
        <w:rPr>
          <w:rFonts w:eastAsia="仿宋"/>
        </w:rPr>
      </w:pPr>
      <w:bookmarkStart w:id="66" w:name="_Toc15396631"/>
      <w:r>
        <w:rPr>
          <w:rStyle w:val="26"/>
          <w:rFonts w:hint="eastAsia" w:ascii="仿宋" w:hAnsi="仿宋" w:eastAsia="仿宋"/>
          <w:b w:val="0"/>
          <w:bCs w:val="0"/>
        </w:rPr>
        <w:t>十三、</w:t>
      </w:r>
      <w:bookmarkEnd w:id="66"/>
      <w:r>
        <w:rPr>
          <w:rStyle w:val="26"/>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87CB4C-1A49-45FF-932D-3715AD970E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CEAB15D-FAD4-468E-897E-5B7AA4ADFDD1}"/>
  </w:font>
  <w:font w:name="Cambria">
    <w:panose1 w:val="02040503050406030204"/>
    <w:charset w:val="00"/>
    <w:family w:val="roman"/>
    <w:pitch w:val="default"/>
    <w:sig w:usb0="E00002FF" w:usb1="400004FF" w:usb2="00000000" w:usb3="00000000" w:csb0="2000019F" w:csb1="00000000"/>
    <w:embedRegular r:id="rId3" w:fontKey="{FCE49E16-D820-471B-87E5-31E4303B6858}"/>
  </w:font>
  <w:font w:name="仿宋_GB2312">
    <w:altName w:val="仿宋"/>
    <w:panose1 w:val="02010609030101010101"/>
    <w:charset w:val="86"/>
    <w:family w:val="modern"/>
    <w:pitch w:val="default"/>
    <w:sig w:usb0="00000000" w:usb1="00000000" w:usb2="00000010" w:usb3="00000000" w:csb0="00040000" w:csb1="00000000"/>
    <w:embedRegular r:id="rId4" w:fontKey="{410728F6-2A13-4D62-9471-B6C310E85ADC}"/>
  </w:font>
  <w:font w:name="仿宋">
    <w:panose1 w:val="02010609060101010101"/>
    <w:charset w:val="86"/>
    <w:family w:val="modern"/>
    <w:pitch w:val="default"/>
    <w:sig w:usb0="800002BF" w:usb1="38CF7CFA" w:usb2="00000016" w:usb3="00000000" w:csb0="00040001" w:csb1="00000000"/>
    <w:embedRegular r:id="rId5" w:fontKey="{F94568E5-7F48-4CAF-BD6E-7D309BA17DC0}"/>
  </w:font>
  <w:font w:name="方正小标宋简体">
    <w:panose1 w:val="02000000000000000000"/>
    <w:charset w:val="86"/>
    <w:family w:val="auto"/>
    <w:pitch w:val="default"/>
    <w:sig w:usb0="00000001" w:usb1="08000000" w:usb2="00000000" w:usb3="00000000" w:csb0="00040000" w:csb1="00000000"/>
    <w:embedRegular r:id="rId6" w:fontKey="{09B4FA26-3A8A-43D6-90FE-CD436AFDAA8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E3EDE39">
        <w:pPr>
          <w:pStyle w:val="8"/>
          <w:jc w:val="center"/>
        </w:pPr>
        <w:r>
          <w:fldChar w:fldCharType="begin"/>
        </w:r>
        <w:r>
          <w:instrText xml:space="preserve">PAGE   \* MERGEFORMAT</w:instrText>
        </w:r>
        <w:r>
          <w:fldChar w:fldCharType="separate"/>
        </w:r>
        <w:r>
          <w:rPr>
            <w:lang w:val="zh-CN"/>
          </w:rPr>
          <w:t>8</w:t>
        </w:r>
        <w:r>
          <w:fldChar w:fldCharType="end"/>
        </w:r>
      </w:p>
    </w:sdtContent>
  </w:sdt>
  <w:p w14:paraId="72E3339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F088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NGZhNmZmZmFhZWFkMzk3YTMwNjFlN2NmZGE2N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3AC2"/>
    <w:rsid w:val="001654D1"/>
    <w:rsid w:val="00174518"/>
    <w:rsid w:val="0018106D"/>
    <w:rsid w:val="001877A7"/>
    <w:rsid w:val="00191536"/>
    <w:rsid w:val="00196687"/>
    <w:rsid w:val="001B1699"/>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05F82"/>
    <w:rsid w:val="0031046C"/>
    <w:rsid w:val="003216A9"/>
    <w:rsid w:val="00335A74"/>
    <w:rsid w:val="0036561B"/>
    <w:rsid w:val="0037013F"/>
    <w:rsid w:val="00380C92"/>
    <w:rsid w:val="003A484F"/>
    <w:rsid w:val="003A4883"/>
    <w:rsid w:val="003B0BE0"/>
    <w:rsid w:val="003B0C1B"/>
    <w:rsid w:val="003B688C"/>
    <w:rsid w:val="003C0291"/>
    <w:rsid w:val="003C0CE5"/>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136A"/>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541F"/>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05023"/>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53C2"/>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611D"/>
    <w:rsid w:val="00F602DF"/>
    <w:rsid w:val="00F754A1"/>
    <w:rsid w:val="00F81FD9"/>
    <w:rsid w:val="00F841AA"/>
    <w:rsid w:val="00F84A94"/>
    <w:rsid w:val="00F87E96"/>
    <w:rsid w:val="00FA23E8"/>
    <w:rsid w:val="00FD3CC1"/>
    <w:rsid w:val="00FF1E02"/>
    <w:rsid w:val="00FF30B4"/>
    <w:rsid w:val="03341481"/>
    <w:rsid w:val="053A62B5"/>
    <w:rsid w:val="0A2032A3"/>
    <w:rsid w:val="0B8A37D8"/>
    <w:rsid w:val="10C055FF"/>
    <w:rsid w:val="118107EC"/>
    <w:rsid w:val="11DD6519"/>
    <w:rsid w:val="13110A5A"/>
    <w:rsid w:val="16BB723D"/>
    <w:rsid w:val="18015F3F"/>
    <w:rsid w:val="1BE8440E"/>
    <w:rsid w:val="1D155CEE"/>
    <w:rsid w:val="20F57F95"/>
    <w:rsid w:val="240371BF"/>
    <w:rsid w:val="25711CC6"/>
    <w:rsid w:val="25C741E6"/>
    <w:rsid w:val="25CE74C6"/>
    <w:rsid w:val="27842671"/>
    <w:rsid w:val="29FD04D3"/>
    <w:rsid w:val="2ABE7A3E"/>
    <w:rsid w:val="2CA234A8"/>
    <w:rsid w:val="2EFA178C"/>
    <w:rsid w:val="2FF128B7"/>
    <w:rsid w:val="30B46D73"/>
    <w:rsid w:val="319F7F4E"/>
    <w:rsid w:val="35792BA0"/>
    <w:rsid w:val="35966D43"/>
    <w:rsid w:val="36B646DD"/>
    <w:rsid w:val="383D272C"/>
    <w:rsid w:val="384A0E56"/>
    <w:rsid w:val="39AE70AB"/>
    <w:rsid w:val="3C0C0783"/>
    <w:rsid w:val="3F9F3A96"/>
    <w:rsid w:val="48BF60AB"/>
    <w:rsid w:val="493C27E9"/>
    <w:rsid w:val="496F39ED"/>
    <w:rsid w:val="49FF41D3"/>
    <w:rsid w:val="4BC06813"/>
    <w:rsid w:val="4BE068DB"/>
    <w:rsid w:val="4BF6002B"/>
    <w:rsid w:val="4ECE2238"/>
    <w:rsid w:val="50362536"/>
    <w:rsid w:val="515E260A"/>
    <w:rsid w:val="51DB4B86"/>
    <w:rsid w:val="55333C3E"/>
    <w:rsid w:val="64CA39A1"/>
    <w:rsid w:val="69630ADE"/>
    <w:rsid w:val="6C4A05C8"/>
    <w:rsid w:val="6D3B1A89"/>
    <w:rsid w:val="71BF4EC2"/>
    <w:rsid w:val="72734D90"/>
    <w:rsid w:val="7412278C"/>
    <w:rsid w:val="78A40E0A"/>
    <w:rsid w:val="79E7B28D"/>
    <w:rsid w:val="7F756292"/>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0"/>
    <w:pPr>
      <w:spacing w:before="100" w:beforeAutospacing="1" w:after="100"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1.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endParaRPr lang="zh-CN" altLang="en-US"/>
          </a:p>
        </c:rich>
      </c:tx>
      <c:layout/>
      <c:overlay val="0"/>
      <c:spPr>
        <a:noFill/>
        <a:ln>
          <a:noFill/>
        </a:ln>
        <a:effectLst/>
      </c:spPr>
    </c:title>
    <c:autoTitleDeleted val="0"/>
    <c:plotArea>
      <c:layout>
        <c:manualLayout>
          <c:layoutTarget val="inner"/>
          <c:xMode val="edge"/>
          <c:yMode val="edge"/>
          <c:x val="0.125060075523515"/>
          <c:y val="0.186382978723404"/>
          <c:w val="0.869790593889461"/>
          <c:h val="0.518127659574468"/>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441.66</c:v>
                </c:pt>
                <c:pt idx="1">
                  <c:v>713.96</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Sheet1!$C$2:$C$3</c:f>
              <c:numCache>
                <c:formatCode>General</c:formatCode>
                <c:ptCount val="2"/>
                <c:pt idx="0">
                  <c:v>441.66</c:v>
                </c:pt>
                <c:pt idx="1">
                  <c:v>713.96</c:v>
                </c:pt>
              </c:numCache>
            </c:numRef>
          </c:val>
        </c:ser>
        <c:dLbls>
          <c:showLegendKey val="0"/>
          <c:showVal val="1"/>
          <c:showCatName val="0"/>
          <c:showSerName val="0"/>
          <c:showPercent val="0"/>
          <c:showBubbleSize val="0"/>
        </c:dLbls>
        <c:gapWidth val="219"/>
        <c:overlap val="-27"/>
        <c:axId val="243977600"/>
        <c:axId val="244548736"/>
      </c:barChart>
      <c:catAx>
        <c:axId val="24397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4548736"/>
        <c:crosses val="autoZero"/>
        <c:auto val="1"/>
        <c:lblAlgn val="ctr"/>
        <c:lblOffset val="100"/>
        <c:noMultiLvlLbl val="0"/>
      </c:catAx>
      <c:valAx>
        <c:axId val="244548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9776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rPr lang="zh-CN" altLang="en-US"/>
              <a:t>收入决算结构图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gradFill>
                <a:gsLst>
                  <a:gs pos="70000">
                    <a:schemeClr val="accent1"/>
                  </a:gs>
                  <a:gs pos="0">
                    <a:schemeClr val="accent1">
                      <a:lumMod val="60000"/>
                      <a:lumOff val="40000"/>
                    </a:schemeClr>
                  </a:gs>
                </a:gsLst>
                <a:lin ang="5400000"/>
              </a:gradFill>
              <a:ln w="19050">
                <a:solidFill>
                  <a:schemeClr val="lt1"/>
                </a:solidFill>
              </a:ln>
              <a:effectLst>
                <a:outerShdw blurRad="63500" sx="102000" sy="102000" algn="ctr" rotWithShape="0">
                  <a:prstClr val="black">
                    <a:alpha val="25000"/>
                  </a:prstClr>
                </a:outerShdw>
              </a:effectLst>
            </c:spPr>
          </c:dPt>
          <c:dPt>
            <c:idx val="1"/>
            <c:bubble3D val="0"/>
            <c:spPr>
              <a:gradFill>
                <a:gsLst>
                  <a:gs pos="70000">
                    <a:schemeClr val="accent2"/>
                  </a:gs>
                  <a:gs pos="0">
                    <a:schemeClr val="accent2">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Pt>
            <c:idx val="2"/>
            <c:bubble3D val="0"/>
            <c:spPr>
              <a:gradFill>
                <a:gsLst>
                  <a:gs pos="70000">
                    <a:schemeClr val="accent3"/>
                  </a:gs>
                  <a:gs pos="0">
                    <a:schemeClr val="accent3">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Lbls>
            <c:dLbl>
              <c:idx val="0"/>
              <c:layout/>
              <c:tx>
                <c:rich>
                  <a:bodyPr rot="0" spcFirstLastPara="0" vertOverflow="ellipsis" vert="horz" wrap="square" lIns="38100" tIns="19050" rIns="38100" bIns="19050" anchor="ctr" anchorCtr="1"/>
                  <a:lstStyle/>
                  <a:p>
                    <a:pPr>
                      <a:defRPr lang="zh-CN" sz="1100" b="0" i="0" u="none" strike="noStrike" kern="1200" baseline="0">
                        <a:solidFill>
                          <a:schemeClr val="bg1"/>
                        </a:solidFill>
                        <a:latin typeface="+mn-lt"/>
                        <a:ea typeface="+mn-ea"/>
                        <a:cs typeface="+mn-cs"/>
                      </a:defRPr>
                    </a:pPr>
                    <a:r>
                      <a:rPr lang="en-US" altLang="zh-CN"/>
                      <a:t>73.48%</a:t>
                    </a:r>
                    <a:endParaRPr lang="en-US" altLang="zh-CN"/>
                  </a:p>
                </c:rich>
              </c:tx>
              <c:dLblPos val="in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100" b="0" i="0" u="none" strike="noStrike" kern="1200" baseline="0">
                        <a:solidFill>
                          <a:schemeClr val="bg1"/>
                        </a:solidFill>
                        <a:latin typeface="+mn-lt"/>
                        <a:ea typeface="+mn-ea"/>
                        <a:cs typeface="+mn-cs"/>
                      </a:defRPr>
                    </a:pPr>
                    <a:r>
                      <a:rPr lang="en-US" altLang="zh-CN"/>
                      <a:t>005%</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100" b="0" i="0" u="none" strike="noStrike" kern="1200" baseline="0">
                        <a:solidFill>
                          <a:schemeClr val="bg1"/>
                        </a:solidFill>
                        <a:latin typeface="+mn-lt"/>
                        <a:ea typeface="+mn-ea"/>
                        <a:cs typeface="+mn-cs"/>
                      </a:defRPr>
                    </a:pPr>
                    <a:r>
                      <a:rPr lang="en-US" altLang="zh-CN"/>
                      <a:t>26.47%</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forceAA="0"/>
              <a:lstStyle/>
              <a:p>
                <a:pPr>
                  <a:defRPr lang="zh-CN" sz="1100" b="0"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政府性基金预算财政拨款收入</c:v>
                </c:pt>
                <c:pt idx="2">
                  <c:v>事业收入</c:v>
                </c:pt>
              </c:strCache>
            </c:strRef>
          </c:cat>
          <c:val>
            <c:numRef>
              <c:f>Sheet1!$B$2:$B$4</c:f>
              <c:numCache>
                <c:formatCode>General</c:formatCode>
                <c:ptCount val="3"/>
                <c:pt idx="0">
                  <c:v>73.48</c:v>
                </c:pt>
                <c:pt idx="1">
                  <c:v>0.05</c:v>
                </c:pt>
                <c:pt idx="2">
                  <c:v>26.47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sz="11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财政拨款收入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55.3%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44.7%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092625"/>
                      <c:h val="0.039833333333333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441.66</c:v>
                </c:pt>
                <c:pt idx="1">
                  <c:v>525.01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Sheet1!$A$2:$A$3</c:f>
              <c:strCache>
                <c:ptCount val="2"/>
                <c:pt idx="0">
                  <c:v>2021年</c:v>
                </c:pt>
                <c:pt idx="1">
                  <c:v>2022年</c:v>
                </c:pt>
              </c:strCache>
            </c:strRef>
          </c:cat>
          <c:val>
            <c:numRef>
              <c:f>Sheet1!$B$2:$B$3</c:f>
              <c:numCache>
                <c:formatCode>General</c:formatCode>
                <c:ptCount val="2"/>
                <c:pt idx="0">
                  <c:v>441.66</c:v>
                </c:pt>
                <c:pt idx="1">
                  <c:v>525.01</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Sheet1!$C$2:$C$3</c:f>
              <c:numCache>
                <c:formatCode>General</c:formatCode>
                <c:ptCount val="2"/>
                <c:pt idx="0">
                  <c:v>441.66</c:v>
                </c:pt>
                <c:pt idx="1">
                  <c:v>525.01</c:v>
                </c:pt>
              </c:numCache>
            </c:numRef>
          </c:val>
        </c:ser>
        <c:dLbls>
          <c:showLegendKey val="0"/>
          <c:showVal val="1"/>
          <c:showCatName val="0"/>
          <c:showSerName val="0"/>
          <c:showPercent val="0"/>
          <c:showBubbleSize val="0"/>
        </c:dLbls>
        <c:gapWidth val="219"/>
        <c:overlap val="-27"/>
        <c:axId val="265776512"/>
        <c:axId val="265790592"/>
      </c:barChart>
      <c:catAx>
        <c:axId val="2657765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790592"/>
        <c:crosses val="autoZero"/>
        <c:auto val="1"/>
        <c:lblAlgn val="ctr"/>
        <c:lblOffset val="100"/>
        <c:noMultiLvlLbl val="0"/>
      </c:catAx>
      <c:valAx>
        <c:axId val="26579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7765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919369085173502"/>
          <c:y val="0.250246305418719"/>
          <c:w val="0.904277602523659"/>
          <c:h val="0.441510673234811"/>
        </c:manualLayout>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408.64</c:v>
                </c:pt>
                <c:pt idx="1">
                  <c:v>524.61</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2021年</c:v>
                </c:pt>
                <c:pt idx="1">
                  <c:v>2022年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2021年</c:v>
                </c:pt>
                <c:pt idx="1">
                  <c:v>2022年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65952640"/>
        <c:axId val="265958528"/>
      </c:barChart>
      <c:catAx>
        <c:axId val="2659526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958528"/>
        <c:crosses val="autoZero"/>
        <c:auto val="1"/>
        <c:lblAlgn val="ctr"/>
        <c:lblOffset val="100"/>
        <c:noMultiLvlLbl val="0"/>
      </c:catAx>
      <c:valAx>
        <c:axId val="26595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952640"/>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0.00%</c:formatCode>
                <c:ptCount val="3"/>
                <c:pt idx="0">
                  <c:v>0.0626</c:v>
                </c:pt>
                <c:pt idx="1">
                  <c:v>0.8973</c:v>
                </c:pt>
                <c:pt idx="2">
                  <c:v>0.2647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100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201">
    <a:dk1>
      <a:srgbClr val="000000"/>
    </a:dk1>
    <a:lt1>
      <a:srgbClr val="FFFFFF"/>
    </a:lt1>
    <a:dk2>
      <a:srgbClr val="0C0E1F"/>
    </a:dk2>
    <a:lt2>
      <a:srgbClr val="FEFFFF"/>
    </a:lt2>
    <a:accent1>
      <a:srgbClr val="646BFE"/>
    </a:accent1>
    <a:accent2>
      <a:srgbClr val="F64699"/>
    </a:accent2>
    <a:accent3>
      <a:srgbClr val="FFC619"/>
    </a:accent3>
    <a:accent4>
      <a:srgbClr val="16CC8A"/>
    </a:accent4>
    <a:accent5>
      <a:srgbClr val="3CAAF7"/>
    </a:accent5>
    <a:accent6>
      <a:srgbClr val="83D8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5468</Words>
  <Characters>6735</Characters>
  <Lines>12</Lines>
  <Paragraphs>13</Paragraphs>
  <TotalTime>249</TotalTime>
  <ScaleCrop>false</ScaleCrop>
  <LinksUpToDate>false</LinksUpToDate>
  <CharactersWithSpaces>6761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木棉花</cp:lastModifiedBy>
  <cp:lastPrinted>2023-07-31T02:35:00Z</cp:lastPrinted>
  <dcterms:modified xsi:type="dcterms:W3CDTF">2024-09-12T02:48:47Z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904423A6B9E44741A167B3585A49A730_12</vt:lpwstr>
  </property>
</Properties>
</file>