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Times New Roman" w:hAnsi="Times New Roman" w:eastAsia="方正小标宋_GBK" w:cs="Times New Roman"/>
          <w:b w:val="0"/>
          <w:bCs w:val="0"/>
          <w:w w:val="96"/>
          <w:sz w:val="44"/>
          <w:szCs w:val="44"/>
          <w:lang w:val="en-US" w:eastAsia="zh-CN"/>
        </w:rPr>
        <w:t>2022</w:t>
      </w:r>
      <w:r>
        <w:rPr>
          <w:rFonts w:hint="eastAsia" w:ascii="Times New Roman" w:hAnsi="Times New Roman" w:eastAsia="方正小标宋_GBK" w:cs="Times New Roman"/>
          <w:b w:val="0"/>
          <w:bCs w:val="0"/>
          <w:w w:val="96"/>
          <w:sz w:val="44"/>
          <w:szCs w:val="44"/>
          <w:lang w:eastAsia="zh-CN"/>
        </w:rPr>
        <w:t>年市级少数民族发展资金和自发迁居农民专项资金项目</w:t>
      </w:r>
      <w:r>
        <w:rPr>
          <w:rFonts w:hint="default" w:ascii="Times New Roman" w:hAnsi="Times New Roman" w:eastAsia="方正小标宋_GBK" w:cs="Times New Roman"/>
          <w:b w:val="0"/>
          <w:bCs w:val="0"/>
          <w:w w:val="96"/>
          <w:sz w:val="44"/>
          <w:szCs w:val="44"/>
          <w:lang w:val="en-US" w:eastAsia="zh-CN"/>
        </w:rPr>
        <w:t>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autoSpaceDE/>
        <w:autoSpaceDN/>
        <w:bidi w:val="0"/>
        <w:snapToGrid/>
        <w:spacing w:line="560" w:lineRule="exact"/>
        <w:ind w:firstLine="632"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snapToGrid w:val="0"/>
          <w:kern w:val="0"/>
          <w:sz w:val="32"/>
          <w:szCs w:val="32"/>
          <w:lang w:val="en-US" w:eastAsia="zh-CN"/>
        </w:rPr>
        <w:t>202</w:t>
      </w:r>
      <w:r>
        <w:rPr>
          <w:rFonts w:hint="eastAsia" w:ascii="Times New Roman" w:hAnsi="Times New Roman" w:eastAsia="仿宋_GB2312" w:cs="Times New Roman"/>
          <w:snapToGrid w:val="0"/>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ascii="Times New Roman" w:hAnsi="Times New Roman" w:eastAsia="仿宋_GB2312" w:cs="Times New Roman"/>
          <w:snapToGrid w:val="0"/>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snapToGrid w:val="0"/>
          <w:kern w:val="0"/>
          <w:sz w:val="32"/>
          <w:szCs w:val="32"/>
          <w:lang w:val="en-US" w:eastAsia="zh-CN"/>
        </w:rPr>
        <w:t>20</w:t>
      </w:r>
      <w:r>
        <w:rPr>
          <w:rFonts w:hint="eastAsia" w:ascii="Times New Roman" w:hAnsi="Times New Roman" w:eastAsia="仿宋_GB2312" w:cs="Times New Roman"/>
          <w:snapToGrid w:val="0"/>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仿宋_GB2312" w:hAnsi="宋体"/>
          <w:lang w:val="zh-CN"/>
        </w:rPr>
        <w:t>介绍项目基本情况，重点说明以下内容：</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楷体_GB2312" w:hAnsi="宋体" w:eastAsia="楷体_GB2312"/>
          <w:b/>
          <w:lang w:val="zh-CN"/>
        </w:rPr>
        <w:t>（一）项目资金申报及批复情况。</w:t>
      </w:r>
      <w:r>
        <w:rPr>
          <w:rFonts w:hint="eastAsia" w:ascii="仿宋_GB2312" w:hAnsi="宋体"/>
          <w:lang w:val="en-US" w:eastAsia="zh-CN"/>
        </w:rPr>
        <w:t>该项目由大龙潭彝族乡人民政府及时与攀枝花市仁和区民族宗教事务局及攀枝花市仁和区财政局及时对接进行项目资金申报，同时，也及时得到上级对该项目的通过批复。</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楷体_GB2312" w:hAnsi="宋体" w:eastAsia="楷体_GB2312"/>
          <w:b/>
          <w:lang w:val="zh-CN"/>
        </w:rPr>
        <w:t>（二）项目绩效目标。</w:t>
      </w:r>
      <w:r>
        <w:rPr>
          <w:rFonts w:hint="eastAsia" w:ascii="仿宋_GB2312" w:hAnsi="宋体"/>
          <w:lang w:val="en-US" w:eastAsia="zh-CN"/>
        </w:rPr>
        <w:t>该</w:t>
      </w:r>
      <w:r>
        <w:rPr>
          <w:rFonts w:hint="eastAsia" w:ascii="仿宋_GB2312" w:hAnsi="宋体"/>
          <w:lang w:val="zh-CN"/>
        </w:rPr>
        <w:t>项目主要</w:t>
      </w:r>
      <w:r>
        <w:rPr>
          <w:rFonts w:hint="eastAsia" w:ascii="仿宋_GB2312" w:hAnsi="宋体"/>
          <w:lang w:val="en-US" w:eastAsia="zh-CN"/>
        </w:rPr>
        <w:t>新建乡政府大院文化墙</w:t>
      </w:r>
      <w:r>
        <w:rPr>
          <w:rFonts w:hint="eastAsia" w:ascii="Times New Roman" w:hAnsi="Times New Roman" w:eastAsia="仿宋_GB2312" w:cs="Times New Roman"/>
          <w:snapToGrid w:val="0"/>
          <w:kern w:val="0"/>
          <w:sz w:val="32"/>
          <w:szCs w:val="32"/>
          <w:lang w:val="en-US" w:eastAsia="zh-CN"/>
        </w:rPr>
        <w:t>100</w:t>
      </w:r>
      <w:r>
        <w:rPr>
          <w:rFonts w:hint="eastAsia" w:ascii="仿宋_GB2312" w:hAnsi="宋体"/>
          <w:lang w:val="en-US" w:eastAsia="zh-CN"/>
        </w:rPr>
        <w:t>平方米，打造大龙潭乡和裕民村综合文化站楼道文化墙</w:t>
      </w:r>
      <w:r>
        <w:rPr>
          <w:rFonts w:hint="default" w:ascii="Times New Roman" w:hAnsi="Times New Roman" w:cs="Times New Roman"/>
          <w:lang w:val="en-US" w:eastAsia="zh-CN"/>
        </w:rPr>
        <w:t>150</w:t>
      </w:r>
      <w:r>
        <w:rPr>
          <w:rFonts w:hint="eastAsia" w:ascii="仿宋_GB2312" w:hAnsi="宋体"/>
          <w:lang w:val="en-US" w:eastAsia="zh-CN"/>
        </w:rPr>
        <w:t>平方米，打造民族团结进步文化街。新建“民族团结一家亲同心共筑中国梦”等固定标语</w:t>
      </w:r>
      <w:r>
        <w:rPr>
          <w:rFonts w:hint="eastAsia" w:ascii="Times New Roman" w:hAnsi="Times New Roman" w:eastAsia="仿宋_GB2312" w:cs="Times New Roman"/>
          <w:snapToGrid w:val="0"/>
          <w:kern w:val="0"/>
          <w:sz w:val="32"/>
          <w:szCs w:val="32"/>
          <w:lang w:val="en-US" w:eastAsia="zh-CN"/>
        </w:rPr>
        <w:t>3</w:t>
      </w:r>
      <w:r>
        <w:rPr>
          <w:rFonts w:hint="eastAsia" w:ascii="仿宋_GB2312" w:hAnsi="宋体"/>
          <w:lang w:val="en-US" w:eastAsia="zh-CN"/>
        </w:rPr>
        <w:t>副，制作民族团结进步文化宣传栏4个，制定彩页宣传画册</w:t>
      </w:r>
      <w:r>
        <w:rPr>
          <w:rFonts w:hint="eastAsia" w:ascii="Times New Roman" w:hAnsi="Times New Roman" w:eastAsia="仿宋_GB2312" w:cs="Times New Roman"/>
          <w:snapToGrid w:val="0"/>
          <w:kern w:val="0"/>
          <w:sz w:val="32"/>
          <w:szCs w:val="32"/>
          <w:lang w:val="en-US" w:eastAsia="zh-CN"/>
        </w:rPr>
        <w:t>3000</w:t>
      </w:r>
      <w:r>
        <w:rPr>
          <w:rFonts w:hint="eastAsia" w:ascii="仿宋_GB2312" w:hAnsi="宋体"/>
          <w:lang w:val="en-US" w:eastAsia="zh-CN"/>
        </w:rPr>
        <w:t>份，民族团结进步文化路太阳能路灯维修</w:t>
      </w:r>
      <w:r>
        <w:rPr>
          <w:rFonts w:hint="eastAsia" w:ascii="Times New Roman" w:hAnsi="Times New Roman" w:eastAsia="仿宋_GB2312" w:cs="Times New Roman"/>
          <w:snapToGrid w:val="0"/>
          <w:kern w:val="0"/>
          <w:sz w:val="32"/>
          <w:szCs w:val="32"/>
          <w:lang w:val="en-US" w:eastAsia="zh-CN"/>
        </w:rPr>
        <w:t>8</w:t>
      </w:r>
      <w:r>
        <w:rPr>
          <w:rFonts w:hint="eastAsia" w:ascii="仿宋_GB2312" w:hAnsi="宋体"/>
          <w:lang w:val="en-US" w:eastAsia="zh-CN"/>
        </w:rPr>
        <w:t>盏及分为打造</w:t>
      </w:r>
      <w:r>
        <w:rPr>
          <w:rFonts w:hint="eastAsia" w:ascii="Times New Roman" w:hAnsi="Times New Roman" w:eastAsia="仿宋_GB2312" w:cs="Times New Roman"/>
          <w:snapToGrid w:val="0"/>
          <w:kern w:val="0"/>
          <w:sz w:val="32"/>
          <w:szCs w:val="32"/>
          <w:lang w:val="en-US" w:eastAsia="zh-CN"/>
        </w:rPr>
        <w:t>21</w:t>
      </w:r>
      <w:r>
        <w:rPr>
          <w:rFonts w:hint="eastAsia" w:ascii="仿宋_GB2312" w:hAnsi="宋体"/>
          <w:lang w:val="en-US" w:eastAsia="zh-CN"/>
        </w:rPr>
        <w:t>盏。该项目计划于</w:t>
      </w:r>
      <w:r>
        <w:rPr>
          <w:rFonts w:hint="eastAsia" w:ascii="Times New Roman" w:hAnsi="Times New Roman" w:eastAsia="仿宋_GB2312" w:cs="Times New Roman"/>
          <w:snapToGrid w:val="0"/>
          <w:kern w:val="0"/>
          <w:sz w:val="32"/>
          <w:szCs w:val="32"/>
          <w:lang w:val="en-US" w:eastAsia="zh-CN"/>
        </w:rPr>
        <w:t>2022</w:t>
      </w:r>
      <w:r>
        <w:rPr>
          <w:rFonts w:hint="eastAsia" w:ascii="仿宋_GB2312" w:hAnsi="宋体"/>
          <w:lang w:val="en-US" w:eastAsia="zh-CN"/>
        </w:rPr>
        <w:t>年</w:t>
      </w:r>
      <w:r>
        <w:rPr>
          <w:rFonts w:hint="eastAsia" w:ascii="Times New Roman" w:hAnsi="Times New Roman" w:eastAsia="仿宋_GB2312" w:cs="Times New Roman"/>
          <w:snapToGrid w:val="0"/>
          <w:kern w:val="0"/>
          <w:sz w:val="32"/>
          <w:szCs w:val="32"/>
          <w:lang w:val="en-US" w:eastAsia="zh-CN"/>
        </w:rPr>
        <w:t>12</w:t>
      </w:r>
      <w:r>
        <w:rPr>
          <w:rFonts w:hint="eastAsia" w:ascii="仿宋_GB2312" w:hAnsi="宋体"/>
          <w:lang w:val="en-US" w:eastAsia="zh-CN"/>
        </w:rPr>
        <w:t>月至</w:t>
      </w:r>
      <w:r>
        <w:rPr>
          <w:rFonts w:hint="eastAsia" w:ascii="Times New Roman" w:hAnsi="Times New Roman" w:eastAsia="仿宋_GB2312" w:cs="Times New Roman"/>
          <w:snapToGrid w:val="0"/>
          <w:kern w:val="0"/>
          <w:sz w:val="32"/>
          <w:szCs w:val="32"/>
          <w:lang w:val="en-US" w:eastAsia="zh-CN"/>
        </w:rPr>
        <w:t>2023</w:t>
      </w:r>
      <w:r>
        <w:rPr>
          <w:rFonts w:hint="eastAsia" w:ascii="仿宋_GB2312" w:hAnsi="宋体"/>
          <w:lang w:val="en-US" w:eastAsia="zh-CN"/>
        </w:rPr>
        <w:t>年</w:t>
      </w:r>
      <w:r>
        <w:rPr>
          <w:rFonts w:hint="eastAsia" w:ascii="Times New Roman" w:hAnsi="Times New Roman" w:eastAsia="仿宋_GB2312" w:cs="Times New Roman"/>
          <w:snapToGrid w:val="0"/>
          <w:kern w:val="0"/>
          <w:sz w:val="32"/>
          <w:szCs w:val="32"/>
          <w:lang w:val="en-US" w:eastAsia="zh-CN"/>
        </w:rPr>
        <w:t>1</w:t>
      </w:r>
      <w:r>
        <w:rPr>
          <w:rFonts w:hint="eastAsia" w:ascii="仿宋_GB2312" w:hAnsi="宋体"/>
          <w:lang w:val="en-US" w:eastAsia="zh-CN"/>
        </w:rPr>
        <w:t>月为期</w:t>
      </w:r>
      <w:r>
        <w:rPr>
          <w:rFonts w:hint="eastAsia" w:ascii="Times New Roman" w:hAnsi="Times New Roman" w:eastAsia="仿宋_GB2312" w:cs="Times New Roman"/>
          <w:snapToGrid w:val="0"/>
          <w:kern w:val="0"/>
          <w:sz w:val="32"/>
          <w:szCs w:val="32"/>
          <w:lang w:val="en-US" w:eastAsia="zh-CN"/>
        </w:rPr>
        <w:t>30</w:t>
      </w:r>
      <w:r>
        <w:rPr>
          <w:rFonts w:hint="eastAsia" w:ascii="仿宋_GB2312" w:hAnsi="宋体"/>
          <w:lang w:val="en-US" w:eastAsia="zh-CN"/>
        </w:rPr>
        <w:t>天实施完成。</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楷体_GB2312" w:hAnsi="宋体" w:eastAsia="楷体_GB2312"/>
          <w:b/>
          <w:lang w:val="zh-CN"/>
        </w:rPr>
        <w:t>（三）项目资金申报相符性。</w:t>
      </w:r>
      <w:r>
        <w:rPr>
          <w:rFonts w:hint="eastAsia" w:ascii="仿宋_GB2312" w:hAnsi="宋体"/>
          <w:lang w:val="en-US" w:eastAsia="zh-CN"/>
        </w:rPr>
        <w:t>该</w:t>
      </w:r>
      <w:r>
        <w:rPr>
          <w:rFonts w:hint="eastAsia" w:ascii="仿宋_GB2312" w:hAnsi="宋体"/>
          <w:lang w:val="zh-CN"/>
        </w:rPr>
        <w:t>项目申报内容与具体实施内容相符、申报目标合理可行。</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黑体" w:hAnsi="宋体" w:eastAsia="黑体"/>
        </w:rPr>
      </w:pPr>
      <w:r>
        <w:rPr>
          <w:rFonts w:hint="eastAsia" w:ascii="黑体" w:hAnsi="宋体" w:eastAsia="黑体"/>
        </w:rPr>
        <w:t>二、项目实施及管理情况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楷体_GB2312" w:hAnsi="宋体" w:eastAsia="楷体_GB2312"/>
          <w:lang w:val="zh-CN"/>
        </w:rPr>
        <w:t>1．资金计划及到位。</w:t>
      </w:r>
      <w:r>
        <w:rPr>
          <w:rFonts w:hint="eastAsia" w:ascii="仿宋_GB2312" w:hAnsi="宋体"/>
          <w:lang w:val="zh-CN"/>
        </w:rPr>
        <w:t>该项目各类资金计划</w:t>
      </w:r>
      <w:r>
        <w:rPr>
          <w:rFonts w:hint="eastAsia" w:ascii="仿宋_GB2312" w:hAnsi="宋体"/>
          <w:lang w:val="en-US" w:eastAsia="zh-CN"/>
        </w:rPr>
        <w:t>于</w:t>
      </w:r>
      <w:r>
        <w:rPr>
          <w:rFonts w:hint="eastAsia" w:ascii="Times New Roman" w:hAnsi="Times New Roman" w:eastAsia="仿宋_GB2312" w:cs="Times New Roman"/>
          <w:snapToGrid w:val="0"/>
          <w:kern w:val="0"/>
          <w:sz w:val="32"/>
          <w:szCs w:val="32"/>
          <w:lang w:val="en-US" w:eastAsia="zh-CN"/>
        </w:rPr>
        <w:t>2023</w:t>
      </w:r>
      <w:r>
        <w:rPr>
          <w:rFonts w:hint="eastAsia" w:ascii="仿宋_GB2312" w:hAnsi="宋体"/>
          <w:lang w:val="en-US" w:eastAsia="zh-CN"/>
        </w:rPr>
        <w:t>年度已全部到位</w:t>
      </w:r>
      <w:r>
        <w:rPr>
          <w:rFonts w:hint="eastAsia" w:ascii="仿宋_GB2312" w:hAnsi="宋体"/>
          <w:lang w:val="zh-CN"/>
        </w:rPr>
        <w:t>，</w:t>
      </w:r>
      <w:r>
        <w:rPr>
          <w:rFonts w:hint="eastAsia" w:ascii="仿宋_GB2312" w:hAnsi="宋体"/>
          <w:lang w:val="en-US" w:eastAsia="zh-CN"/>
        </w:rPr>
        <w:t>其项目资金为攀枝花市级财政资金，合计</w:t>
      </w:r>
      <w:r>
        <w:rPr>
          <w:rFonts w:hint="eastAsia" w:ascii="Times New Roman" w:hAnsi="Times New Roman" w:eastAsia="仿宋_GB2312" w:cs="Times New Roman"/>
          <w:snapToGrid w:val="0"/>
          <w:kern w:val="0"/>
          <w:sz w:val="32"/>
          <w:szCs w:val="32"/>
          <w:lang w:val="en-US" w:eastAsia="zh-CN"/>
        </w:rPr>
        <w:t>14</w:t>
      </w:r>
      <w:r>
        <w:rPr>
          <w:rFonts w:hint="eastAsia" w:ascii="仿宋_GB2312" w:hAnsi="宋体"/>
          <w:lang w:val="en-US" w:eastAsia="zh-CN"/>
        </w:rPr>
        <w:t>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楷体_GB2312" w:hAnsi="宋体" w:eastAsia="楷体_GB2312"/>
          <w:lang w:val="zh-CN"/>
        </w:rPr>
        <w:t>2．资金使用。</w:t>
      </w:r>
      <w:r>
        <w:rPr>
          <w:rFonts w:hint="eastAsia" w:ascii="Times New Roman" w:hAnsi="Times New Roman" w:eastAsia="仿宋_GB2312" w:cs="Times New Roman"/>
          <w:snapToGrid w:val="0"/>
          <w:kern w:val="0"/>
          <w:sz w:val="32"/>
          <w:szCs w:val="32"/>
          <w:lang w:val="en-US" w:eastAsia="zh-CN"/>
        </w:rPr>
        <w:t>2023</w:t>
      </w:r>
      <w:r>
        <w:rPr>
          <w:rFonts w:hint="eastAsia" w:ascii="仿宋_GB2312" w:hAnsi="宋体"/>
          <w:lang w:val="en-US" w:eastAsia="zh-CN"/>
        </w:rPr>
        <w:t>年度期间对于该项目资金使用主要包括民族团结文化墙的打造及宣传册的定制，实际使用资金</w:t>
      </w:r>
      <w:r>
        <w:rPr>
          <w:rFonts w:hint="eastAsia" w:ascii="Times New Roman" w:hAnsi="Times New Roman" w:eastAsia="仿宋_GB2312" w:cs="Times New Roman"/>
          <w:snapToGrid w:val="0"/>
          <w:kern w:val="0"/>
          <w:sz w:val="32"/>
          <w:szCs w:val="32"/>
          <w:lang w:val="en-US" w:eastAsia="zh-CN"/>
        </w:rPr>
        <w:t>135798.61</w:t>
      </w:r>
      <w:r>
        <w:rPr>
          <w:rFonts w:hint="eastAsia" w:ascii="仿宋_GB2312" w:hAnsi="宋体"/>
          <w:lang w:val="en-US" w:eastAsia="zh-CN"/>
        </w:rPr>
        <w:t>元，其所有</w:t>
      </w:r>
      <w:r>
        <w:rPr>
          <w:rFonts w:hint="eastAsia" w:ascii="仿宋_GB2312" w:hAnsi="宋体"/>
          <w:lang w:val="zh-CN"/>
        </w:rPr>
        <w:t>支付依据合规合法，资金支付与预算相符。</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仿宋_GB2312" w:hAnsi="宋体"/>
          <w:lang w:val="en-US" w:eastAsia="zh-CN"/>
        </w:rPr>
        <w:t>该</w:t>
      </w:r>
      <w:r>
        <w:rPr>
          <w:rFonts w:hint="eastAsia" w:ascii="仿宋_GB2312" w:hAnsi="宋体"/>
          <w:lang w:val="zh-CN"/>
        </w:rPr>
        <w:t>项目</w:t>
      </w:r>
      <w:r>
        <w:rPr>
          <w:rFonts w:hint="eastAsia" w:ascii="仿宋_GB2312" w:hAnsi="宋体"/>
          <w:lang w:val="en-US" w:eastAsia="zh-CN"/>
        </w:rPr>
        <w:t>所有资金报账流程完全符合行政事业单位</w:t>
      </w:r>
      <w:r>
        <w:rPr>
          <w:rFonts w:hint="eastAsia" w:ascii="仿宋_GB2312" w:hAnsi="宋体"/>
          <w:lang w:val="zh-CN"/>
        </w:rPr>
        <w:t>财务管理制度，</w:t>
      </w:r>
      <w:r>
        <w:rPr>
          <w:rFonts w:hint="eastAsia" w:ascii="仿宋_GB2312" w:hAnsi="宋体"/>
          <w:lang w:val="en-US" w:eastAsia="zh-CN"/>
        </w:rPr>
        <w:t>适用于行政事业单位</w:t>
      </w:r>
      <w:r>
        <w:rPr>
          <w:rFonts w:hint="eastAsia" w:ascii="仿宋_GB2312" w:hAnsi="宋体"/>
          <w:lang w:val="zh-CN"/>
        </w:rPr>
        <w:t>会计核算及账务处理。对照项目资金管理办法，</w:t>
      </w:r>
      <w:r>
        <w:rPr>
          <w:rFonts w:hint="eastAsia" w:ascii="仿宋_GB2312" w:hAnsi="宋体"/>
          <w:lang w:val="en-US" w:eastAsia="zh-CN"/>
        </w:rPr>
        <w:t>该</w:t>
      </w:r>
      <w:r>
        <w:rPr>
          <w:rFonts w:hint="eastAsia" w:ascii="仿宋_GB2312" w:hAnsi="宋体"/>
          <w:lang w:val="zh-CN"/>
        </w:rPr>
        <w:t>严格执行财务管理制度、财务处理及时、会计核算规范。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仿宋_GB2312" w:hAnsi="宋体"/>
          <w:lang w:val="en-US" w:eastAsia="zh-CN"/>
        </w:rPr>
        <w:t>该项目由大龙潭彝族乡人民政府带头实施，主要包括施工方，监管方，以及财务报账处，严格把控文化墙施工流程与质量。</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楷体_GB2312" w:hAnsi="宋体" w:eastAsia="楷体_GB2312"/>
          <w:b/>
          <w:lang w:val="zh-CN"/>
        </w:rPr>
      </w:pPr>
      <w:r>
        <w:rPr>
          <w:rFonts w:hint="eastAsia" w:ascii="仿宋_GB2312" w:hAnsi="宋体"/>
          <w:lang w:val="en-US" w:eastAsia="zh-CN"/>
        </w:rPr>
        <w:t>该项目最终完成新建乡政府大院文化墙</w:t>
      </w:r>
      <w:r>
        <w:rPr>
          <w:rFonts w:hint="eastAsia" w:ascii="Times New Roman" w:hAnsi="Times New Roman" w:eastAsia="仿宋_GB2312" w:cs="Times New Roman"/>
          <w:snapToGrid w:val="0"/>
          <w:kern w:val="0"/>
          <w:sz w:val="32"/>
          <w:szCs w:val="32"/>
          <w:lang w:val="en-US" w:eastAsia="zh-CN"/>
        </w:rPr>
        <w:t>100</w:t>
      </w:r>
      <w:r>
        <w:rPr>
          <w:rFonts w:hint="eastAsia" w:ascii="仿宋_GB2312" w:hAnsi="宋体"/>
          <w:lang w:val="en-US" w:eastAsia="zh-CN"/>
        </w:rPr>
        <w:t>平方米，打造大龙潭乡和裕民村综合文化站楼道文化墙</w:t>
      </w:r>
      <w:r>
        <w:rPr>
          <w:rFonts w:hint="eastAsia" w:ascii="Times New Roman" w:hAnsi="Times New Roman" w:eastAsia="仿宋_GB2312" w:cs="Times New Roman"/>
          <w:snapToGrid w:val="0"/>
          <w:kern w:val="0"/>
          <w:sz w:val="32"/>
          <w:szCs w:val="32"/>
          <w:lang w:val="en-US" w:eastAsia="zh-CN"/>
        </w:rPr>
        <w:t>150</w:t>
      </w:r>
      <w:r>
        <w:rPr>
          <w:rFonts w:hint="eastAsia" w:ascii="仿宋_GB2312" w:hAnsi="宋体"/>
          <w:lang w:val="en-US" w:eastAsia="zh-CN"/>
        </w:rPr>
        <w:t>平方米，打造民族团结进步文化街。新建“民族团结一家亲同心共筑中国梦”等固定标语</w:t>
      </w:r>
      <w:r>
        <w:rPr>
          <w:rFonts w:hint="eastAsia" w:ascii="Times New Roman" w:hAnsi="Times New Roman" w:eastAsia="仿宋_GB2312" w:cs="Times New Roman"/>
          <w:snapToGrid w:val="0"/>
          <w:kern w:val="0"/>
          <w:sz w:val="32"/>
          <w:szCs w:val="32"/>
          <w:lang w:val="en-US" w:eastAsia="zh-CN"/>
        </w:rPr>
        <w:t>3</w:t>
      </w:r>
      <w:r>
        <w:rPr>
          <w:rFonts w:hint="eastAsia" w:ascii="仿宋_GB2312" w:hAnsi="宋体"/>
          <w:lang w:val="en-US" w:eastAsia="zh-CN"/>
        </w:rPr>
        <w:t>副，制作民族团结进步文化宣传栏</w:t>
      </w:r>
      <w:r>
        <w:rPr>
          <w:rFonts w:hint="eastAsia" w:ascii="Times New Roman" w:hAnsi="Times New Roman" w:eastAsia="仿宋_GB2312" w:cs="Times New Roman"/>
          <w:snapToGrid w:val="0"/>
          <w:kern w:val="0"/>
          <w:sz w:val="32"/>
          <w:szCs w:val="32"/>
          <w:lang w:val="en-US" w:eastAsia="zh-CN"/>
        </w:rPr>
        <w:t>4</w:t>
      </w:r>
      <w:r>
        <w:rPr>
          <w:rFonts w:hint="eastAsia" w:ascii="仿宋_GB2312" w:hAnsi="宋体"/>
          <w:lang w:val="en-US" w:eastAsia="zh-CN"/>
        </w:rPr>
        <w:t>个，制定彩页宣传画册</w:t>
      </w:r>
      <w:r>
        <w:rPr>
          <w:rFonts w:hint="eastAsia" w:ascii="Times New Roman" w:hAnsi="Times New Roman" w:eastAsia="仿宋_GB2312" w:cs="Times New Roman"/>
          <w:snapToGrid w:val="0"/>
          <w:kern w:val="0"/>
          <w:sz w:val="32"/>
          <w:szCs w:val="32"/>
          <w:lang w:val="en-US" w:eastAsia="zh-CN"/>
        </w:rPr>
        <w:t>3000</w:t>
      </w:r>
      <w:r>
        <w:rPr>
          <w:rFonts w:hint="eastAsia" w:ascii="仿宋_GB2312" w:hAnsi="宋体"/>
          <w:lang w:val="en-US" w:eastAsia="zh-CN"/>
        </w:rPr>
        <w:t>份，民族团结进步文化路太阳能路灯维修</w:t>
      </w:r>
      <w:r>
        <w:rPr>
          <w:rFonts w:hint="eastAsia" w:ascii="Times New Roman" w:hAnsi="Times New Roman" w:eastAsia="仿宋_GB2312" w:cs="Times New Roman"/>
          <w:snapToGrid w:val="0"/>
          <w:kern w:val="0"/>
          <w:sz w:val="32"/>
          <w:szCs w:val="32"/>
          <w:lang w:val="en-US" w:eastAsia="zh-CN"/>
        </w:rPr>
        <w:t>8</w:t>
      </w:r>
      <w:r>
        <w:rPr>
          <w:rFonts w:hint="eastAsia" w:ascii="仿宋_GB2312" w:hAnsi="宋体"/>
          <w:lang w:val="en-US" w:eastAsia="zh-CN"/>
        </w:rPr>
        <w:t>盏及分为打造</w:t>
      </w:r>
      <w:r>
        <w:rPr>
          <w:rFonts w:hint="eastAsia" w:ascii="Times New Roman" w:hAnsi="Times New Roman" w:eastAsia="仿宋_GB2312" w:cs="Times New Roman"/>
          <w:snapToGrid w:val="0"/>
          <w:kern w:val="0"/>
          <w:sz w:val="32"/>
          <w:szCs w:val="32"/>
          <w:lang w:val="en-US" w:eastAsia="zh-CN"/>
        </w:rPr>
        <w:t>21</w:t>
      </w:r>
      <w:r>
        <w:rPr>
          <w:rFonts w:hint="eastAsia" w:ascii="仿宋_GB2312" w:hAnsi="宋体"/>
          <w:lang w:val="en-US" w:eastAsia="zh-CN"/>
        </w:rPr>
        <w:t>盏。所有项目都在预定时间内完工，经过项目验收，该项目实施无工程质量问题。在项目实施过程中也严格把控成本，最终使用资金</w:t>
      </w:r>
      <w:r>
        <w:rPr>
          <w:rFonts w:hint="eastAsia" w:ascii="Times New Roman" w:hAnsi="Times New Roman" w:eastAsia="仿宋_GB2312" w:cs="Times New Roman"/>
          <w:snapToGrid w:val="0"/>
          <w:kern w:val="0"/>
          <w:sz w:val="32"/>
          <w:szCs w:val="32"/>
          <w:lang w:val="en-US" w:eastAsia="zh-CN"/>
        </w:rPr>
        <w:t>13.58</w:t>
      </w:r>
      <w:r>
        <w:rPr>
          <w:rFonts w:hint="eastAsia" w:ascii="仿宋_GB2312" w:hAnsi="宋体"/>
          <w:lang w:val="en-US" w:eastAsia="zh-CN"/>
        </w:rPr>
        <w:t>万元，结余资金</w:t>
      </w:r>
      <w:r>
        <w:rPr>
          <w:rFonts w:hint="eastAsia" w:ascii="Times New Roman" w:hAnsi="Times New Roman" w:eastAsia="仿宋_GB2312" w:cs="Times New Roman"/>
          <w:snapToGrid w:val="0"/>
          <w:kern w:val="0"/>
          <w:sz w:val="32"/>
          <w:szCs w:val="32"/>
          <w:lang w:val="en-US" w:eastAsia="zh-CN"/>
        </w:rPr>
        <w:t>0.42</w:t>
      </w:r>
      <w:r>
        <w:rPr>
          <w:rFonts w:hint="eastAsia" w:ascii="仿宋_GB2312" w:hAnsi="宋体"/>
          <w:lang w:val="en-US" w:eastAsia="zh-CN"/>
        </w:rPr>
        <w:t>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仿宋_GB2312" w:hAnsi="宋体"/>
          <w:lang w:val="en-US" w:eastAsia="zh-CN"/>
        </w:rPr>
      </w:pPr>
      <w:r>
        <w:rPr>
          <w:rFonts w:hint="eastAsia" w:ascii="楷体_GB2312" w:hAnsi="宋体" w:eastAsia="楷体_GB2312"/>
          <w:b/>
          <w:lang w:val="zh-CN"/>
        </w:rPr>
        <w:t>（二）项目效益情况。</w:t>
      </w:r>
      <w:r>
        <w:rPr>
          <w:rFonts w:hint="eastAsia" w:ascii="仿宋_GB2312" w:hAnsi="宋体"/>
          <w:lang w:val="en-US" w:eastAsia="zh-CN"/>
        </w:rPr>
        <w:t>该项目从社会效益指标出发，充分展示了充分展示大龙潭乡民族团结进步示范成果</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en-US" w:eastAsia="zh-CN"/>
        </w:rPr>
      </w:pPr>
      <w:r>
        <w:rPr>
          <w:rFonts w:hint="eastAsia" w:ascii="楷体_GB2312" w:hAnsi="宋体" w:eastAsia="楷体_GB2312"/>
          <w:b/>
          <w:lang w:val="zh-CN"/>
        </w:rPr>
        <w:t>（一）存在的问题。</w:t>
      </w:r>
      <w:r>
        <w:rPr>
          <w:rFonts w:hint="eastAsia" w:ascii="仿宋_GB2312" w:hAnsi="宋体"/>
          <w:lang w:val="en-US" w:eastAsia="zh-CN"/>
        </w:rPr>
        <w:t>无。</w:t>
      </w:r>
    </w:p>
    <w:p>
      <w:pPr>
        <w:adjustRightInd w:val="0"/>
        <w:snapToGrid w:val="0"/>
        <w:spacing w:line="560" w:lineRule="exact"/>
        <w:ind w:firstLine="720"/>
        <w:rPr>
          <w:rFonts w:hint="eastAsia" w:ascii="仿宋_GB2312" w:hAnsi="宋体"/>
          <w:lang w:val="zh-CN" w:eastAsia="zh-CN"/>
        </w:rPr>
      </w:pPr>
      <w:r>
        <w:rPr>
          <w:rFonts w:hint="eastAsia" w:ascii="楷体_GB2312" w:hAnsi="宋体" w:eastAsia="楷体_GB2312"/>
          <w:b/>
          <w:lang w:val="zh-CN"/>
        </w:rPr>
        <w:t>（二）相关建议。</w:t>
      </w:r>
      <w:r>
        <w:rPr>
          <w:rFonts w:hint="eastAsia" w:ascii="仿宋_GB2312" w:hAnsi="宋体"/>
          <w:lang w:val="en-US" w:eastAsia="zh-CN"/>
        </w:rPr>
        <w:t>无</w:t>
      </w:r>
      <w:r>
        <w:rPr>
          <w:rFonts w:hint="eastAsia" w:ascii="仿宋_GB2312" w:hAnsi="宋体"/>
          <w:lang w:val="zh-CN" w:eastAsia="zh-CN"/>
        </w:rPr>
        <w:t>。</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pStyle w:val="3"/>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p>
      <w:pPr>
        <w:adjustRightInd w:val="0"/>
        <w:snapToGrid w:val="0"/>
        <w:spacing w:line="560" w:lineRule="exact"/>
        <w:ind w:firstLine="720"/>
      </w:pPr>
    </w:p>
    <w:p>
      <w:pPr>
        <w:adjustRightInd w:val="0"/>
        <w:snapToGrid w:val="0"/>
        <w:spacing w:line="560" w:lineRule="exact"/>
        <w:ind w:firstLine="720"/>
        <w:rPr>
          <w:rFonts w:hint="eastAsia" w:ascii="仿宋_GB2312" w:hAnsi="宋体"/>
          <w:lang w:val="zh-CN"/>
        </w:rPr>
      </w:pPr>
      <w:r>
        <w:rPr>
          <w:rFonts w:hint="eastAsia" w:ascii="仿宋_GB2312" w:hAnsi="宋体"/>
          <w:lang w:val="zh-CN"/>
        </w:rPr>
        <w:drawing>
          <wp:anchor distT="0" distB="0" distL="114300" distR="114300" simplePos="0" relativeHeight="251663360" behindDoc="0" locked="0" layoutInCell="1" allowOverlap="1">
            <wp:simplePos x="0" y="0"/>
            <wp:positionH relativeFrom="column">
              <wp:posOffset>2540</wp:posOffset>
            </wp:positionH>
            <wp:positionV relativeFrom="paragraph">
              <wp:posOffset>1967865</wp:posOffset>
            </wp:positionV>
            <wp:extent cx="5629910" cy="87630"/>
            <wp:effectExtent l="0" t="0" r="8890" b="7620"/>
            <wp:wrapNone/>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6"/>
                    <a:stretch>
                      <a:fillRect/>
                    </a:stretch>
                  </pic:blipFill>
                  <pic:spPr>
                    <a:xfrm>
                      <a:off x="0" y="0"/>
                      <a:ext cx="5629910" cy="87630"/>
                    </a:xfrm>
                    <a:prstGeom prst="rect">
                      <a:avLst/>
                    </a:prstGeom>
                  </pic:spPr>
                </pic:pic>
              </a:graphicData>
            </a:graphic>
          </wp:anchor>
        </w:drawing>
      </w: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1270</wp:posOffset>
            </wp:positionH>
            <wp:positionV relativeFrom="paragraph">
              <wp:posOffset>4987290</wp:posOffset>
            </wp:positionV>
            <wp:extent cx="5608955" cy="76200"/>
            <wp:effectExtent l="0" t="0" r="10795" b="0"/>
            <wp:wrapNone/>
            <wp:docPr id="15" name="图片 1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1"/>
                    <pic:cNvPicPr>
                      <a:picLocks noChangeAspect="1"/>
                    </pic:cNvPicPr>
                  </pic:nvPicPr>
                  <pic:blipFill>
                    <a:blip r:embed="rId6"/>
                    <a:stretch>
                      <a:fillRect/>
                    </a:stretch>
                  </pic:blipFill>
                  <pic:spPr>
                    <a:xfrm>
                      <a:off x="0" y="0"/>
                      <a:ext cx="5608955" cy="76200"/>
                    </a:xfrm>
                    <a:prstGeom prst="rect">
                      <a:avLst/>
                    </a:prstGeom>
                  </pic:spPr>
                </pic:pic>
              </a:graphicData>
            </a:graphic>
          </wp:anchor>
        </w:drawing>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A44E2F-ACE9-4188-B53F-BE421DE220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086AF86D-4917-41BD-96CE-E6C7E840433D}"/>
  </w:font>
  <w:font w:name="仿宋_GB2312">
    <w:panose1 w:val="02010609030101010101"/>
    <w:charset w:val="86"/>
    <w:family w:val="modern"/>
    <w:pitch w:val="default"/>
    <w:sig w:usb0="00000001" w:usb1="080E0000" w:usb2="00000000" w:usb3="00000000" w:csb0="00040000" w:csb1="00000000"/>
    <w:embedRegular r:id="rId3" w:fontKey="{A4B1D79A-AAC6-4A8E-BBA5-8F587504B0BF}"/>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5E284D46-D715-4791-99A4-7EC7B26EF358}"/>
  </w:font>
  <w:font w:name="楷体_GB2312">
    <w:panose1 w:val="02010609030101010101"/>
    <w:charset w:val="86"/>
    <w:family w:val="modern"/>
    <w:pitch w:val="default"/>
    <w:sig w:usb0="00000001" w:usb1="080E0000" w:usb2="00000000" w:usb3="00000000" w:csb0="00040000" w:csb1="00000000"/>
    <w:embedRegular r:id="rId5" w:fontKey="{4B8AA45D-A101-4AEF-A720-38B06D123C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02101D6"/>
    <w:rsid w:val="10A6033F"/>
    <w:rsid w:val="1BAE5697"/>
    <w:rsid w:val="25565941"/>
    <w:rsid w:val="291C455A"/>
    <w:rsid w:val="36926D0C"/>
    <w:rsid w:val="3E7F0513"/>
    <w:rsid w:val="44372678"/>
    <w:rsid w:val="484B6409"/>
    <w:rsid w:val="4DAF2BCF"/>
    <w:rsid w:val="4DDB6F66"/>
    <w:rsid w:val="5E824AD5"/>
    <w:rsid w:val="611B64E7"/>
    <w:rsid w:val="648A0D6A"/>
    <w:rsid w:val="67302E47"/>
    <w:rsid w:val="6A07754C"/>
    <w:rsid w:val="6E2C52F8"/>
    <w:rsid w:val="792F2AEE"/>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sz w:val="32"/>
    </w:rPr>
  </w:style>
  <w:style w:type="paragraph" w:styleId="3">
    <w:name w:val="Plain Text"/>
    <w:basedOn w:val="1"/>
    <w:qFormat/>
    <w:uiPriority w:val="99"/>
    <w:rPr>
      <w:rFonts w:ascii="宋体" w:hAnsi="Courier New" w:eastAsia="仿宋"/>
      <w:kern w:val="0"/>
      <w:sz w:val="32"/>
      <w:szCs w:val="21"/>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1071</Words>
  <Characters>1131</Characters>
  <Lines>6</Lines>
  <Paragraphs>1</Paragraphs>
  <TotalTime>1</TotalTime>
  <ScaleCrop>false</ScaleCrop>
  <LinksUpToDate>false</LinksUpToDate>
  <CharactersWithSpaces>1145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2024-05-29T03:15:22Z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4C311D4EF6FD400798E0F14CA709B8A6</vt:lpwstr>
  </property>
</Properties>
</file>