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大龙潭彝族乡工作经费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介绍项目基本情况，重点说明以下内容：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项目资金申报及批复全部符合资金管理办法等相关规定。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主要用于满足攀西零碳示范村项目的各项经费支出，保障该项目在2023年度顺利开展。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1．资金计划及到位。大龙潭彝族乡工作经费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属于县（区）级财政资金，在2023年度当中，该项目资金已经全部到位，且已全部投入到攀西零碳示范村建设项目当中。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2．资金使用。说明截至评价时点项目资金的实际支出情况，资金开支范围、标准及支付进度等，支付依据是否合规合法，资金支付是否与预算相符，并对相关问题进行说明。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使用严格按照财务管理制度执行，严格按照项目计划实施，充分保障财政资金使用，并及时对项目经费使用情况做财务处理，及时</w:t>
      </w:r>
      <w:r>
        <w:rPr>
          <w:rFonts w:hint="eastAsia" w:cs="Times New Roman"/>
          <w:sz w:val="32"/>
          <w:szCs w:val="32"/>
          <w:lang w:val="en-US" w:eastAsia="zh-CN"/>
        </w:rPr>
        <w:t>进行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会计核算。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主要用于攀西零碳示范村项目建设相关的工作经费，辅佐该项目实施，严格实施财务监管制度。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使用过程中，充分保障了攀西零碳示范村的建设，使该项目完美完成，在实施过程中严格把控资金使用情况，最终项目资金结余1875.16元。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大龙潭彝族乡工作经费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项目充分保障了攀西零碳示范村项目的建设质量，充分提高了示范村的示范效果，保障了省、市领导干部的调研工作。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48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cs="Times New Roman"/>
          <w:lang w:val="zh-CN" w:eastAsia="zh-CN"/>
        </w:rPr>
      </w:pPr>
      <w:r>
        <w:rPr>
          <w:rFonts w:hint="eastAsia" w:ascii="Times New Roman" w:hAnsi="Times New Roman" w:cs="Times New Roman"/>
          <w:lang w:val="zh-CN" w:eastAsia="zh-CN"/>
        </w:rPr>
        <w:t>无。</w:t>
      </w:r>
    </w:p>
    <w:p>
      <w:pPr>
        <w:pStyle w:val="2"/>
        <w:numPr>
          <w:ilvl w:val="0"/>
          <w:numId w:val="0"/>
        </w:numPr>
        <w:ind w:left="720" w:left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cs="Times New Roman"/>
          <w:lang w:val="zh-CN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5152390</wp:posOffset>
            </wp:positionV>
            <wp:extent cx="5577205" cy="86360"/>
            <wp:effectExtent l="0" t="0" r="4445" b="889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205" cy="8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EB59FC-CBA8-4EDD-B178-1BEB1BDB09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9E210B8A-8244-4EFF-94C7-8DA2792B2B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BCC1B2D-C763-4CCE-8F96-8072F1B779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18F8BEA-9A11-4BBF-BEBC-ECD6FA0ED98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8E69FBC-9B51-4417-8176-21497CC456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BAE5697"/>
    <w:rsid w:val="1D2359CC"/>
    <w:rsid w:val="25565941"/>
    <w:rsid w:val="291C455A"/>
    <w:rsid w:val="31C61758"/>
    <w:rsid w:val="32943604"/>
    <w:rsid w:val="36926D0C"/>
    <w:rsid w:val="3C106F30"/>
    <w:rsid w:val="3E7F0513"/>
    <w:rsid w:val="44372678"/>
    <w:rsid w:val="486C5001"/>
    <w:rsid w:val="4AAE41CE"/>
    <w:rsid w:val="4DAF2BCF"/>
    <w:rsid w:val="4DDB6F66"/>
    <w:rsid w:val="51826FC0"/>
    <w:rsid w:val="5E824AD5"/>
    <w:rsid w:val="611B64E7"/>
    <w:rsid w:val="648A0D6A"/>
    <w:rsid w:val="67302E47"/>
    <w:rsid w:val="6A07754C"/>
    <w:rsid w:val="6CFE0101"/>
    <w:rsid w:val="6E2C52F8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816</Words>
  <Characters>839</Characters>
  <Lines>6</Lines>
  <Paragraphs>1</Paragraphs>
  <TotalTime>2</TotalTime>
  <ScaleCrop>false</ScaleCrop>
  <LinksUpToDate>false</LinksUpToDate>
  <CharactersWithSpaces>853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D03D2DD8417647AD82C80DCEA6148DF1</vt:lpwstr>
  </property>
</Properties>
</file>