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1312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pStyle w:val="7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大龙潭乡人大代表活动资金</w:t>
      </w:r>
    </w:p>
    <w:p>
      <w:pPr>
        <w:pStyle w:val="7"/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zh-CN" w:eastAsia="zh-CN"/>
        </w:rPr>
        <w:t>大龙潭乡人大代表活动经费</w:t>
      </w:r>
      <w:r>
        <w:rPr>
          <w:rFonts w:hint="eastAsia" w:ascii="仿宋_GB2312" w:hAnsi="宋体"/>
          <w:lang w:val="en-US" w:eastAsia="zh-CN"/>
        </w:rPr>
        <w:t>申报及批复都及时完成，所有流程都符合资金管理办法等相关规定。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zh-CN" w:eastAsia="zh-CN"/>
        </w:rPr>
        <w:t>大龙潭乡人大代表活动经费</w:t>
      </w:r>
      <w:r>
        <w:rPr>
          <w:rFonts w:hint="eastAsia" w:ascii="仿宋_GB2312" w:hAnsi="宋体"/>
          <w:lang w:val="en-US" w:eastAsia="zh-CN"/>
        </w:rPr>
        <w:t>主要用于保障</w:t>
      </w:r>
      <w:r>
        <w:rPr>
          <w:rFonts w:hint="eastAsia" w:ascii="仿宋_GB2312" w:hAnsi="宋体"/>
          <w:lang w:val="zh-CN" w:eastAsia="zh-CN"/>
        </w:rPr>
        <w:t>乡人大代表活动</w:t>
      </w:r>
      <w:r>
        <w:rPr>
          <w:rFonts w:hint="eastAsia" w:ascii="仿宋_GB2312" w:hAnsi="宋体"/>
          <w:lang w:val="en-US" w:eastAsia="zh-CN"/>
        </w:rPr>
        <w:t>正常开展，保障乡</w:t>
      </w:r>
      <w:bookmarkStart w:id="0" w:name="_GoBack"/>
      <w:bookmarkEnd w:id="0"/>
      <w:r>
        <w:rPr>
          <w:rFonts w:hint="eastAsia" w:ascii="仿宋_GB2312" w:hAnsi="宋体"/>
          <w:lang w:val="en-US" w:eastAsia="zh-CN"/>
        </w:rPr>
        <w:t>人民代表大会顺利召开。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 w:eastAsia="zh-CN"/>
        </w:rPr>
        <w:t>大龙潭乡人大代表活动经费</w:t>
      </w:r>
      <w:r>
        <w:rPr>
          <w:rFonts w:hint="eastAsia" w:ascii="仿宋_GB2312" w:hAnsi="宋体"/>
          <w:lang w:val="zh-CN"/>
        </w:rPr>
        <w:t>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 w:eastAsia="zh-CN"/>
        </w:rPr>
        <w:t>大龙潭乡人大代表活动经费</w:t>
      </w:r>
      <w:r>
        <w:rPr>
          <w:rFonts w:hint="eastAsia" w:ascii="仿宋_GB2312" w:hAnsi="宋体"/>
          <w:lang w:val="en-US" w:eastAsia="zh-CN"/>
        </w:rPr>
        <w:t>在2023年实际到位上级资金0.75元，资金到位率100%，及时满足资金使用计划。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2.</w:t>
      </w:r>
      <w:r>
        <w:rPr>
          <w:rFonts w:hint="eastAsia" w:ascii="楷体_GB2312" w:hAnsi="宋体" w:eastAsia="楷体_GB2312"/>
          <w:lang w:val="zh-CN"/>
        </w:rPr>
        <w:t>资金使用。</w:t>
      </w:r>
      <w:r>
        <w:rPr>
          <w:rFonts w:hint="eastAsia" w:ascii="仿宋_GB2312" w:hAnsi="宋体"/>
          <w:lang w:val="en-US" w:eastAsia="zh-CN"/>
        </w:rPr>
        <w:t>截至2023年年底，</w:t>
      </w:r>
      <w:r>
        <w:rPr>
          <w:rFonts w:hint="eastAsia" w:ascii="仿宋_GB2312" w:hAnsi="宋体"/>
          <w:lang w:val="zh-CN" w:eastAsia="zh-CN"/>
        </w:rPr>
        <w:t>大龙潭乡人大代表活动经费</w:t>
      </w:r>
      <w:r>
        <w:rPr>
          <w:rFonts w:hint="eastAsia" w:ascii="仿宋_GB2312" w:hAnsi="宋体"/>
          <w:lang w:val="en-US" w:eastAsia="zh-CN"/>
        </w:rPr>
        <w:t>实际支出0.49元，用于保障乡人民代表大会顺利召开，资金支付与预算相符。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对照项目资金管理办法，项目严格执行财务管理制度、财务处理及时、会计核算规范。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充分保障</w:t>
      </w:r>
      <w:r>
        <w:rPr>
          <w:rFonts w:hint="eastAsia" w:ascii="仿宋_GB2312" w:hAnsi="宋体"/>
          <w:lang w:val="zh-CN" w:eastAsia="zh-CN"/>
        </w:rPr>
        <w:t>乡人大代表活动</w:t>
      </w:r>
      <w:r>
        <w:rPr>
          <w:rFonts w:hint="eastAsia" w:ascii="仿宋_GB2312" w:hAnsi="宋体"/>
          <w:lang w:val="en-US" w:eastAsia="zh-CN"/>
        </w:rPr>
        <w:t>正常开展，保障乡人民代表大会顺利召开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大龙潭乡人大代表活动经费项目是为了充分保障</w:t>
      </w:r>
      <w:r>
        <w:rPr>
          <w:rFonts w:hint="eastAsia" w:ascii="仿宋_GB2312" w:hAnsi="宋体"/>
          <w:lang w:val="zh-CN" w:eastAsia="zh-CN"/>
        </w:rPr>
        <w:t>乡人大代表活动</w:t>
      </w:r>
      <w:r>
        <w:rPr>
          <w:rFonts w:hint="eastAsia" w:ascii="仿宋_GB2312" w:hAnsi="宋体"/>
          <w:lang w:val="en-US" w:eastAsia="zh-CN"/>
        </w:rPr>
        <w:t>正常开展，保障乡人民代表大会顺利召开，吸取群众意见，保障正常工作开展。实际支出0.49万元，依据乡人民代表大会召开计划逐步完成项目，在此项目当中并无违规记录等不良情况，充分实现了项目的成本控制，严格按照资金文件实施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hint="eastAsia" w:ascii="仿宋_GB2312" w:hAnsi="宋体"/>
          <w:lang w:val="en-US" w:eastAsia="zh-CN"/>
        </w:rPr>
        <w:t>充分保障了乡人民代表大会顺利召开，吸取群众意见，为单位工作开展提供有力支持，服务对象满意度为95%。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  <w:r>
        <w:rPr>
          <w:rFonts w:hint="eastAsia" w:ascii="仿宋_GB2312" w:hAnsi="宋体"/>
          <w:lang w:val="en-US" w:eastAsia="zh-CN"/>
        </w:rPr>
        <w:t>2023年经费未及时支付。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  <w:r>
        <w:rPr>
          <w:rFonts w:hint="eastAsia" w:ascii="仿宋_GB2312" w:hAnsi="宋体" w:eastAsia="楷体_GB2312"/>
          <w:lang w:val="en-US" w:eastAsia="zh-CN"/>
        </w:rPr>
        <w:t>无</w:t>
      </w:r>
      <w:r>
        <w:rPr>
          <w:rFonts w:hint="eastAsia" w:ascii="仿宋_GB2312" w:hAnsi="宋体"/>
          <w:lang w:val="zh-CN"/>
        </w:rPr>
        <w:t>意见。</w:t>
      </w:r>
    </w:p>
    <w:p>
      <w:pPr>
        <w:pStyle w:val="2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jc w:val="center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攀枝花市仁和区大龙潭彝族乡人民政府</w:t>
      </w:r>
    </w:p>
    <w:p>
      <w:pPr>
        <w:adjustRightInd w:val="0"/>
        <w:snapToGrid w:val="0"/>
        <w:spacing w:line="560" w:lineRule="exact"/>
        <w:ind w:firstLine="720"/>
        <w:jc w:val="center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2024年5月20日</w:t>
      </w:r>
    </w:p>
    <w:p>
      <w:pPr>
        <w:pStyle w:val="2"/>
        <w:rPr>
          <w:rFonts w:hint="eastAsia" w:ascii="仿宋_GB2312" w:hAnsi="宋体"/>
          <w:lang w:val="zh-CN"/>
        </w:rPr>
      </w:pPr>
    </w:p>
    <w:p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55245</wp:posOffset>
                </wp:positionH>
                <wp:positionV relativeFrom="line">
                  <wp:posOffset>6664325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4.35pt;margin-top:524.75pt;height:6pt;width:433.2pt;mso-position-horizontal-relative:char;mso-position-vertical-relative:line;z-index:251663360;mso-width-relative:page;mso-height-relative:page;" coordorigin="1509,2411" coordsize="9075,88" o:gfxdata="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U6/y9&#10;2AAAAAsBAAAPAAAAAAAAAAEAIAAAACIAAABkcnMvZG93bnJldi54bWxQSwECFAAUAAAACACHTuJA&#10;pSsU9pMCAAAsBwAADgAAAAAAAAABACAAAAAnAQAAZHJzL2Uyb0RvYy54bWxQSwUGAAAAAAYABgBZ&#10;AQAALA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9509125</wp:posOffset>
                </wp:positionV>
                <wp:extent cx="5486400" cy="60960"/>
                <wp:effectExtent l="0" t="4445" r="0" b="2984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86400" cy="60960"/>
                          <a:chOff x="1620" y="2532"/>
                          <a:chExt cx="8640" cy="156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1620" y="2532"/>
                            <a:ext cx="8640" cy="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620" y="2688"/>
                            <a:ext cx="86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3pt;margin-top:748.75pt;height:4.8pt;width:432pt;rotation:11796480f;z-index:251662336;mso-width-relative:page;mso-height-relative:page;" coordorigin="1620,2532" coordsize="8640,156" o:gfxdata="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bS5NcdkAAAAOAQAADwAAAAAAAAABACAAAAAiAAAAZHJzL2Rvd25yZXYueG1sUEsBAhQAFAAAAAgA&#10;h07iQGrFzNKWAgAALgcAAA4AAAAAAAAAAQAgAAAAKAEAAGRycy9lMm9Eb2MueG1sUEsFBgAAAAAG&#10;AAYAWQEAADAGAAAAAA==&#10;">
                <o:lock v:ext="edit" aspectratio="f"/>
                <v:line id="_x0000_s1026" o:spid="_x0000_s1026" o:spt="20" style="position:absolute;left:1620;top:2532;height:0;width:8640;" filled="f" stroked="t" coordsize="21600,21600" o:gfxdata="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QPPq/&#10;AAAA2gAAAA8AAAAAAAAAAQAgAAAAIgAAAGRycy9kb3ducmV2LnhtbFBLAQIUABQAAAAIAIdO4kAz&#10;LwWeOwAAADkAAAAQAAAAAAAAAAEAIAAAAA4BAABkcnMvc2hhcGV4bWwueG1sUEsFBgAAAAAGAAYA&#10;WwEAALgDAAAAAA==&#10;">
                  <v:fill on="f" focussize="0,0"/>
                  <v:stroke weight="3pt" color="#FF0000" joinstyle="round"/>
                  <v:imagedata o:title=""/>
                  <o:lock v:ext="edit" aspectratio="f"/>
                </v:line>
                <v:line id="_x0000_s1026" o:spid="_x0000_s1026" o:spt="20" style="position:absolute;left:1620;top:2688;height:0;width:8640;" filled="f" stroked="t" coordsize="21600,21600" o:gfxdata="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2kvC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CDE7ABF"/>
    <w:rsid w:val="0EDB478C"/>
    <w:rsid w:val="0EF9436E"/>
    <w:rsid w:val="11B75063"/>
    <w:rsid w:val="291C455A"/>
    <w:rsid w:val="36926D0C"/>
    <w:rsid w:val="4DAF2BCF"/>
    <w:rsid w:val="4DDB6F66"/>
    <w:rsid w:val="54BF0A50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766</Words>
  <Characters>801</Characters>
  <Lines>6</Lines>
  <Paragraphs>1</Paragraphs>
  <TotalTime>2</TotalTime>
  <ScaleCrop>false</ScaleCrop>
  <LinksUpToDate>false</LinksUpToDate>
  <CharactersWithSpaces>803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2024-05-29T02:56:19Z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