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w:t>
      </w:r>
    </w:p>
    <w:p>
      <w:pPr>
        <w:pStyle w:val="8"/>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8"/>
        <w:spacing w:line="560" w:lineRule="exact"/>
        <w:jc w:val="center"/>
        <w:rPr>
          <w:rFonts w:ascii="仿宋_GB2312" w:hAnsi="宋体" w:eastAsia="仿宋_GB2312"/>
          <w:b/>
          <w:bCs/>
          <w:color w:val="auto"/>
          <w:kern w:val="2"/>
          <w:sz w:val="32"/>
          <w:szCs w:val="32"/>
        </w:rPr>
      </w:pPr>
      <w:r>
        <w:rPr>
          <w:rFonts w:hint="eastAsia" w:ascii="仿宋_GB2312" w:hAnsi="宋体" w:eastAsia="仿宋_GB2312"/>
          <w:b/>
          <w:bCs/>
          <w:color w:val="auto"/>
          <w:kern w:val="2"/>
          <w:sz w:val="32"/>
          <w:szCs w:val="32"/>
        </w:rPr>
        <w:t>（</w:t>
      </w:r>
      <w:r>
        <w:rPr>
          <w:rFonts w:hint="eastAsia" w:ascii="仿宋_GB2312" w:hAnsi="宋体" w:eastAsia="仿宋_GB2312"/>
          <w:b/>
          <w:bCs/>
          <w:color w:val="auto"/>
          <w:kern w:val="2"/>
          <w:sz w:val="32"/>
          <w:szCs w:val="32"/>
          <w:lang w:val="en-US" w:eastAsia="zh-CN"/>
        </w:rPr>
        <w:t>艾滋病综合防治项目</w:t>
      </w:r>
      <w:r>
        <w:rPr>
          <w:rFonts w:hint="eastAsia" w:ascii="仿宋_GB2312" w:hAnsi="宋体" w:eastAsia="仿宋_GB2312"/>
          <w:b/>
          <w:bCs/>
          <w:color w:val="auto"/>
          <w:kern w:val="2"/>
          <w:sz w:val="32"/>
          <w:szCs w:val="32"/>
        </w:rPr>
        <w:t>）</w:t>
      </w:r>
    </w:p>
    <w:p>
      <w:pPr>
        <w:pStyle w:val="8"/>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1"/>
        </w:numPr>
        <w:autoSpaceDE w:val="0"/>
        <w:autoSpaceDN w:val="0"/>
        <w:adjustRightInd w:val="0"/>
        <w:spacing w:line="360" w:lineRule="auto"/>
        <w:ind w:firstLine="643" w:firstLineChars="200"/>
        <w:jc w:val="left"/>
        <w:rPr>
          <w:rFonts w:hint="eastAsia" w:ascii="楷体_GB2312" w:hAnsi="宋体" w:eastAsia="楷体_GB2312"/>
          <w:b/>
          <w:lang w:val="zh-CN"/>
        </w:rPr>
      </w:pPr>
      <w:r>
        <w:rPr>
          <w:rFonts w:hint="eastAsia" w:ascii="楷体_GB2312" w:hAnsi="宋体" w:eastAsia="楷体_GB2312"/>
          <w:b/>
          <w:lang w:val="zh-CN"/>
        </w:rPr>
        <w:t>项目资金申报及批复情况。</w:t>
      </w:r>
    </w:p>
    <w:p>
      <w:pPr>
        <w:autoSpaceDE w:val="0"/>
        <w:autoSpaceDN w:val="0"/>
        <w:adjustRightInd w:val="0"/>
        <w:spacing w:line="360" w:lineRule="auto"/>
        <w:ind w:firstLine="640" w:firstLineChars="200"/>
        <w:jc w:val="left"/>
        <w:rPr>
          <w:rFonts w:hint="eastAsia" w:ascii="仿宋" w:hAnsi="仿宋" w:eastAsia="仿宋"/>
          <w:kern w:val="0"/>
          <w:sz w:val="32"/>
          <w:szCs w:val="32"/>
          <w:lang w:eastAsia="zh-CN"/>
        </w:rPr>
      </w:pPr>
      <w:r>
        <w:rPr>
          <w:rFonts w:hint="eastAsia" w:ascii="仿宋" w:hAnsi="仿宋" w:eastAsia="仿宋"/>
          <w:kern w:val="0"/>
          <w:sz w:val="32"/>
          <w:szCs w:val="32"/>
        </w:rPr>
        <w:t>艾滋病</w:t>
      </w:r>
      <w:r>
        <w:rPr>
          <w:rFonts w:ascii="仿宋" w:hAnsi="仿宋" w:eastAsia="仿宋"/>
          <w:kern w:val="0"/>
          <w:sz w:val="32"/>
          <w:szCs w:val="32"/>
        </w:rPr>
        <w:t>综合防治项目是按照攀枝花市重大传染病防治办公室依据</w:t>
      </w:r>
      <w:r>
        <w:rPr>
          <w:rFonts w:ascii="仿宋" w:hAnsi="仿宋" w:eastAsia="仿宋"/>
          <w:sz w:val="32"/>
          <w:szCs w:val="32"/>
        </w:rPr>
        <w:t>《攀枝花市人民政府关于全面加强艾滋病防治工作的实施意见》《攀枝花市遏制艾滋病传播重点工作任务台账（2020—2022 年）》要求印发攀枝花市艾滋病防治工作重点任务，要求各县（区）财政总投入继续按照户籍人口人均不低于 1 元且不低于上一年度投入的标准保障艾滋病防治经费</w:t>
      </w:r>
      <w:r>
        <w:rPr>
          <w:rFonts w:hint="eastAsia" w:ascii="仿宋" w:hAnsi="仿宋" w:eastAsia="仿宋"/>
          <w:sz w:val="32"/>
          <w:szCs w:val="32"/>
        </w:rPr>
        <w:t>。</w:t>
      </w: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年申报</w:t>
      </w:r>
      <w:r>
        <w:rPr>
          <w:rFonts w:hint="eastAsia" w:ascii="仿宋" w:hAnsi="仿宋" w:eastAsia="仿宋"/>
          <w:kern w:val="0"/>
          <w:sz w:val="32"/>
          <w:szCs w:val="32"/>
          <w:lang w:val="en-US" w:eastAsia="zh-CN"/>
        </w:rPr>
        <w:t>并获批复</w:t>
      </w:r>
      <w:r>
        <w:rPr>
          <w:rFonts w:hint="eastAsia" w:ascii="仿宋" w:hAnsi="仿宋" w:eastAsia="仿宋"/>
          <w:kern w:val="0"/>
          <w:sz w:val="32"/>
          <w:szCs w:val="32"/>
        </w:rPr>
        <w:t>艾滋病防治项目资金55.00万元</w:t>
      </w:r>
      <w:r>
        <w:rPr>
          <w:rFonts w:hint="eastAsia" w:ascii="仿宋" w:hAnsi="仿宋" w:eastAsia="仿宋"/>
          <w:kern w:val="0"/>
          <w:sz w:val="32"/>
          <w:szCs w:val="32"/>
          <w:lang w:eastAsia="zh-CN"/>
        </w:rPr>
        <w:t>。</w:t>
      </w:r>
    </w:p>
    <w:p>
      <w:pPr>
        <w:numPr>
          <w:ilvl w:val="0"/>
          <w:numId w:val="1"/>
        </w:numPr>
        <w:autoSpaceDE w:val="0"/>
        <w:autoSpaceDN w:val="0"/>
        <w:adjustRightInd w:val="0"/>
        <w:spacing w:line="360" w:lineRule="auto"/>
        <w:ind w:left="0" w:leftChars="0" w:firstLine="643" w:firstLineChars="200"/>
        <w:jc w:val="left"/>
        <w:rPr>
          <w:rFonts w:hint="eastAsia"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640" w:firstLineChars="200"/>
        <w:rPr>
          <w:rFonts w:hint="eastAsia" w:ascii="仿宋" w:hAnsi="仿宋" w:eastAsia="仿宋"/>
          <w:sz w:val="32"/>
          <w:szCs w:val="32"/>
        </w:rPr>
      </w:pPr>
      <w:r>
        <w:rPr>
          <w:rFonts w:ascii="仿宋" w:hAnsi="仿宋" w:eastAsia="仿宋"/>
          <w:kern w:val="0"/>
          <w:sz w:val="32"/>
          <w:szCs w:val="32"/>
        </w:rPr>
        <w:t>项目总体目标是</w:t>
      </w:r>
      <w:r>
        <w:rPr>
          <w:rFonts w:ascii="仿宋" w:hAnsi="仿宋" w:eastAsia="仿宋"/>
          <w:sz w:val="32"/>
          <w:szCs w:val="32"/>
        </w:rPr>
        <w:t>坚持“政府主导、部门各负其责、全社会共同参与”的工作方 针，明确年度艾滋病防治任务分工，加强部门间沟通协调，密 切配合、互通信息，充分发挥联防联控作用，共同推进</w:t>
      </w:r>
      <w:r>
        <w:rPr>
          <w:rFonts w:hint="eastAsia" w:ascii="仿宋" w:hAnsi="仿宋" w:eastAsia="仿宋"/>
          <w:sz w:val="32"/>
          <w:szCs w:val="32"/>
        </w:rPr>
        <w:t>艾滋病综合防治工作；开展艾滋病监测检测，加大感染者发现力度，开展艾滋病报告管理；开展病人随访管理、配偶检测、结核筛查、CD4检测、抗病毒治疗等工作；开展艾滋病感染者关怀支持活动。</w:t>
      </w:r>
    </w:p>
    <w:p>
      <w:pPr>
        <w:numPr>
          <w:ilvl w:val="0"/>
          <w:numId w:val="0"/>
        </w:numPr>
        <w:autoSpaceDE w:val="0"/>
        <w:autoSpaceDN w:val="0"/>
        <w:adjustRightInd w:val="0"/>
        <w:spacing w:line="360" w:lineRule="auto"/>
        <w:ind w:firstLine="640" w:firstLineChars="200"/>
        <w:jc w:val="left"/>
        <w:rPr>
          <w:rFonts w:hint="eastAsia" w:ascii="仿宋" w:hAnsi="仿宋" w:eastAsia="仿宋"/>
          <w:sz w:val="32"/>
          <w:szCs w:val="32"/>
          <w:lang w:val="zh-CN"/>
        </w:rPr>
      </w:pPr>
      <w:r>
        <w:rPr>
          <w:rFonts w:hint="eastAsia" w:ascii="仿宋" w:hAnsi="仿宋" w:eastAsia="仿宋"/>
          <w:kern w:val="0"/>
          <w:sz w:val="32"/>
          <w:szCs w:val="32"/>
        </w:rPr>
        <w:t>艾滋病</w:t>
      </w:r>
      <w:r>
        <w:rPr>
          <w:rFonts w:ascii="仿宋" w:hAnsi="仿宋" w:eastAsia="仿宋"/>
          <w:kern w:val="0"/>
          <w:sz w:val="32"/>
          <w:szCs w:val="32"/>
        </w:rPr>
        <w:t>综合防治项目</w:t>
      </w:r>
      <w:r>
        <w:rPr>
          <w:rFonts w:ascii="仿宋" w:hAnsi="仿宋" w:eastAsia="仿宋"/>
          <w:sz w:val="32"/>
          <w:szCs w:val="32"/>
        </w:rPr>
        <w:t>为贯彻落实《国务院防治艾滋病工作委员会办公室关于印发研 究部署“十四五”时期艾滋病防治工作会议纪要部门任务分工方案 的通知》《攀枝花市人民政府关于全面加强艾滋病防治工作的实施意 见》《攀枝花市遏制艾滋病传播重点工作任务台账（2020—2022 年）》及仁和区艾滋病防治工作重点任务要求，深入推进全</w:t>
      </w:r>
      <w:r>
        <w:rPr>
          <w:rFonts w:hint="eastAsia" w:ascii="仿宋" w:hAnsi="仿宋" w:eastAsia="仿宋"/>
          <w:sz w:val="32"/>
          <w:szCs w:val="32"/>
        </w:rPr>
        <w:t>区</w:t>
      </w:r>
      <w:r>
        <w:rPr>
          <w:rFonts w:ascii="仿宋" w:hAnsi="仿宋" w:eastAsia="仿宋"/>
          <w:sz w:val="32"/>
          <w:szCs w:val="32"/>
        </w:rPr>
        <w:t>艾滋病综合防治</w:t>
      </w:r>
      <w:r>
        <w:rPr>
          <w:rFonts w:hint="eastAsia" w:ascii="仿宋" w:hAnsi="仿宋" w:eastAsia="仿宋"/>
          <w:sz w:val="32"/>
          <w:szCs w:val="32"/>
        </w:rPr>
        <w:t>工作。</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default" w:ascii="仿宋_GB2312" w:hAnsi="宋体" w:eastAsia="仿宋"/>
          <w:lang w:val="en-US" w:eastAsia="zh-CN"/>
        </w:rPr>
      </w:pP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年申报艾滋病综合防治项目资金55.00万元,202</w:t>
      </w:r>
      <w:r>
        <w:rPr>
          <w:rFonts w:hint="eastAsia" w:ascii="仿宋" w:hAnsi="仿宋" w:eastAsia="仿宋"/>
          <w:kern w:val="0"/>
          <w:sz w:val="32"/>
          <w:szCs w:val="32"/>
          <w:lang w:val="en-US" w:eastAsia="zh-CN"/>
        </w:rPr>
        <w:t>2</w:t>
      </w:r>
      <w:r>
        <w:rPr>
          <w:rFonts w:hint="eastAsia" w:ascii="仿宋" w:hAnsi="仿宋" w:eastAsia="仿宋"/>
          <w:kern w:val="0"/>
          <w:sz w:val="32"/>
          <w:szCs w:val="32"/>
        </w:rPr>
        <w:t>年3月区财政下达项目预算资金55.00万元。</w:t>
      </w:r>
      <w:r>
        <w:rPr>
          <w:rFonts w:hint="eastAsia" w:ascii="仿宋_GB2312" w:hAnsi="宋体" w:eastAsia="仿宋"/>
          <w:lang w:val="en-US" w:eastAsia="zh-CN"/>
        </w:rPr>
        <w:t>资金到位率100%。</w:t>
      </w:r>
    </w:p>
    <w:p>
      <w:pPr>
        <w:autoSpaceDE w:val="0"/>
        <w:autoSpaceDN w:val="0"/>
        <w:adjustRightInd w:val="0"/>
        <w:spacing w:line="360" w:lineRule="auto"/>
        <w:ind w:firstLine="640" w:firstLineChars="200"/>
        <w:jc w:val="left"/>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default" w:ascii="仿宋_GB2312" w:hAnsi="宋体"/>
          <w:lang w:val="en-US"/>
        </w:rPr>
      </w:pPr>
      <w:r>
        <w:rPr>
          <w:rFonts w:hint="eastAsia" w:ascii="仿宋" w:hAnsi="仿宋" w:eastAsia="仿宋"/>
          <w:kern w:val="0"/>
          <w:sz w:val="32"/>
          <w:szCs w:val="32"/>
          <w:lang w:val="en-US" w:eastAsia="zh-CN"/>
        </w:rPr>
        <w:t>2022年艾滋病综合防治项目预算安排资金55.00万元，其中管理办公室及社会组织安排经费12.2万元（区重传办卫健局5.0万元；“三线”管理办公室共3个*2万元/个=6万元；社会组织1.2万元），用于家庭困难艾滋病感染者及病人抗病毒治疗检测费用补助5.2万元，仁和区社区药物维持治疗延伸服药点人员及运转经费37.6万元。由于财政资金紧张</w:t>
      </w: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年项目</w:t>
      </w:r>
      <w:r>
        <w:rPr>
          <w:rFonts w:hint="eastAsia" w:ascii="仿宋" w:hAnsi="仿宋" w:eastAsia="仿宋"/>
          <w:kern w:val="0"/>
          <w:sz w:val="32"/>
          <w:szCs w:val="32"/>
          <w:lang w:val="en-US" w:eastAsia="zh-CN"/>
        </w:rPr>
        <w:t>实际完成</w:t>
      </w:r>
      <w:r>
        <w:rPr>
          <w:rFonts w:hint="eastAsia" w:ascii="仿宋" w:hAnsi="仿宋" w:eastAsia="仿宋"/>
          <w:kern w:val="0"/>
          <w:sz w:val="32"/>
          <w:szCs w:val="32"/>
        </w:rPr>
        <w:t>支出</w:t>
      </w:r>
      <w:r>
        <w:rPr>
          <w:rFonts w:hint="eastAsia" w:ascii="仿宋" w:hAnsi="仿宋" w:eastAsia="仿宋"/>
          <w:kern w:val="0"/>
          <w:sz w:val="32"/>
          <w:szCs w:val="32"/>
          <w:lang w:val="en-US" w:eastAsia="zh-CN"/>
        </w:rPr>
        <w:t>1.1</w:t>
      </w:r>
      <w:r>
        <w:rPr>
          <w:rFonts w:hint="eastAsia" w:ascii="仿宋" w:hAnsi="仿宋" w:eastAsia="仿宋"/>
          <w:kern w:val="0"/>
          <w:sz w:val="32"/>
          <w:szCs w:val="32"/>
        </w:rPr>
        <w:t>万元，</w:t>
      </w:r>
      <w:r>
        <w:rPr>
          <w:rFonts w:hint="eastAsia" w:ascii="仿宋" w:hAnsi="仿宋" w:eastAsia="仿宋"/>
          <w:kern w:val="0"/>
          <w:sz w:val="32"/>
          <w:szCs w:val="32"/>
          <w:lang w:val="en-US" w:eastAsia="zh-CN"/>
        </w:rPr>
        <w:t>主要是美沙酮门诊安保服务费及协管员劳务费。已发生未支付的费用在2023年的结转结余经费进行支付。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严格按照上级主管部门制定的艾滋病防治工作方案保障艾滋病防治相关工作的开展，</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ascii="仿宋" w:hAnsi="仿宋" w:eastAsia="仿宋"/>
          <w:kern w:val="0"/>
          <w:sz w:val="32"/>
          <w:szCs w:val="32"/>
        </w:rPr>
        <w:t>艾滋病综合防治工作由仁和区重大传染病防治工作领导小组制定下达年度工作重点任务，</w:t>
      </w:r>
      <w:r>
        <w:rPr>
          <w:rFonts w:ascii="仿宋" w:hAnsi="仿宋" w:eastAsia="仿宋"/>
          <w:sz w:val="32"/>
          <w:szCs w:val="32"/>
        </w:rPr>
        <w:t>区级“三线”（疾控、定点医疗、妇幼保健机构）管理办公室分别</w:t>
      </w:r>
      <w:r>
        <w:rPr>
          <w:rFonts w:hint="eastAsia" w:ascii="仿宋" w:hAnsi="仿宋" w:eastAsia="仿宋"/>
          <w:sz w:val="32"/>
          <w:szCs w:val="32"/>
        </w:rPr>
        <w:t>负责</w:t>
      </w:r>
      <w:r>
        <w:rPr>
          <w:rFonts w:ascii="仿宋" w:hAnsi="仿宋" w:eastAsia="仿宋"/>
          <w:sz w:val="32"/>
          <w:szCs w:val="32"/>
        </w:rPr>
        <w:t>具体的综合防治工作</w:t>
      </w:r>
      <w:r>
        <w:rPr>
          <w:rFonts w:hint="eastAsia" w:ascii="仿宋" w:hAnsi="仿宋" w:eastAsia="仿宋"/>
          <w:sz w:val="32"/>
          <w:szCs w:val="32"/>
        </w:rPr>
        <w:t>。</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kern w:val="0"/>
          <w:sz w:val="32"/>
          <w:szCs w:val="32"/>
        </w:rPr>
        <w:t>仁和</w:t>
      </w:r>
      <w:r>
        <w:rPr>
          <w:rFonts w:ascii="仿宋" w:hAnsi="仿宋" w:eastAsia="仿宋"/>
          <w:sz w:val="32"/>
          <w:szCs w:val="32"/>
        </w:rPr>
        <w:t>区治疗管理办公室切实落实抗病 毒治疗管理牵头责任，进一步完善各项管理制度、职责，完善 调研指导、通报、月报等，负责建立完善 本级抗病毒治疗质控管理标准和规范</w:t>
      </w:r>
      <w:r>
        <w:rPr>
          <w:rFonts w:hint="eastAsia" w:ascii="仿宋" w:hAnsi="仿宋" w:eastAsia="仿宋"/>
          <w:sz w:val="32"/>
          <w:szCs w:val="32"/>
        </w:rPr>
        <w:t>，</w:t>
      </w:r>
      <w:r>
        <w:rPr>
          <w:rFonts w:ascii="仿宋" w:hAnsi="仿宋" w:eastAsia="仿宋"/>
          <w:sz w:val="32"/>
          <w:szCs w:val="32"/>
        </w:rPr>
        <w:t>加强 在治人员依从性教育和随访管理，做好重点和治疗失败病例的 分类管理，建立规范分析档案。</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kern w:val="0"/>
          <w:sz w:val="32"/>
          <w:szCs w:val="32"/>
        </w:rPr>
        <w:t>仁和</w:t>
      </w:r>
      <w:r>
        <w:rPr>
          <w:rFonts w:ascii="仿宋" w:hAnsi="仿宋" w:eastAsia="仿宋"/>
          <w:sz w:val="32"/>
          <w:szCs w:val="32"/>
        </w:rPr>
        <w:t>区妇幼保健机构牵头，乡镇人民政府（街道办事处）会同基层医疗机构进一步完善辖区孕情早发现工作机制，分层分类管理育龄妇女，开展孕情监测工作为艾滋病感染孕产 妇及所生儿童实施“一对一”专案管理，有效落实抗病毒服药、相关辅助检测、安全助产、儿童预防性治疗及科学喂养等各项 措施，有效控制母婴传播。</w:t>
      </w:r>
    </w:p>
    <w:p>
      <w:pPr>
        <w:autoSpaceDE w:val="0"/>
        <w:autoSpaceDN w:val="0"/>
        <w:adjustRightIn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仁和区疾病预防控</w:t>
      </w:r>
      <w:r>
        <w:rPr>
          <w:rFonts w:hint="eastAsia" w:ascii="仿宋" w:hAnsi="仿宋" w:eastAsia="仿宋"/>
          <w:kern w:val="0"/>
          <w:sz w:val="32"/>
          <w:szCs w:val="32"/>
          <w:lang w:eastAsia="zh-CN"/>
        </w:rPr>
        <w:t>制</w:t>
      </w:r>
      <w:r>
        <w:rPr>
          <w:rFonts w:hint="eastAsia" w:ascii="仿宋" w:hAnsi="仿宋" w:eastAsia="仿宋"/>
          <w:kern w:val="0"/>
          <w:sz w:val="32"/>
          <w:szCs w:val="32"/>
        </w:rPr>
        <w:t>中心</w:t>
      </w:r>
      <w:r>
        <w:rPr>
          <w:rFonts w:hint="eastAsia" w:ascii="仿宋" w:hAnsi="仿宋" w:eastAsia="仿宋" w:cs="仿宋_GB2312"/>
          <w:sz w:val="32"/>
          <w:szCs w:val="32"/>
        </w:rPr>
        <w:t>主要负责</w:t>
      </w:r>
      <w:r>
        <w:rPr>
          <w:rFonts w:ascii="仿宋" w:hAnsi="仿宋" w:eastAsia="仿宋"/>
          <w:sz w:val="32"/>
          <w:szCs w:val="32"/>
        </w:rPr>
        <w:t>全面落实各项艾滋病和性病预防控制措施，按要求规范完成上级下达的哨点监测任务。加强艾滋病检测信息管理，规范“初筛-筛查阳性告知-确 诊检测”流程，强化初筛阳性后续咨询检测和个案追踪，加强流行病学调查。落实本辖区的溯源调查工作，做好新报告感染者的流行病学调查及溯源调查，有效追查感染者和病人的高危行为接触者并进行检测，提高感染者发现效率，摸清辖区艾滋病传播风险网络。开展新发感染检测，精准分析新近感染的重点人群和重点区域， 针对性采取防控措施。</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_GB2312" w:eastAsia="仿宋_GB2312" w:cs="仿宋_GB2312"/>
          <w:color w:val="auto"/>
          <w:sz w:val="32"/>
          <w:szCs w:val="32"/>
          <w:lang w:val="en-US"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按照2022年艾滋病综合防治工作计划开展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工作措施，12月底各项考核指标任务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达到上级</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宋体"/>
          <w:color w:val="auto"/>
          <w:lang w:val="en-US" w:eastAsia="zh-CN"/>
        </w:rPr>
        <w:t xml:space="preserve">1、美沙酮维持治疗 </w:t>
      </w:r>
      <w:r>
        <w:rPr>
          <w:rFonts w:hint="eastAsia" w:ascii="仿宋_GB2312" w:hAnsi="仿宋_GB2312" w:eastAsia="仿宋_GB2312" w:cs="仿宋_GB2312"/>
          <w:color w:val="auto"/>
          <w:sz w:val="32"/>
          <w:szCs w:val="32"/>
          <w:lang w:val="en-US" w:eastAsia="zh-CN"/>
        </w:rPr>
        <w:t>在组治疗60人，日均治疗50人次，全年1.8387万人次</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全年维持治疗率</w:t>
      </w:r>
      <w:r>
        <w:rPr>
          <w:rFonts w:hint="eastAsia" w:ascii="仿宋_GB2312" w:hAnsi="仿宋_GB2312" w:eastAsia="仿宋_GB2312" w:cs="仿宋_GB2312"/>
          <w:color w:val="auto"/>
          <w:sz w:val="32"/>
          <w:szCs w:val="32"/>
          <w:lang w:val="en-US" w:eastAsia="zh-CN"/>
        </w:rPr>
        <w:t>87.72%。</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落实各项防控措施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全年开展艾滋病抗体检测达到</w:t>
      </w:r>
      <w:r>
        <w:rPr>
          <w:rFonts w:hint="eastAsia" w:ascii="仿宋_GB2312" w:hAnsi="仿宋_GB2312" w:eastAsia="仿宋_GB2312" w:cs="仿宋_GB2312"/>
          <w:color w:val="auto"/>
          <w:sz w:val="32"/>
          <w:szCs w:val="32"/>
          <w:lang w:val="en-US" w:eastAsia="zh-CN"/>
        </w:rPr>
        <w:t>9.9万</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随访艾滋病感染者</w:t>
      </w:r>
      <w:r>
        <w:rPr>
          <w:rFonts w:hint="eastAsia" w:ascii="仿宋_GB2312" w:hAnsi="仿宋_GB2312" w:eastAsia="仿宋_GB2312" w:cs="仿宋_GB2312"/>
          <w:color w:val="auto"/>
          <w:sz w:val="32"/>
          <w:szCs w:val="32"/>
          <w:lang w:val="en-US" w:eastAsia="zh-CN"/>
        </w:rPr>
        <w:t>822</w:t>
      </w:r>
      <w:r>
        <w:rPr>
          <w:rFonts w:hint="eastAsia" w:ascii="仿宋_GB2312" w:hAnsi="仿宋_GB2312" w:eastAsia="仿宋_GB2312" w:cs="仿宋_GB2312"/>
          <w:color w:val="auto"/>
          <w:sz w:val="32"/>
          <w:szCs w:val="32"/>
        </w:rPr>
        <w:t>人，开展CD4检测</w:t>
      </w:r>
      <w:r>
        <w:rPr>
          <w:rFonts w:hint="eastAsia" w:ascii="仿宋_GB2312" w:hAnsi="仿宋_GB2312" w:eastAsia="仿宋_GB2312" w:cs="仿宋_GB2312"/>
          <w:color w:val="auto"/>
          <w:sz w:val="32"/>
          <w:szCs w:val="32"/>
          <w:lang w:val="en-US" w:eastAsia="zh-CN"/>
        </w:rPr>
        <w:t>788</w:t>
      </w:r>
      <w:r>
        <w:rPr>
          <w:rFonts w:hint="eastAsia" w:ascii="仿宋_GB2312" w:hAnsi="仿宋_GB2312" w:eastAsia="仿宋_GB2312" w:cs="仿宋_GB2312"/>
          <w:color w:val="auto"/>
          <w:sz w:val="32"/>
          <w:szCs w:val="32"/>
        </w:rPr>
        <w:t>人次，配偶告知及检测达9</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%，抗病毒治疗</w:t>
      </w:r>
      <w:r>
        <w:rPr>
          <w:rFonts w:hint="eastAsia" w:ascii="仿宋_GB2312" w:hAnsi="仿宋_GB2312" w:eastAsia="仿宋_GB2312" w:cs="仿宋_GB2312"/>
          <w:color w:val="auto"/>
          <w:sz w:val="32"/>
          <w:szCs w:val="32"/>
          <w:lang w:val="en-US" w:eastAsia="zh-CN"/>
        </w:rPr>
        <w:t>795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扩大检测新发现艾滋病感染者/病人</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随访检测比例、配偶检测率、结核筛查率</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rPr>
        <w:t>达到上级考核要</w:t>
      </w:r>
      <w:r>
        <w:rPr>
          <w:rFonts w:hint="eastAsia" w:ascii="仿宋_GB2312" w:hAnsi="仿宋_GB2312" w:eastAsia="仿宋_GB2312" w:cs="仿宋_GB2312"/>
          <w:color w:val="auto"/>
          <w:sz w:val="32"/>
          <w:szCs w:val="32"/>
          <w:lang w:val="en-US" w:eastAsia="zh-CN"/>
        </w:rPr>
        <w:t>求</w:t>
      </w:r>
      <w:r>
        <w:rPr>
          <w:rFonts w:hint="eastAsia" w:ascii="仿宋_GB2312" w:hAnsi="仿宋_GB2312" w:eastAsia="仿宋_GB2312" w:cs="仿宋_GB2312"/>
          <w:color w:val="auto"/>
          <w:sz w:val="32"/>
          <w:szCs w:val="32"/>
        </w:rPr>
        <w:t>，通过实施患者随访管理、动员，使艾滋病患者抗病毒治疗率达到9</w:t>
      </w:r>
      <w:r>
        <w:rPr>
          <w:rFonts w:hint="eastAsia" w:ascii="仿宋_GB2312" w:hAnsi="仿宋_GB2312" w:eastAsia="仿宋_GB2312" w:cs="仿宋_GB2312"/>
          <w:color w:val="auto"/>
          <w:sz w:val="32"/>
          <w:szCs w:val="32"/>
          <w:lang w:val="en-US" w:eastAsia="zh-CN"/>
        </w:rPr>
        <w:t>6.13</w:t>
      </w:r>
      <w:r>
        <w:rPr>
          <w:rFonts w:hint="eastAsia" w:ascii="仿宋_GB2312" w:hAnsi="仿宋_GB2312" w:eastAsia="仿宋_GB2312" w:cs="仿宋_GB2312"/>
          <w:color w:val="auto"/>
          <w:sz w:val="32"/>
          <w:szCs w:val="32"/>
        </w:rPr>
        <w:t>%，治疗有效率达到9</w:t>
      </w:r>
      <w:r>
        <w:rPr>
          <w:rFonts w:hint="eastAsia" w:ascii="仿宋_GB2312" w:hAnsi="仿宋_GB2312" w:eastAsia="仿宋_GB2312" w:cs="仿宋_GB2312"/>
          <w:color w:val="auto"/>
          <w:sz w:val="32"/>
          <w:szCs w:val="32"/>
          <w:lang w:val="en-US" w:eastAsia="zh-CN"/>
        </w:rPr>
        <w:t>6.88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部门、乡镇/街办参与艾滋病防治</w:t>
      </w:r>
      <w:r>
        <w:rPr>
          <w:rFonts w:hint="eastAsia" w:ascii="仿宋_GB2312" w:hAnsi="仿宋_GB2312" w:eastAsia="仿宋_GB2312" w:cs="仿宋_GB2312"/>
          <w:color w:val="auto"/>
          <w:sz w:val="32"/>
          <w:szCs w:val="32"/>
          <w:lang w:val="en-US" w:eastAsia="zh-CN"/>
        </w:rPr>
        <w:t xml:space="preserve">  全年</w:t>
      </w:r>
      <w:r>
        <w:rPr>
          <w:rFonts w:hint="eastAsia" w:ascii="仿宋_GB2312" w:hAnsi="仿宋_GB2312" w:eastAsia="仿宋_GB2312" w:cs="仿宋_GB2312"/>
          <w:color w:val="auto"/>
          <w:sz w:val="32"/>
          <w:szCs w:val="32"/>
        </w:rPr>
        <w:t>开展宣传，干预，动员检测</w:t>
      </w:r>
      <w:r>
        <w:rPr>
          <w:rFonts w:hint="eastAsia" w:ascii="仿宋_GB2312" w:hAnsi="仿宋_GB2312" w:eastAsia="仿宋_GB2312" w:cs="仿宋_GB2312"/>
          <w:color w:val="auto"/>
          <w:sz w:val="32"/>
          <w:szCs w:val="32"/>
          <w:lang w:val="en-US" w:eastAsia="zh-CN"/>
        </w:rPr>
        <w:t>等中大型活动13次</w:t>
      </w:r>
      <w:r>
        <w:rPr>
          <w:rFonts w:hint="eastAsia" w:ascii="仿宋_GB2312" w:hAnsi="仿宋_GB2312" w:eastAsia="仿宋_GB2312" w:cs="仿宋_GB2312"/>
          <w:color w:val="auto"/>
          <w:sz w:val="32"/>
          <w:szCs w:val="32"/>
        </w:rPr>
        <w:t>，追踪失访及未治疗感染者参与治疗</w:t>
      </w:r>
      <w:r>
        <w:rPr>
          <w:rFonts w:hint="eastAsia" w:ascii="仿宋_GB2312" w:hAnsi="仿宋_GB2312" w:eastAsia="仿宋_GB2312" w:cs="仿宋_GB2312"/>
          <w:color w:val="auto"/>
          <w:sz w:val="32"/>
          <w:szCs w:val="32"/>
          <w:lang w:val="en-US" w:eastAsia="zh-CN"/>
        </w:rPr>
        <w:t>382人次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掌握</w:t>
      </w:r>
      <w:r>
        <w:rPr>
          <w:rFonts w:hint="eastAsia" w:ascii="仿宋_GB2312" w:hAnsi="仿宋_GB2312" w:eastAsia="仿宋_GB2312" w:cs="仿宋_GB2312"/>
          <w:color w:val="auto"/>
          <w:sz w:val="32"/>
          <w:szCs w:val="32"/>
          <w:lang w:val="en-US" w:eastAsia="zh-CN"/>
        </w:rPr>
        <w:t>感染</w:t>
      </w:r>
      <w:r>
        <w:rPr>
          <w:rFonts w:hint="eastAsia" w:ascii="仿宋_GB2312" w:hAnsi="仿宋_GB2312" w:eastAsia="仿宋_GB2312" w:cs="仿宋_GB2312"/>
          <w:color w:val="auto"/>
          <w:sz w:val="32"/>
          <w:szCs w:val="32"/>
        </w:rPr>
        <w:t>育龄妇女信息</w:t>
      </w:r>
      <w:r>
        <w:rPr>
          <w:rFonts w:hint="eastAsia" w:ascii="仿宋_GB2312" w:hAnsi="仿宋_GB2312" w:eastAsia="仿宋_GB2312" w:cs="仿宋_GB2312"/>
          <w:color w:val="auto"/>
          <w:sz w:val="32"/>
          <w:szCs w:val="32"/>
          <w:lang w:val="en-US" w:eastAsia="zh-CN"/>
        </w:rPr>
        <w:t>8人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经动员终止妊娠8人，规范</w:t>
      </w:r>
      <w:r>
        <w:rPr>
          <w:rFonts w:hint="eastAsia" w:ascii="仿宋_GB2312" w:hAnsi="仿宋_GB2312" w:eastAsia="仿宋_GB2312" w:cs="仿宋_GB2312"/>
          <w:color w:val="auto"/>
          <w:sz w:val="32"/>
          <w:szCs w:val="32"/>
        </w:rPr>
        <w:t>随访管理、督导服药</w:t>
      </w:r>
      <w:r>
        <w:rPr>
          <w:rFonts w:hint="eastAsia" w:ascii="仿宋_GB2312" w:hAnsi="仿宋_GB2312" w:eastAsia="仿宋_GB2312" w:cs="仿宋_GB2312"/>
          <w:color w:val="auto"/>
          <w:sz w:val="32"/>
          <w:szCs w:val="32"/>
          <w:lang w:val="en-US" w:eastAsia="zh-CN"/>
        </w:rPr>
        <w:t>5人；</w:t>
      </w:r>
      <w:r>
        <w:rPr>
          <w:rFonts w:hint="eastAsia" w:ascii="仿宋_GB2312" w:hAnsi="仿宋_GB2312" w:eastAsia="仿宋_GB2312" w:cs="仿宋_GB2312"/>
          <w:color w:val="auto"/>
          <w:sz w:val="32"/>
          <w:szCs w:val="32"/>
        </w:rPr>
        <w:t>艾滋病防治知识知晓率9</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%以上，常住人口HIV筛查率</w:t>
      </w:r>
      <w:r>
        <w:rPr>
          <w:rFonts w:hint="eastAsia" w:ascii="仿宋_GB2312" w:hAnsi="仿宋_GB2312" w:eastAsia="仿宋_GB2312" w:cs="仿宋_GB2312"/>
          <w:color w:val="auto"/>
          <w:sz w:val="32"/>
          <w:szCs w:val="32"/>
          <w:lang w:val="en-US" w:eastAsia="zh-CN"/>
        </w:rPr>
        <w:t>37.28</w:t>
      </w:r>
      <w:r>
        <w:rPr>
          <w:rFonts w:hint="eastAsia" w:ascii="仿宋_GB2312" w:hAnsi="仿宋_GB2312" w:eastAsia="仿宋_GB2312" w:cs="仿宋_GB2312"/>
          <w:color w:val="auto"/>
          <w:sz w:val="32"/>
          <w:szCs w:val="32"/>
        </w:rPr>
        <w:t>%，治疗覆盖率9</w:t>
      </w:r>
      <w:r>
        <w:rPr>
          <w:rFonts w:hint="eastAsia" w:ascii="仿宋_GB2312" w:hAnsi="仿宋_GB2312" w:eastAsia="仿宋_GB2312" w:cs="仿宋_GB2312"/>
          <w:color w:val="auto"/>
          <w:sz w:val="32"/>
          <w:szCs w:val="32"/>
          <w:lang w:val="en-US" w:eastAsia="zh-CN"/>
        </w:rPr>
        <w:t>6.13</w:t>
      </w:r>
      <w:r>
        <w:rPr>
          <w:rFonts w:hint="eastAsia" w:ascii="仿宋_GB2312" w:hAnsi="仿宋_GB2312" w:eastAsia="仿宋_GB2312" w:cs="仿宋_GB2312"/>
          <w:color w:val="auto"/>
          <w:sz w:val="32"/>
          <w:szCs w:val="32"/>
        </w:rPr>
        <w:t>%。</w:t>
      </w:r>
    </w:p>
    <w:p>
      <w:pPr>
        <w:numPr>
          <w:ilvl w:val="0"/>
          <w:numId w:val="0"/>
        </w:numPr>
        <w:adjustRightInd w:val="0"/>
        <w:snapToGrid w:val="0"/>
        <w:spacing w:line="560" w:lineRule="exact"/>
        <w:ind w:firstLine="643" w:firstLineChars="200"/>
        <w:rPr>
          <w:rFonts w:hint="eastAsia" w:ascii="楷体_GB2312" w:hAnsi="宋体" w:eastAsia="楷体_GB2312"/>
          <w:b/>
          <w:color w:val="auto"/>
          <w:lang w:val="zh-CN"/>
        </w:rPr>
      </w:pPr>
      <w:r>
        <w:rPr>
          <w:rFonts w:hint="eastAsia" w:ascii="楷体_GB2312" w:hAnsi="宋体" w:eastAsia="楷体_GB2312"/>
          <w:b/>
          <w:color w:val="auto"/>
          <w:lang w:val="zh-CN"/>
        </w:rPr>
        <w:t>（二）项目效益情况。</w:t>
      </w:r>
    </w:p>
    <w:p>
      <w:pPr>
        <w:numPr>
          <w:ilvl w:val="0"/>
          <w:numId w:val="0"/>
        </w:numPr>
        <w:adjustRightInd w:val="0"/>
        <w:snapToGrid w:val="0"/>
        <w:spacing w:line="560" w:lineRule="exact"/>
        <w:ind w:firstLine="640" w:firstLineChars="200"/>
        <w:rPr>
          <w:rFonts w:hint="eastAsia" w:ascii="仿宋_GB2312" w:hAnsi="仿宋_GB2312" w:cs="仿宋_GB2312"/>
          <w:color w:val="auto"/>
          <w:sz w:val="32"/>
          <w:szCs w:val="32"/>
          <w:lang w:eastAsia="zh-CN"/>
        </w:rPr>
      </w:pPr>
      <w:r>
        <w:rPr>
          <w:rFonts w:hint="eastAsia" w:ascii="仿宋_GB2312" w:hAnsi="仿宋_GB2312" w:cs="仿宋_GB2312"/>
          <w:b w:val="0"/>
          <w:bCs/>
          <w:color w:val="auto"/>
          <w:lang w:val="en-US" w:eastAsia="zh-CN"/>
        </w:rPr>
        <w:t>1、</w:t>
      </w:r>
      <w:r>
        <w:rPr>
          <w:rFonts w:hint="eastAsia" w:ascii="仿宋_GB2312" w:hAnsi="仿宋_GB2312" w:eastAsia="仿宋_GB2312" w:cs="仿宋_GB2312"/>
          <w:b w:val="0"/>
          <w:bCs/>
          <w:color w:val="auto"/>
          <w:lang w:val="en-US" w:eastAsia="zh-CN"/>
        </w:rPr>
        <w:t>社会效益指标</w:t>
      </w:r>
      <w:r>
        <w:rPr>
          <w:rFonts w:hint="eastAsia" w:ascii="楷体_GB2312" w:hAnsi="宋体" w:eastAsia="楷体_GB2312"/>
          <w:b/>
          <w:color w:val="auto"/>
          <w:lang w:val="en-US" w:eastAsia="zh-CN"/>
        </w:rPr>
        <w:t xml:space="preserve"> ，</w:t>
      </w:r>
      <w:r>
        <w:rPr>
          <w:rFonts w:hint="eastAsia" w:ascii="仿宋_GB2312" w:hAnsi="仿宋_GB2312" w:eastAsia="仿宋_GB2312" w:cs="仿宋_GB2312"/>
          <w:color w:val="auto"/>
          <w:sz w:val="32"/>
          <w:szCs w:val="32"/>
        </w:rPr>
        <w:t>通过持续开展工作，艾滋病流行</w:t>
      </w:r>
      <w:r>
        <w:rPr>
          <w:rFonts w:hint="eastAsia" w:ascii="仿宋_GB2312" w:hAnsi="仿宋_GB2312" w:eastAsia="仿宋_GB2312" w:cs="仿宋_GB2312"/>
          <w:color w:val="auto"/>
          <w:sz w:val="32"/>
          <w:szCs w:val="32"/>
          <w:lang w:val="en-US" w:eastAsia="zh-CN"/>
        </w:rPr>
        <w:t>得到遏制并处于低流行状态</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我区</w:t>
      </w:r>
      <w:r>
        <w:rPr>
          <w:rFonts w:hint="eastAsia" w:ascii="仿宋_GB2312" w:hAnsi="仿宋_GB2312" w:eastAsia="仿宋_GB2312" w:cs="仿宋_GB2312"/>
          <w:color w:val="auto"/>
          <w:sz w:val="32"/>
          <w:szCs w:val="32"/>
          <w:lang w:val="en-US" w:eastAsia="zh-CN"/>
        </w:rPr>
        <w:t>新发报告感染者较2021年降低27.2%，切实</w:t>
      </w:r>
      <w:r>
        <w:rPr>
          <w:rFonts w:hint="eastAsia" w:ascii="仿宋_GB2312" w:hAnsi="仿宋_GB2312" w:eastAsia="仿宋_GB2312" w:cs="仿宋_GB2312"/>
          <w:color w:val="auto"/>
          <w:sz w:val="32"/>
          <w:szCs w:val="32"/>
        </w:rPr>
        <w:t>降低艾滋病社会危害，减少艾滋病流行所致的经济负担、社会负担，提升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人民群众健康水平，保持</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经济社会稳定发展</w:t>
      </w:r>
      <w:r>
        <w:rPr>
          <w:rFonts w:hint="eastAsia" w:ascii="仿宋_GB2312" w:hAnsi="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服务对象满意度指标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高危人群满意度</w:t>
      </w:r>
      <w:r>
        <w:rPr>
          <w:rFonts w:hint="eastAsia" w:ascii="仿宋_GB2312" w:hAnsi="仿宋_GB2312" w:eastAsia="仿宋_GB2312" w:cs="仿宋_GB2312"/>
          <w:color w:val="auto"/>
          <w:sz w:val="32"/>
          <w:szCs w:val="32"/>
          <w:lang w:val="en-US" w:eastAsia="zh-CN"/>
        </w:rPr>
        <w:t>,艾滋病患者满意度</w:t>
      </w:r>
      <w:r>
        <w:rPr>
          <w:rFonts w:hint="eastAsia" w:ascii="仿宋_GB2312" w:hAnsi="仿宋_GB2312" w:eastAsia="仿宋_GB2312" w:cs="仿宋_GB2312"/>
          <w:color w:val="auto"/>
          <w:sz w:val="32"/>
          <w:szCs w:val="32"/>
        </w:rPr>
        <w:t>抽样调查满意度达到</w:t>
      </w:r>
      <w:r>
        <w:rPr>
          <w:rFonts w:hint="eastAsia" w:ascii="仿宋_GB2312" w:hAnsi="仿宋_GB2312" w:eastAsia="仿宋_GB2312" w:cs="仿宋_GB2312"/>
          <w:color w:val="auto"/>
          <w:sz w:val="32"/>
          <w:szCs w:val="32"/>
          <w:lang w:val="en-US" w:eastAsia="zh-CN"/>
        </w:rPr>
        <w:t>88.37</w:t>
      </w:r>
      <w:r>
        <w:rPr>
          <w:rFonts w:hint="eastAsia" w:ascii="仿宋_GB2312" w:hAnsi="仿宋_GB2312" w:eastAsia="仿宋_GB2312" w:cs="仿宋_GB2312"/>
          <w:color w:val="auto"/>
          <w:sz w:val="32"/>
          <w:szCs w:val="32"/>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lang w:val="en-US" w:eastAsia="zh-CN"/>
        </w:rPr>
      </w:pPr>
      <w:r>
        <w:rPr>
          <w:rFonts w:hint="eastAsia" w:ascii="仿宋" w:hAnsi="仿宋" w:eastAsia="仿宋" w:cs="仿宋"/>
          <w:b w:val="0"/>
          <w:bCs/>
          <w:lang w:val="en-US" w:eastAsia="zh-CN"/>
        </w:rPr>
        <w:t>由于财政资金紧张2022年项目资金执行与预算差距较大。</w:t>
      </w: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widowControl/>
        <w:adjustRightInd w:val="0"/>
        <w:snapToGrid w:val="0"/>
        <w:spacing w:line="580" w:lineRule="exact"/>
        <w:contextualSpacing/>
        <w:jc w:val="both"/>
        <w:rPr>
          <w:color w:val="000000"/>
          <w:kern w:val="0"/>
          <w:szCs w:val="32"/>
          <w:shd w:val="clear" w:color="auto" w:fill="FFFFFF"/>
          <w:lang w:val="zh-CN"/>
        </w:rPr>
      </w:pPr>
    </w:p>
    <w:p>
      <w:pPr>
        <w:widowControl/>
        <w:adjustRightInd w:val="0"/>
        <w:snapToGrid w:val="0"/>
        <w:spacing w:line="580" w:lineRule="exact"/>
        <w:contextualSpacing/>
        <w:jc w:val="both"/>
        <w:rPr>
          <w:color w:val="000000"/>
          <w:kern w:val="0"/>
          <w:szCs w:val="32"/>
          <w:shd w:val="clear" w:color="auto" w:fill="FFFFFF"/>
          <w:lang w:val="zh-CN"/>
        </w:rPr>
      </w:pPr>
      <w:r>
        <w:rPr>
          <w:color w:val="000000"/>
          <w:kern w:val="0"/>
          <w:szCs w:val="32"/>
          <w:shd w:val="clear" w:color="auto" w:fill="FFFFFF"/>
          <w:lang w:val="zh-CN"/>
        </w:rPr>
        <w:t>附表</w:t>
      </w:r>
      <w:r>
        <w:rPr>
          <w:rFonts w:hint="eastAsia"/>
          <w:color w:val="000000"/>
          <w:kern w:val="0"/>
          <w:szCs w:val="32"/>
          <w:shd w:val="clear" w:color="auto" w:fill="FFFFFF"/>
          <w:lang w:val="zh-CN"/>
        </w:rPr>
        <w:t>：</w:t>
      </w:r>
    </w:p>
    <w:tbl>
      <w:tblPr>
        <w:tblStyle w:val="6"/>
        <w:tblpPr w:leftFromText="180" w:rightFromText="180" w:vertAnchor="text" w:horzAnchor="page" w:tblpX="1247" w:tblpY="221"/>
        <w:tblOverlap w:val="never"/>
        <w:tblW w:w="5770" w:type="pct"/>
        <w:tblInd w:w="0" w:type="dxa"/>
        <w:tblLayout w:type="fixed"/>
        <w:tblCellMar>
          <w:top w:w="0" w:type="dxa"/>
          <w:left w:w="108" w:type="dxa"/>
          <w:bottom w:w="0" w:type="dxa"/>
          <w:right w:w="108" w:type="dxa"/>
        </w:tblCellMar>
      </w:tblPr>
      <w:tblGrid>
        <w:gridCol w:w="930"/>
        <w:gridCol w:w="810"/>
        <w:gridCol w:w="930"/>
        <w:gridCol w:w="1515"/>
        <w:gridCol w:w="2699"/>
        <w:gridCol w:w="2714"/>
        <w:gridCol w:w="236"/>
      </w:tblGrid>
      <w:tr>
        <w:tblPrEx>
          <w:tblCellMar>
            <w:top w:w="0" w:type="dxa"/>
            <w:left w:w="108" w:type="dxa"/>
            <w:bottom w:w="0" w:type="dxa"/>
            <w:right w:w="108" w:type="dxa"/>
          </w:tblCellMar>
        </w:tblPrEx>
        <w:trPr>
          <w:trHeight w:val="675" w:hRule="atLeast"/>
        </w:trPr>
        <w:tc>
          <w:tcPr>
            <w:tcW w:w="488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w:t>
            </w:r>
            <w:r>
              <w:rPr>
                <w:rFonts w:hint="eastAsia" w:eastAsia="宋体"/>
                <w:b/>
                <w:color w:val="000000"/>
                <w:szCs w:val="32"/>
                <w:lang w:val="en-US" w:eastAsia="zh-CN"/>
              </w:rPr>
              <w:t>自</w:t>
            </w:r>
            <w:r>
              <w:rPr>
                <w:rFonts w:eastAsia="宋体"/>
                <w:b/>
                <w:color w:val="000000"/>
                <w:szCs w:val="32"/>
              </w:rPr>
              <w:t>评</w:t>
            </w:r>
          </w:p>
          <w:p>
            <w:pPr>
              <w:widowControl/>
              <w:jc w:val="center"/>
              <w:textAlignment w:val="center"/>
              <w:rPr>
                <w:rFonts w:hint="eastAsia" w:eastAsia="宋体"/>
                <w:b/>
                <w:color w:val="000000"/>
                <w:szCs w:val="32"/>
                <w:lang w:eastAsia="zh-CN"/>
              </w:rPr>
            </w:pPr>
            <w:r>
              <w:rPr>
                <w:rFonts w:hint="eastAsia" w:eastAsia="宋体"/>
                <w:b/>
                <w:color w:val="000000"/>
                <w:szCs w:val="32"/>
                <w:lang w:eastAsia="zh-CN"/>
              </w:rPr>
              <w:t>（</w:t>
            </w:r>
            <w:r>
              <w:rPr>
                <w:rFonts w:hint="eastAsia" w:eastAsia="宋体"/>
                <w:b/>
                <w:color w:val="000000"/>
                <w:szCs w:val="32"/>
                <w:lang w:val="en-US" w:eastAsia="zh-CN"/>
              </w:rPr>
              <w:t>区级艾滋病综合防治项目</w:t>
            </w:r>
            <w:r>
              <w:rPr>
                <w:rFonts w:hint="eastAsia" w:eastAsia="宋体"/>
                <w:b/>
                <w:color w:val="000000"/>
                <w:szCs w:val="32"/>
                <w:lang w:eastAsia="zh-CN"/>
              </w:rPr>
              <w:t>）</w:t>
            </w:r>
          </w:p>
        </w:tc>
        <w:tc>
          <w:tcPr>
            <w:tcW w:w="119"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9" w:type="pct"/>
          <w:trHeight w:val="254" w:hRule="atLeast"/>
        </w:trPr>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仁和区疾病预防控制中心</w:t>
            </w:r>
          </w:p>
        </w:tc>
      </w:tr>
      <w:tr>
        <w:tblPrEx>
          <w:tblCellMar>
            <w:top w:w="0" w:type="dxa"/>
            <w:left w:w="108" w:type="dxa"/>
            <w:bottom w:w="0" w:type="dxa"/>
            <w:right w:w="108" w:type="dxa"/>
          </w:tblCellMar>
        </w:tblPrEx>
        <w:trPr>
          <w:gridAfter w:val="1"/>
          <w:wAfter w:w="119" w:type="pct"/>
          <w:trHeight w:val="451" w:hRule="atLeast"/>
        </w:trPr>
        <w:tc>
          <w:tcPr>
            <w:tcW w:w="8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预算数：</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55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1.1</w:t>
            </w:r>
          </w:p>
        </w:tc>
      </w:tr>
      <w:tr>
        <w:tblPrEx>
          <w:tblCellMar>
            <w:top w:w="0" w:type="dxa"/>
            <w:left w:w="108" w:type="dxa"/>
            <w:bottom w:w="0" w:type="dxa"/>
            <w:right w:w="108" w:type="dxa"/>
          </w:tblCellMar>
        </w:tblPrEx>
        <w:trPr>
          <w:gridAfter w:val="1"/>
          <w:wAfter w:w="119" w:type="pct"/>
          <w:trHeight w:val="577" w:hRule="atLeast"/>
        </w:trPr>
        <w:tc>
          <w:tcPr>
            <w:tcW w:w="8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55</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1.1</w:t>
            </w:r>
          </w:p>
        </w:tc>
      </w:tr>
      <w:tr>
        <w:tblPrEx>
          <w:tblCellMar>
            <w:top w:w="0" w:type="dxa"/>
            <w:left w:w="108" w:type="dxa"/>
            <w:bottom w:w="0" w:type="dxa"/>
            <w:right w:w="108" w:type="dxa"/>
          </w:tblCellMar>
        </w:tblPrEx>
        <w:trPr>
          <w:gridAfter w:val="1"/>
          <w:wAfter w:w="119" w:type="pct"/>
          <w:trHeight w:val="341" w:hRule="atLeast"/>
        </w:trPr>
        <w:tc>
          <w:tcPr>
            <w:tcW w:w="8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19" w:type="pct"/>
          <w:trHeight w:val="217"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1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19" w:type="pct"/>
          <w:trHeight w:val="1297"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654"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仿宋" w:hAnsi="仿宋" w:eastAsia="仿宋" w:cs="仿宋"/>
                <w:color w:val="000000"/>
                <w:sz w:val="21"/>
                <w:szCs w:val="21"/>
              </w:rPr>
            </w:pPr>
            <w:r>
              <w:rPr>
                <w:rFonts w:hint="eastAsia" w:ascii="仿宋" w:hAnsi="仿宋" w:eastAsia="仿宋" w:cs="仿宋"/>
                <w:color w:val="000000"/>
                <w:sz w:val="21"/>
                <w:szCs w:val="21"/>
              </w:rPr>
              <w:t>部门/乡镇开展艾滋病综合防治工作；开展艾滋病监测检测，加大感染者发现力度，开展艾滋病报告管理；开展病人随访管理、配偶检测、结核筛查、CD4检测、抗病毒治疗等工作；开展艾滋病感染者关怀支持活动</w:t>
            </w:r>
          </w:p>
        </w:tc>
        <w:tc>
          <w:tcPr>
            <w:tcW w:w="2752" w:type="pct"/>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各</w:t>
            </w:r>
            <w:r>
              <w:rPr>
                <w:rFonts w:hint="eastAsia" w:ascii="仿宋" w:hAnsi="仿宋" w:eastAsia="仿宋" w:cs="仿宋"/>
                <w:color w:val="000000"/>
                <w:sz w:val="21"/>
                <w:szCs w:val="21"/>
              </w:rPr>
              <w:t>部门/乡镇开展艾滋病综合防治工作</w:t>
            </w:r>
            <w:r>
              <w:rPr>
                <w:rFonts w:hint="eastAsia" w:ascii="仿宋" w:hAnsi="仿宋" w:eastAsia="仿宋" w:cs="仿宋"/>
                <w:color w:val="000000"/>
                <w:sz w:val="21"/>
                <w:szCs w:val="21"/>
                <w:lang w:val="en-US" w:eastAsia="zh-CN"/>
              </w:rPr>
              <w:t>一进步推进</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积极开展</w:t>
            </w:r>
            <w:r>
              <w:rPr>
                <w:rFonts w:hint="eastAsia" w:ascii="仿宋" w:hAnsi="仿宋" w:eastAsia="仿宋" w:cs="仿宋"/>
                <w:color w:val="000000"/>
                <w:sz w:val="21"/>
                <w:szCs w:val="21"/>
              </w:rPr>
              <w:t>艾滋病监测检测，加大感染者发现力度</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规范</w:t>
            </w:r>
            <w:r>
              <w:rPr>
                <w:rFonts w:hint="eastAsia" w:ascii="仿宋" w:hAnsi="仿宋" w:eastAsia="仿宋" w:cs="仿宋"/>
                <w:color w:val="000000"/>
                <w:sz w:val="21"/>
                <w:szCs w:val="21"/>
              </w:rPr>
              <w:t>开展艾滋病报告管理；</w:t>
            </w:r>
            <w:r>
              <w:rPr>
                <w:rFonts w:hint="eastAsia" w:ascii="仿宋" w:hAnsi="仿宋" w:eastAsia="仿宋" w:cs="仿宋"/>
                <w:color w:val="000000"/>
                <w:sz w:val="21"/>
                <w:szCs w:val="21"/>
                <w:lang w:val="en-US" w:eastAsia="zh-CN"/>
              </w:rPr>
              <w:t>积极</w:t>
            </w:r>
            <w:r>
              <w:rPr>
                <w:rFonts w:hint="eastAsia" w:ascii="仿宋" w:hAnsi="仿宋" w:eastAsia="仿宋" w:cs="仿宋"/>
                <w:color w:val="000000"/>
                <w:sz w:val="21"/>
                <w:szCs w:val="21"/>
              </w:rPr>
              <w:t>开展</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病人随访管理、配偶检测、结核筛查、CD4检测、</w:t>
            </w:r>
            <w:bookmarkStart w:id="0" w:name="_GoBack"/>
            <w:bookmarkEnd w:id="0"/>
            <w:r>
              <w:rPr>
                <w:rFonts w:hint="eastAsia" w:ascii="仿宋" w:hAnsi="仿宋" w:eastAsia="仿宋" w:cs="仿宋"/>
                <w:color w:val="000000"/>
                <w:sz w:val="21"/>
                <w:szCs w:val="21"/>
              </w:rPr>
              <w:t>抗病毒治疗等工作；</w:t>
            </w:r>
            <w:r>
              <w:rPr>
                <w:rFonts w:hint="eastAsia" w:ascii="仿宋" w:hAnsi="仿宋" w:eastAsia="仿宋" w:cs="仿宋"/>
                <w:color w:val="000000"/>
                <w:sz w:val="21"/>
                <w:szCs w:val="21"/>
                <w:lang w:val="en-US" w:eastAsia="zh-CN"/>
              </w:rPr>
              <w:t>结合工作实际、积极</w:t>
            </w:r>
            <w:r>
              <w:rPr>
                <w:rFonts w:hint="eastAsia" w:ascii="仿宋" w:hAnsi="仿宋" w:eastAsia="仿宋" w:cs="仿宋"/>
                <w:color w:val="000000"/>
                <w:sz w:val="21"/>
                <w:szCs w:val="21"/>
              </w:rPr>
              <w:t>开展</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艾滋病感染者关怀支持活动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年终各项工作指标经上级考核优良。</w:t>
            </w:r>
          </w:p>
        </w:tc>
      </w:tr>
      <w:tr>
        <w:tblPrEx>
          <w:tblCellMar>
            <w:top w:w="0" w:type="dxa"/>
            <w:left w:w="108" w:type="dxa"/>
            <w:bottom w:w="0" w:type="dxa"/>
            <w:right w:w="108" w:type="dxa"/>
          </w:tblCellMar>
        </w:tblPrEx>
        <w:trPr>
          <w:gridAfter w:val="1"/>
          <w:wAfter w:w="119" w:type="pct"/>
          <w:trHeight w:val="738" w:hRule="atLeast"/>
        </w:trPr>
        <w:tc>
          <w:tcPr>
            <w:tcW w:w="47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411"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119" w:type="pct"/>
          <w:trHeight w:val="88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完成</w:t>
            </w:r>
          </w:p>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指标</w:t>
            </w:r>
          </w:p>
        </w:tc>
        <w:tc>
          <w:tcPr>
            <w:tcW w:w="47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数量指标</w:t>
            </w:r>
          </w:p>
          <w:p>
            <w:pPr>
              <w:widowControl/>
              <w:spacing w:line="320" w:lineRule="exact"/>
              <w:jc w:val="both"/>
              <w:textAlignment w:val="bottom"/>
              <w:rPr>
                <w:rFonts w:hint="eastAsia" w:ascii="仿宋" w:hAnsi="仿宋" w:eastAsia="仿宋" w:cs="仿宋"/>
                <w:color w:val="000000"/>
                <w:kern w:val="0"/>
                <w:sz w:val="21"/>
                <w:szCs w:val="21"/>
                <w:lang w:bidi="ar"/>
              </w:rPr>
            </w:pPr>
          </w:p>
        </w:tc>
        <w:tc>
          <w:tcPr>
            <w:tcW w:w="770"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吸毒人员美沙酮维持治疗</w:t>
            </w:r>
          </w:p>
        </w:tc>
        <w:tc>
          <w:tcPr>
            <w:tcW w:w="1372"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3万人次以上</w:t>
            </w:r>
          </w:p>
        </w:tc>
        <w:tc>
          <w:tcPr>
            <w:tcW w:w="1380"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在组治疗60人，日均治疗50人次，全年1.8387万人次</w:t>
            </w:r>
          </w:p>
        </w:tc>
      </w:tr>
      <w:tr>
        <w:tblPrEx>
          <w:tblCellMar>
            <w:top w:w="0" w:type="dxa"/>
            <w:left w:w="108" w:type="dxa"/>
            <w:bottom w:w="0" w:type="dxa"/>
            <w:right w:w="108" w:type="dxa"/>
          </w:tblCellMar>
        </w:tblPrEx>
        <w:trPr>
          <w:gridAfter w:val="1"/>
          <w:wAfter w:w="119" w:type="pct"/>
          <w:trHeight w:val="57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472"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77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落实各项防控措施</w:t>
            </w:r>
          </w:p>
        </w:tc>
        <w:tc>
          <w:tcPr>
            <w:tcW w:w="137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继续扩大艾滋病抗体检测，全年开展艾滋病抗体检测达到8.4万人次以上，随访艾滋病感染者850人以上，开展CD4检测800人次，配偶告知及检测达90%，抗病毒治疗800人以上</w:t>
            </w:r>
          </w:p>
        </w:tc>
        <w:tc>
          <w:tcPr>
            <w:tcW w:w="1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全年开展艾滋病抗体检测达到</w:t>
            </w:r>
            <w:r>
              <w:rPr>
                <w:rFonts w:hint="eastAsia" w:ascii="仿宋" w:hAnsi="仿宋" w:eastAsia="仿宋" w:cs="仿宋"/>
                <w:color w:val="000000"/>
                <w:sz w:val="21"/>
                <w:szCs w:val="21"/>
                <w:lang w:val="en-US" w:eastAsia="zh-CN"/>
              </w:rPr>
              <w:t>9.9万</w:t>
            </w:r>
            <w:r>
              <w:rPr>
                <w:rFonts w:hint="eastAsia" w:ascii="仿宋" w:hAnsi="仿宋" w:eastAsia="仿宋" w:cs="仿宋"/>
                <w:color w:val="000000"/>
                <w:sz w:val="21"/>
                <w:szCs w:val="21"/>
              </w:rPr>
              <w:t>人次</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随访艾滋病感染者</w:t>
            </w:r>
            <w:r>
              <w:rPr>
                <w:rFonts w:hint="eastAsia" w:ascii="仿宋" w:hAnsi="仿宋" w:eastAsia="仿宋" w:cs="仿宋"/>
                <w:color w:val="000000"/>
                <w:sz w:val="21"/>
                <w:szCs w:val="21"/>
                <w:lang w:val="en-US" w:eastAsia="zh-CN"/>
              </w:rPr>
              <w:t>822</w:t>
            </w:r>
            <w:r>
              <w:rPr>
                <w:rFonts w:hint="eastAsia" w:ascii="仿宋" w:hAnsi="仿宋" w:eastAsia="仿宋" w:cs="仿宋"/>
                <w:color w:val="000000"/>
                <w:sz w:val="21"/>
                <w:szCs w:val="21"/>
              </w:rPr>
              <w:t>人，开展CD4检测</w:t>
            </w:r>
            <w:r>
              <w:rPr>
                <w:rFonts w:hint="eastAsia" w:ascii="仿宋" w:hAnsi="仿宋" w:eastAsia="仿宋" w:cs="仿宋"/>
                <w:color w:val="000000"/>
                <w:sz w:val="21"/>
                <w:szCs w:val="21"/>
                <w:lang w:val="en-US" w:eastAsia="zh-CN"/>
              </w:rPr>
              <w:t>788</w:t>
            </w:r>
            <w:r>
              <w:rPr>
                <w:rFonts w:hint="eastAsia" w:ascii="仿宋" w:hAnsi="仿宋" w:eastAsia="仿宋" w:cs="仿宋"/>
                <w:color w:val="000000"/>
                <w:sz w:val="21"/>
                <w:szCs w:val="21"/>
              </w:rPr>
              <w:t>人次，配偶告知及检测达9</w:t>
            </w:r>
            <w:r>
              <w:rPr>
                <w:rFonts w:hint="eastAsia" w:ascii="仿宋" w:hAnsi="仿宋" w:eastAsia="仿宋" w:cs="仿宋"/>
                <w:color w:val="000000"/>
                <w:sz w:val="21"/>
                <w:szCs w:val="21"/>
                <w:lang w:val="en-US" w:eastAsia="zh-CN"/>
              </w:rPr>
              <w:t>3.6</w:t>
            </w:r>
            <w:r>
              <w:rPr>
                <w:rFonts w:hint="eastAsia" w:ascii="仿宋" w:hAnsi="仿宋" w:eastAsia="仿宋" w:cs="仿宋"/>
                <w:color w:val="000000"/>
                <w:sz w:val="21"/>
                <w:szCs w:val="21"/>
              </w:rPr>
              <w:t>%，抗病毒治疗</w:t>
            </w:r>
            <w:r>
              <w:rPr>
                <w:rFonts w:hint="eastAsia" w:ascii="仿宋" w:hAnsi="仿宋" w:eastAsia="仿宋" w:cs="仿宋"/>
                <w:color w:val="000000"/>
                <w:sz w:val="21"/>
                <w:szCs w:val="21"/>
                <w:lang w:val="en-US" w:eastAsia="zh-CN"/>
              </w:rPr>
              <w:t>795</w:t>
            </w:r>
            <w:r>
              <w:rPr>
                <w:rFonts w:hint="eastAsia" w:ascii="仿宋" w:hAnsi="仿宋" w:eastAsia="仿宋" w:cs="仿宋"/>
                <w:color w:val="000000"/>
                <w:sz w:val="21"/>
                <w:szCs w:val="21"/>
              </w:rPr>
              <w:t>人</w:t>
            </w:r>
            <w:r>
              <w:rPr>
                <w:rFonts w:hint="eastAsia" w:ascii="仿宋" w:hAnsi="仿宋" w:eastAsia="仿宋" w:cs="仿宋"/>
                <w:color w:val="000000"/>
                <w:sz w:val="21"/>
                <w:szCs w:val="21"/>
                <w:lang w:eastAsia="zh-CN"/>
              </w:rPr>
              <w:t>。</w:t>
            </w:r>
          </w:p>
        </w:tc>
      </w:tr>
      <w:tr>
        <w:tblPrEx>
          <w:tblCellMar>
            <w:top w:w="0" w:type="dxa"/>
            <w:left w:w="108" w:type="dxa"/>
            <w:bottom w:w="0" w:type="dxa"/>
            <w:right w:w="108" w:type="dxa"/>
          </w:tblCellMar>
        </w:tblPrEx>
        <w:trPr>
          <w:gridAfter w:val="1"/>
          <w:wAfter w:w="119" w:type="pct"/>
          <w:trHeight w:val="233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472"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7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部门、乡镇/街办参与艾滋病防治</w:t>
            </w:r>
          </w:p>
        </w:tc>
        <w:tc>
          <w:tcPr>
            <w:tcW w:w="137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开展宣传，干预，动员检测，追踪失访及未治疗感染者参与治疗，掌握</w:t>
            </w:r>
            <w:r>
              <w:rPr>
                <w:rFonts w:hint="eastAsia" w:ascii="仿宋" w:hAnsi="仿宋" w:eastAsia="仿宋" w:cs="仿宋"/>
                <w:color w:val="000000"/>
                <w:sz w:val="21"/>
                <w:szCs w:val="21"/>
                <w:lang w:val="en-US" w:eastAsia="zh-CN"/>
              </w:rPr>
              <w:t>感染</w:t>
            </w:r>
            <w:r>
              <w:rPr>
                <w:rFonts w:hint="eastAsia" w:ascii="仿宋" w:hAnsi="仿宋" w:eastAsia="仿宋" w:cs="仿宋"/>
                <w:color w:val="000000"/>
                <w:sz w:val="21"/>
                <w:szCs w:val="21"/>
              </w:rPr>
              <w:t>育龄妇女信息，随访管理、督导服药等</w:t>
            </w:r>
          </w:p>
        </w:tc>
        <w:tc>
          <w:tcPr>
            <w:tcW w:w="138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w:t>
            </w:r>
            <w:r>
              <w:rPr>
                <w:rFonts w:hint="eastAsia" w:ascii="仿宋" w:hAnsi="仿宋" w:eastAsia="仿宋" w:cs="仿宋"/>
                <w:color w:val="000000"/>
                <w:sz w:val="21"/>
                <w:szCs w:val="21"/>
              </w:rPr>
              <w:t>开展宣传，干预，动员检测</w:t>
            </w:r>
            <w:r>
              <w:rPr>
                <w:rFonts w:hint="eastAsia" w:ascii="仿宋" w:hAnsi="仿宋" w:eastAsia="仿宋" w:cs="仿宋"/>
                <w:color w:val="000000"/>
                <w:sz w:val="21"/>
                <w:szCs w:val="21"/>
                <w:lang w:val="en-US" w:eastAsia="zh-CN"/>
              </w:rPr>
              <w:t>等中大型活动13次</w:t>
            </w:r>
            <w:r>
              <w:rPr>
                <w:rFonts w:hint="eastAsia" w:ascii="仿宋" w:hAnsi="仿宋" w:eastAsia="仿宋" w:cs="仿宋"/>
                <w:color w:val="000000"/>
                <w:sz w:val="21"/>
                <w:szCs w:val="21"/>
              </w:rPr>
              <w:t>，追踪失访及未治疗感染者参与治疗</w:t>
            </w:r>
            <w:r>
              <w:rPr>
                <w:rFonts w:hint="eastAsia" w:ascii="仿宋" w:hAnsi="仿宋" w:eastAsia="仿宋" w:cs="仿宋"/>
                <w:color w:val="000000"/>
                <w:sz w:val="21"/>
                <w:szCs w:val="21"/>
                <w:lang w:val="en-US" w:eastAsia="zh-CN"/>
              </w:rPr>
              <w:t>382人次</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及时</w:t>
            </w:r>
            <w:r>
              <w:rPr>
                <w:rFonts w:hint="eastAsia" w:ascii="仿宋" w:hAnsi="仿宋" w:eastAsia="仿宋" w:cs="仿宋"/>
                <w:color w:val="000000"/>
                <w:sz w:val="21"/>
                <w:szCs w:val="21"/>
              </w:rPr>
              <w:t>掌握</w:t>
            </w:r>
            <w:r>
              <w:rPr>
                <w:rFonts w:hint="eastAsia" w:ascii="仿宋" w:hAnsi="仿宋" w:eastAsia="仿宋" w:cs="仿宋"/>
                <w:color w:val="000000"/>
                <w:sz w:val="21"/>
                <w:szCs w:val="21"/>
                <w:lang w:val="en-US" w:eastAsia="zh-CN"/>
              </w:rPr>
              <w:t>感染</w:t>
            </w:r>
            <w:r>
              <w:rPr>
                <w:rFonts w:hint="eastAsia" w:ascii="仿宋" w:hAnsi="仿宋" w:eastAsia="仿宋" w:cs="仿宋"/>
                <w:color w:val="000000"/>
                <w:sz w:val="21"/>
                <w:szCs w:val="21"/>
              </w:rPr>
              <w:t>育龄妇女信息</w:t>
            </w:r>
            <w:r>
              <w:rPr>
                <w:rFonts w:hint="eastAsia" w:ascii="仿宋" w:hAnsi="仿宋" w:eastAsia="仿宋" w:cs="仿宋"/>
                <w:color w:val="000000"/>
                <w:sz w:val="21"/>
                <w:szCs w:val="21"/>
                <w:lang w:val="en-US" w:eastAsia="zh-CN"/>
              </w:rPr>
              <w:t>8人</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经动员终止妊娠8人，规范</w:t>
            </w:r>
            <w:r>
              <w:rPr>
                <w:rFonts w:hint="eastAsia" w:ascii="仿宋" w:hAnsi="仿宋" w:eastAsia="仿宋" w:cs="仿宋"/>
                <w:color w:val="000000"/>
                <w:sz w:val="21"/>
                <w:szCs w:val="21"/>
              </w:rPr>
              <w:t>随访管理、督导服药</w:t>
            </w:r>
            <w:r>
              <w:rPr>
                <w:rFonts w:hint="eastAsia" w:ascii="仿宋" w:hAnsi="仿宋" w:eastAsia="仿宋" w:cs="仿宋"/>
                <w:color w:val="000000"/>
                <w:sz w:val="21"/>
                <w:szCs w:val="21"/>
                <w:lang w:val="en-US" w:eastAsia="zh-CN"/>
              </w:rPr>
              <w:t>5人</w:t>
            </w:r>
            <w:r>
              <w:rPr>
                <w:rFonts w:hint="eastAsia" w:ascii="仿宋" w:hAnsi="仿宋" w:eastAsia="仿宋" w:cs="仿宋"/>
                <w:color w:val="000000"/>
                <w:sz w:val="21"/>
                <w:szCs w:val="21"/>
              </w:rPr>
              <w:t>。</w:t>
            </w:r>
          </w:p>
        </w:tc>
      </w:tr>
      <w:tr>
        <w:tblPrEx>
          <w:tblCellMar>
            <w:top w:w="0" w:type="dxa"/>
            <w:left w:w="108" w:type="dxa"/>
            <w:bottom w:w="0" w:type="dxa"/>
            <w:right w:w="108" w:type="dxa"/>
          </w:tblCellMar>
        </w:tblPrEx>
        <w:trPr>
          <w:gridAfter w:val="1"/>
          <w:wAfter w:w="119" w:type="pct"/>
          <w:trHeight w:val="70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47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质量指标</w:t>
            </w:r>
          </w:p>
          <w:p>
            <w:pPr>
              <w:widowControl/>
              <w:spacing w:line="320" w:lineRule="exact"/>
              <w:jc w:val="both"/>
              <w:textAlignment w:val="bottom"/>
              <w:rPr>
                <w:rFonts w:hint="eastAsia" w:ascii="仿宋" w:hAnsi="仿宋" w:eastAsia="仿宋" w:cs="仿宋"/>
                <w:color w:val="000000"/>
                <w:kern w:val="0"/>
                <w:sz w:val="21"/>
                <w:szCs w:val="21"/>
                <w:lang w:bidi="ar"/>
              </w:rPr>
            </w:pPr>
          </w:p>
        </w:tc>
        <w:tc>
          <w:tcPr>
            <w:tcW w:w="7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吸毒人员美沙酮维持治疗</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p>
        </w:tc>
        <w:tc>
          <w:tcPr>
            <w:tcW w:w="13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全年维持治疗率80%以上</w:t>
            </w:r>
          </w:p>
        </w:tc>
        <w:tc>
          <w:tcPr>
            <w:tcW w:w="138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全年维持治疗率</w:t>
            </w:r>
            <w:r>
              <w:rPr>
                <w:rFonts w:hint="eastAsia" w:ascii="仿宋" w:hAnsi="仿宋" w:eastAsia="仿宋" w:cs="仿宋"/>
                <w:color w:val="000000"/>
                <w:sz w:val="21"/>
                <w:szCs w:val="21"/>
                <w:lang w:val="en-US" w:eastAsia="zh-CN"/>
              </w:rPr>
              <w:t>87.72%</w:t>
            </w:r>
          </w:p>
        </w:tc>
      </w:tr>
      <w:tr>
        <w:tblPrEx>
          <w:tblCellMar>
            <w:top w:w="0" w:type="dxa"/>
            <w:left w:w="108" w:type="dxa"/>
            <w:bottom w:w="0" w:type="dxa"/>
            <w:right w:w="108" w:type="dxa"/>
          </w:tblCellMar>
        </w:tblPrEx>
        <w:trPr>
          <w:gridAfter w:val="1"/>
          <w:wAfter w:w="119" w:type="pct"/>
          <w:trHeight w:val="286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472" w:type="pct"/>
            <w:vMerge w:val="continue"/>
            <w:tcBorders>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77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落实各项防控措施</w:t>
            </w:r>
          </w:p>
        </w:tc>
        <w:tc>
          <w:tcPr>
            <w:tcW w:w="137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扩大检测新发现艾滋病感染者/病人不低于90例，随访检测比例、配偶检测率、结核筛查率达到上级考核要，通过实施患者随访管理、动员，使艾滋病患者抗病毒治疗率达到95%以上，治疗有效率达到94%</w:t>
            </w:r>
          </w:p>
        </w:tc>
        <w:tc>
          <w:tcPr>
            <w:tcW w:w="1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扩大检测新发现艾滋病感染者/病人</w:t>
            </w:r>
            <w:r>
              <w:rPr>
                <w:rFonts w:hint="eastAsia" w:ascii="仿宋" w:hAnsi="仿宋" w:eastAsia="仿宋" w:cs="仿宋"/>
                <w:color w:val="000000"/>
                <w:sz w:val="21"/>
                <w:szCs w:val="21"/>
                <w:lang w:val="en-US" w:eastAsia="zh-CN"/>
              </w:rPr>
              <w:t>86</w:t>
            </w:r>
            <w:r>
              <w:rPr>
                <w:rFonts w:hint="eastAsia" w:ascii="仿宋" w:hAnsi="仿宋" w:eastAsia="仿宋" w:cs="仿宋"/>
                <w:color w:val="000000"/>
                <w:sz w:val="21"/>
                <w:szCs w:val="21"/>
              </w:rPr>
              <w:t>例</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随访检测比例、配偶检测率、结核筛查率</w:t>
            </w:r>
            <w:r>
              <w:rPr>
                <w:rFonts w:hint="eastAsia" w:ascii="仿宋" w:hAnsi="仿宋" w:eastAsia="仿宋" w:cs="仿宋"/>
                <w:color w:val="000000"/>
                <w:sz w:val="21"/>
                <w:szCs w:val="21"/>
                <w:lang w:val="en-US" w:eastAsia="zh-CN"/>
              </w:rPr>
              <w:t>全面</w:t>
            </w:r>
            <w:r>
              <w:rPr>
                <w:rFonts w:hint="eastAsia" w:ascii="仿宋" w:hAnsi="仿宋" w:eastAsia="仿宋" w:cs="仿宋"/>
                <w:color w:val="000000"/>
                <w:sz w:val="21"/>
                <w:szCs w:val="21"/>
              </w:rPr>
              <w:t>达到上级考核要</w:t>
            </w:r>
            <w:r>
              <w:rPr>
                <w:rFonts w:hint="eastAsia" w:ascii="仿宋" w:hAnsi="仿宋" w:eastAsia="仿宋" w:cs="仿宋"/>
                <w:color w:val="000000"/>
                <w:sz w:val="21"/>
                <w:szCs w:val="21"/>
                <w:lang w:val="en-US" w:eastAsia="zh-CN"/>
              </w:rPr>
              <w:t>求</w:t>
            </w:r>
            <w:r>
              <w:rPr>
                <w:rFonts w:hint="eastAsia" w:ascii="仿宋" w:hAnsi="仿宋" w:eastAsia="仿宋" w:cs="仿宋"/>
                <w:color w:val="000000"/>
                <w:sz w:val="21"/>
                <w:szCs w:val="21"/>
              </w:rPr>
              <w:t>，通过实施患者随访管理、动员，使艾滋病患者抗病毒治疗率达到9</w:t>
            </w:r>
            <w:r>
              <w:rPr>
                <w:rFonts w:hint="eastAsia" w:ascii="仿宋" w:hAnsi="仿宋" w:eastAsia="仿宋" w:cs="仿宋"/>
                <w:color w:val="000000"/>
                <w:sz w:val="21"/>
                <w:szCs w:val="21"/>
                <w:lang w:val="en-US" w:eastAsia="zh-CN"/>
              </w:rPr>
              <w:t>6.13</w:t>
            </w:r>
            <w:r>
              <w:rPr>
                <w:rFonts w:hint="eastAsia" w:ascii="仿宋" w:hAnsi="仿宋" w:eastAsia="仿宋" w:cs="仿宋"/>
                <w:color w:val="000000"/>
                <w:sz w:val="21"/>
                <w:szCs w:val="21"/>
              </w:rPr>
              <w:t>%，治疗有效率达到9</w:t>
            </w:r>
            <w:r>
              <w:rPr>
                <w:rFonts w:hint="eastAsia" w:ascii="仿宋" w:hAnsi="仿宋" w:eastAsia="仿宋" w:cs="仿宋"/>
                <w:color w:val="000000"/>
                <w:sz w:val="21"/>
                <w:szCs w:val="21"/>
                <w:lang w:val="en-US" w:eastAsia="zh-CN"/>
              </w:rPr>
              <w:t>6.88</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w:t>
            </w:r>
          </w:p>
        </w:tc>
      </w:tr>
      <w:tr>
        <w:tblPrEx>
          <w:tblCellMar>
            <w:top w:w="0" w:type="dxa"/>
            <w:left w:w="108" w:type="dxa"/>
            <w:bottom w:w="0" w:type="dxa"/>
            <w:right w:w="108" w:type="dxa"/>
          </w:tblCellMar>
        </w:tblPrEx>
        <w:trPr>
          <w:gridAfter w:val="1"/>
          <w:wAfter w:w="119" w:type="pct"/>
          <w:trHeight w:val="756"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472"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7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部门、乡镇/街办参与艾滋病防治</w:t>
            </w:r>
          </w:p>
        </w:tc>
        <w:tc>
          <w:tcPr>
            <w:tcW w:w="137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艾滋病防治知识知晓率90%以上，常住人口HIV筛查率25%以上，治疗覆盖率90%以上。</w:t>
            </w:r>
          </w:p>
        </w:tc>
        <w:tc>
          <w:tcPr>
            <w:tcW w:w="138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艾滋病防治知识知晓率9</w:t>
            </w:r>
            <w:r>
              <w:rPr>
                <w:rFonts w:hint="eastAsia" w:ascii="仿宋" w:hAnsi="仿宋" w:eastAsia="仿宋" w:cs="仿宋"/>
                <w:color w:val="000000"/>
                <w:sz w:val="21"/>
                <w:szCs w:val="21"/>
                <w:lang w:val="en-US" w:eastAsia="zh-CN"/>
              </w:rPr>
              <w:t>4.3</w:t>
            </w:r>
            <w:r>
              <w:rPr>
                <w:rFonts w:hint="eastAsia" w:ascii="仿宋" w:hAnsi="仿宋" w:eastAsia="仿宋" w:cs="仿宋"/>
                <w:color w:val="000000"/>
                <w:sz w:val="21"/>
                <w:szCs w:val="21"/>
              </w:rPr>
              <w:t>%以上，常住人口HIV筛查率</w:t>
            </w:r>
            <w:r>
              <w:rPr>
                <w:rFonts w:hint="eastAsia" w:ascii="仿宋" w:hAnsi="仿宋" w:eastAsia="仿宋" w:cs="仿宋"/>
                <w:color w:val="000000"/>
                <w:sz w:val="21"/>
                <w:szCs w:val="21"/>
                <w:lang w:val="en-US" w:eastAsia="zh-CN"/>
              </w:rPr>
              <w:t>37.28</w:t>
            </w:r>
            <w:r>
              <w:rPr>
                <w:rFonts w:hint="eastAsia" w:ascii="仿宋" w:hAnsi="仿宋" w:eastAsia="仿宋" w:cs="仿宋"/>
                <w:color w:val="000000"/>
                <w:sz w:val="21"/>
                <w:szCs w:val="21"/>
              </w:rPr>
              <w:t>%，治疗覆盖率9</w:t>
            </w:r>
            <w:r>
              <w:rPr>
                <w:rFonts w:hint="eastAsia" w:ascii="仿宋" w:hAnsi="仿宋" w:eastAsia="仿宋" w:cs="仿宋"/>
                <w:color w:val="000000"/>
                <w:sz w:val="21"/>
                <w:szCs w:val="21"/>
                <w:lang w:val="en-US" w:eastAsia="zh-CN"/>
              </w:rPr>
              <w:t>6.13</w:t>
            </w:r>
            <w:r>
              <w:rPr>
                <w:rFonts w:hint="eastAsia" w:ascii="仿宋" w:hAnsi="仿宋" w:eastAsia="仿宋" w:cs="仿宋"/>
                <w:color w:val="000000"/>
                <w:sz w:val="21"/>
                <w:szCs w:val="21"/>
              </w:rPr>
              <w:t>%。</w:t>
            </w:r>
          </w:p>
        </w:tc>
      </w:tr>
      <w:tr>
        <w:tblPrEx>
          <w:tblCellMar>
            <w:top w:w="0" w:type="dxa"/>
            <w:left w:w="108" w:type="dxa"/>
            <w:bottom w:w="0" w:type="dxa"/>
            <w:right w:w="108" w:type="dxa"/>
          </w:tblCellMar>
        </w:tblPrEx>
        <w:trPr>
          <w:gridAfter w:val="1"/>
          <w:wAfter w:w="119" w:type="pct"/>
          <w:trHeight w:val="48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时效指标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按照2022年艾滋病综合防治工作计划开展工作</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02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年1月至202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年12月落实工作措施，12月底各项考核指标任务达到上级要求</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12月底各项考核指标任务</w:t>
            </w:r>
            <w:r>
              <w:rPr>
                <w:rFonts w:hint="eastAsia" w:ascii="仿宋" w:hAnsi="仿宋" w:eastAsia="仿宋" w:cs="仿宋"/>
                <w:color w:val="000000"/>
                <w:sz w:val="21"/>
                <w:szCs w:val="21"/>
                <w:lang w:val="en-US" w:eastAsia="zh-CN"/>
              </w:rPr>
              <w:t>全面</w:t>
            </w:r>
            <w:r>
              <w:rPr>
                <w:rFonts w:hint="eastAsia" w:ascii="仿宋" w:hAnsi="仿宋" w:eastAsia="仿宋" w:cs="仿宋"/>
                <w:color w:val="000000"/>
                <w:sz w:val="21"/>
                <w:szCs w:val="21"/>
              </w:rPr>
              <w:t>达到上级要求</w:t>
            </w:r>
          </w:p>
        </w:tc>
      </w:tr>
      <w:tr>
        <w:tblPrEx>
          <w:tblCellMar>
            <w:top w:w="0" w:type="dxa"/>
            <w:left w:w="108" w:type="dxa"/>
            <w:bottom w:w="0" w:type="dxa"/>
            <w:right w:w="108" w:type="dxa"/>
          </w:tblCellMar>
        </w:tblPrEx>
        <w:trPr>
          <w:gridAfter w:val="1"/>
          <w:wAfter w:w="119" w:type="pct"/>
          <w:trHeight w:val="480"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成本指标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吸毒人员美沙酮维持治疗维持艾滋病病人抗病毒治疗</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55.00万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1.1万元</w:t>
            </w:r>
          </w:p>
        </w:tc>
      </w:tr>
      <w:tr>
        <w:tblPrEx>
          <w:tblCellMar>
            <w:top w:w="0" w:type="dxa"/>
            <w:left w:w="108" w:type="dxa"/>
            <w:bottom w:w="0" w:type="dxa"/>
            <w:right w:w="108" w:type="dxa"/>
          </w:tblCellMar>
        </w:tblPrEx>
        <w:trPr>
          <w:gridAfter w:val="1"/>
          <w:wAfter w:w="119" w:type="pct"/>
          <w:trHeight w:val="2815" w:hRule="atLeast"/>
        </w:trPr>
        <w:tc>
          <w:tcPr>
            <w:tcW w:w="47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社会效益指标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遏制艾滋病传播流行，降低社会危害</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通过持续开展工作，遏制艾滋病流行，降低艾滋病社会危害，减少艾滋病流行所致的经济负担、社会负担，提升人民群众健康水平，保持经济社会稳定发展</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通过持续开展工作，艾滋病流行</w:t>
            </w:r>
            <w:r>
              <w:rPr>
                <w:rFonts w:hint="eastAsia" w:ascii="仿宋" w:hAnsi="仿宋" w:eastAsia="仿宋" w:cs="仿宋"/>
                <w:color w:val="000000"/>
                <w:sz w:val="21"/>
                <w:szCs w:val="21"/>
                <w:lang w:val="en-US" w:eastAsia="zh-CN"/>
              </w:rPr>
              <w:t>得到遏制并处于低流行状态</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我区新发报告感染者较2021年降低27.2%，切实</w:t>
            </w:r>
            <w:r>
              <w:rPr>
                <w:rFonts w:hint="eastAsia" w:ascii="仿宋" w:hAnsi="仿宋" w:eastAsia="仿宋" w:cs="仿宋"/>
                <w:color w:val="000000"/>
                <w:sz w:val="21"/>
                <w:szCs w:val="21"/>
              </w:rPr>
              <w:t>降低艾滋病社会危害，减少艾滋病流行所致的经济负担、社会负担，提升</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人民群众健康水平，保持</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经济社会稳定发展</w:t>
            </w:r>
            <w:r>
              <w:rPr>
                <w:rFonts w:hint="eastAsia" w:ascii="仿宋" w:hAnsi="仿宋" w:eastAsia="仿宋" w:cs="仿宋"/>
                <w:color w:val="000000"/>
                <w:sz w:val="21"/>
                <w:szCs w:val="21"/>
                <w:lang w:eastAsia="zh-CN"/>
              </w:rPr>
              <w:t>。</w:t>
            </w:r>
          </w:p>
        </w:tc>
      </w:tr>
      <w:tr>
        <w:tblPrEx>
          <w:tblCellMar>
            <w:top w:w="0" w:type="dxa"/>
            <w:left w:w="108" w:type="dxa"/>
            <w:bottom w:w="0" w:type="dxa"/>
            <w:right w:w="108" w:type="dxa"/>
          </w:tblCellMar>
        </w:tblPrEx>
        <w:trPr>
          <w:gridAfter w:val="1"/>
          <w:wAfter w:w="119" w:type="pct"/>
          <w:trHeight w:val="1400" w:hRule="atLeast"/>
        </w:trPr>
        <w:tc>
          <w:tcPr>
            <w:tcW w:w="47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满意度指标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服务对象满意度指标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高危人群满意度</w:t>
            </w:r>
            <w:r>
              <w:rPr>
                <w:rFonts w:hint="eastAsia" w:ascii="仿宋" w:hAnsi="仿宋" w:eastAsia="仿宋" w:cs="仿宋"/>
                <w:color w:val="000000"/>
                <w:sz w:val="21"/>
                <w:szCs w:val="21"/>
                <w:lang w:val="en-US" w:eastAsia="zh-CN"/>
              </w:rPr>
              <w:t>,艾滋病患者满意度</w:t>
            </w:r>
          </w:p>
        </w:tc>
        <w:tc>
          <w:tcPr>
            <w:tcW w:w="1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抽样调查满意度达到85%及以上</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抽样调查满意度达到</w:t>
            </w:r>
            <w:r>
              <w:rPr>
                <w:rFonts w:hint="eastAsia" w:ascii="仿宋" w:hAnsi="仿宋" w:eastAsia="仿宋" w:cs="仿宋"/>
                <w:color w:val="000000"/>
                <w:sz w:val="21"/>
                <w:szCs w:val="21"/>
                <w:lang w:val="en-US" w:eastAsia="zh-CN"/>
              </w:rPr>
              <w:t>88.37</w:t>
            </w:r>
            <w:r>
              <w:rPr>
                <w:rFonts w:hint="eastAsia" w:ascii="仿宋" w:hAnsi="仿宋" w:eastAsia="仿宋" w:cs="仿宋"/>
                <w:color w:val="000000"/>
                <w:sz w:val="21"/>
                <w:szCs w:val="21"/>
              </w:rPr>
              <w:t>%</w:t>
            </w:r>
          </w:p>
        </w:tc>
      </w:tr>
    </w:tbl>
    <w:p/>
    <w:p/>
    <w:p>
      <w:pPr>
        <w:tabs>
          <w:tab w:val="left" w:pos="1440"/>
        </w:tabs>
        <w:spacing w:line="560" w:lineRule="exact"/>
        <w:rPr>
          <w:rFonts w:ascii="宋体" w:hAnsi="宋体" w:eastAsia="宋体"/>
          <w:sz w:val="30"/>
          <w:szCs w:val="30"/>
        </w:rPr>
      </w:pP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w:t>
      </w: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8"/>
        <w:spacing w:line="560" w:lineRule="exact"/>
        <w:jc w:val="center"/>
        <w:rPr>
          <w:rFonts w:hint="eastAsia" w:ascii="仿宋_GB2312" w:hAnsi="宋体" w:eastAsia="仿宋_GB2312"/>
          <w:color w:val="auto"/>
          <w:kern w:val="2"/>
          <w:sz w:val="32"/>
          <w:szCs w:val="32"/>
          <w:lang w:val="en-US" w:eastAsia="zh-CN"/>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医疗服务与保障能力提升疾病预防控制机构</w:t>
      </w:r>
    </w:p>
    <w:p>
      <w:pPr>
        <w:pStyle w:val="8"/>
        <w:spacing w:line="560" w:lineRule="exact"/>
        <w:jc w:val="center"/>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lang w:val="en-US" w:eastAsia="zh-CN"/>
        </w:rPr>
        <w:t>能力建设中央资金</w:t>
      </w:r>
      <w:r>
        <w:rPr>
          <w:rFonts w:hint="eastAsia" w:ascii="仿宋_GB2312" w:hAnsi="宋体" w:eastAsia="仿宋_GB2312"/>
          <w:color w:val="auto"/>
          <w:kern w:val="2"/>
          <w:sz w:val="32"/>
          <w:szCs w:val="32"/>
        </w:rPr>
        <w:t>）</w:t>
      </w:r>
    </w:p>
    <w:p>
      <w:pPr>
        <w:pStyle w:val="8"/>
        <w:numPr>
          <w:ilvl w:val="0"/>
          <w:numId w:val="2"/>
        </w:numPr>
        <w:spacing w:line="560" w:lineRule="exact"/>
        <w:ind w:firstLine="640" w:firstLineChars="200"/>
        <w:jc w:val="both"/>
        <w:rPr>
          <w:rFonts w:hint="eastAsia" w:ascii="黑体" w:hAnsi="宋体" w:eastAsia="黑体"/>
          <w:sz w:val="32"/>
          <w:szCs w:val="32"/>
          <w:lang w:val="zh-CN"/>
        </w:rPr>
      </w:pPr>
      <w:r>
        <w:rPr>
          <w:rFonts w:hint="eastAsia" w:ascii="黑体" w:hAnsi="宋体" w:eastAsia="黑体"/>
          <w:sz w:val="32"/>
          <w:szCs w:val="32"/>
          <w:lang w:val="zh-CN"/>
        </w:rPr>
        <w:t>项目概况</w:t>
      </w:r>
    </w:p>
    <w:p>
      <w:pPr>
        <w:pStyle w:val="8"/>
        <w:numPr>
          <w:ilvl w:val="0"/>
          <w:numId w:val="0"/>
        </w:numPr>
        <w:spacing w:line="560" w:lineRule="exact"/>
        <w:ind w:firstLine="562" w:firstLineChars="200"/>
        <w:jc w:val="both"/>
        <w:rPr>
          <w:rFonts w:hint="eastAsia" w:ascii="楷体_GB2312" w:hAnsi="宋体" w:eastAsia="楷体_GB2312"/>
          <w:b/>
          <w:lang w:val="zh-CN"/>
        </w:rPr>
      </w:pPr>
      <w:r>
        <w:rPr>
          <w:rFonts w:hint="eastAsia" w:ascii="楷体_GB2312" w:hAnsi="宋体" w:eastAsia="楷体_GB2312"/>
          <w:b/>
          <w:lang w:val="zh-CN"/>
        </w:rPr>
        <w:t>（一）项目资金申报及批复情况。</w:t>
      </w:r>
    </w:p>
    <w:p>
      <w:pPr>
        <w:pStyle w:val="8"/>
        <w:spacing w:line="560" w:lineRule="exact"/>
        <w:jc w:val="left"/>
        <w:rPr>
          <w:rFonts w:hint="eastAsia" w:ascii="仿宋" w:hAnsi="仿宋" w:eastAsia="仿宋" w:cs="仿宋"/>
          <w:sz w:val="32"/>
          <w:szCs w:val="32"/>
          <w:lang w:val="zh-CN"/>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攀枝花市财政局 </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攀枝花市卫生健康委员会</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关于下达2022 年医疗服务与保障能力提升（医疗卫生机构能力建设）中央补助资金的通知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 xml:space="preserve"> 攀财资社〔2022〕83号</w:t>
      </w:r>
      <w:r>
        <w:rPr>
          <w:rFonts w:hint="eastAsia" w:ascii="仿宋" w:hAnsi="仿宋" w:eastAsia="仿宋" w:cs="仿宋"/>
          <w:i w:val="0"/>
          <w:iCs w:val="0"/>
          <w:caps w:val="0"/>
          <w:color w:val="000000"/>
          <w:spacing w:val="0"/>
          <w:sz w:val="32"/>
          <w:szCs w:val="32"/>
          <w:lang w:val="en-US" w:eastAsia="zh-CN"/>
        </w:rPr>
        <w:t>文安排</w:t>
      </w:r>
      <w:r>
        <w:rPr>
          <w:rFonts w:hint="eastAsia" w:ascii="仿宋" w:hAnsi="仿宋" w:eastAsia="仿宋" w:cs="仿宋"/>
          <w:i w:val="0"/>
          <w:iCs w:val="0"/>
          <w:caps w:val="0"/>
          <w:color w:val="000000"/>
          <w:spacing w:val="0"/>
          <w:sz w:val="32"/>
          <w:szCs w:val="32"/>
        </w:rPr>
        <w:t>2022 年医疗服务与保障能力提升（</w:t>
      </w:r>
      <w:r>
        <w:rPr>
          <w:rFonts w:hint="eastAsia" w:ascii="仿宋_GB2312" w:hAnsi="宋体" w:eastAsia="仿宋_GB2312"/>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）中央补助资金</w:t>
      </w:r>
      <w:r>
        <w:rPr>
          <w:rFonts w:hint="eastAsia" w:ascii="仿宋" w:hAnsi="仿宋" w:eastAsia="仿宋" w:cs="仿宋"/>
          <w:i w:val="0"/>
          <w:iCs w:val="0"/>
          <w:caps w:val="0"/>
          <w:color w:val="000000"/>
          <w:spacing w:val="0"/>
          <w:sz w:val="32"/>
          <w:szCs w:val="32"/>
          <w:lang w:val="en-US" w:eastAsia="zh-CN"/>
        </w:rPr>
        <w:t>200.00万元。</w:t>
      </w:r>
    </w:p>
    <w:p>
      <w:pPr>
        <w:numPr>
          <w:ilvl w:val="0"/>
          <w:numId w:val="3"/>
        </w:numPr>
        <w:adjustRightInd w:val="0"/>
        <w:snapToGrid w:val="0"/>
        <w:spacing w:line="560" w:lineRule="exact"/>
        <w:ind w:left="-8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960" w:firstLineChars="300"/>
        <w:rPr>
          <w:rFonts w:hint="eastAsia" w:ascii="仿宋" w:hAnsi="仿宋" w:eastAsia="仿宋" w:cs="仿宋"/>
          <w:b w:val="0"/>
          <w:bCs/>
          <w:sz w:val="32"/>
          <w:szCs w:val="32"/>
          <w:lang w:val="zh-CN"/>
        </w:rPr>
      </w:pPr>
      <w:r>
        <w:rPr>
          <w:rFonts w:hint="eastAsia" w:ascii="仿宋" w:hAnsi="仿宋" w:eastAsia="仿宋" w:cs="仿宋"/>
          <w:b w:val="0"/>
          <w:bCs/>
          <w:sz w:val="32"/>
          <w:szCs w:val="32"/>
          <w:lang w:val="en-US" w:eastAsia="zh-CN"/>
        </w:rPr>
        <w:t>项目实施总体目标是进一步提升县级疾控机构能力建设，标准为每个县级疾控机构 200 万元。主要用于实验室能力建设、信息化建设和紧缺人才培训等。各项项目工作于 2023 年 6 月底前完成。</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2022年10月仁和区疾病预防控制中心收到财政下达</w:t>
      </w:r>
      <w:r>
        <w:rPr>
          <w:rFonts w:hint="eastAsia" w:ascii="仿宋" w:hAnsi="仿宋" w:eastAsia="仿宋" w:cs="仿宋"/>
          <w:i w:val="0"/>
          <w:iCs w:val="0"/>
          <w:caps w:val="0"/>
          <w:color w:val="000000"/>
          <w:spacing w:val="0"/>
          <w:sz w:val="32"/>
          <w:szCs w:val="32"/>
        </w:rPr>
        <w:t>2022 年医疗服务与保障能力提升（</w:t>
      </w:r>
      <w:r>
        <w:rPr>
          <w:rFonts w:hint="eastAsia" w:ascii="仿宋" w:hAnsi="仿宋" w:eastAsia="仿宋" w:cs="仿宋"/>
          <w:color w:val="auto"/>
          <w:kern w:val="2"/>
          <w:sz w:val="32"/>
          <w:szCs w:val="32"/>
          <w:lang w:val="en-US" w:eastAsia="zh-CN"/>
        </w:rPr>
        <w:t>疾病预防控制机构能力建设</w:t>
      </w:r>
      <w:r>
        <w:rPr>
          <w:rFonts w:hint="eastAsia" w:ascii="仿宋" w:hAnsi="仿宋" w:eastAsia="仿宋" w:cs="仿宋"/>
          <w:i w:val="0"/>
          <w:iCs w:val="0"/>
          <w:caps w:val="0"/>
          <w:color w:val="000000"/>
          <w:spacing w:val="0"/>
          <w:sz w:val="32"/>
          <w:szCs w:val="32"/>
        </w:rPr>
        <w:t>）中央补助资金</w:t>
      </w:r>
      <w:r>
        <w:rPr>
          <w:rFonts w:hint="eastAsia" w:ascii="仿宋" w:hAnsi="仿宋" w:eastAsia="仿宋" w:cs="仿宋"/>
          <w:i w:val="0"/>
          <w:iCs w:val="0"/>
          <w:caps w:val="0"/>
          <w:color w:val="000000"/>
          <w:spacing w:val="0"/>
          <w:sz w:val="32"/>
          <w:szCs w:val="32"/>
          <w:lang w:val="en-US" w:eastAsia="zh-CN"/>
        </w:rPr>
        <w:t>200万元，资金到位率100%。</w:t>
      </w:r>
    </w:p>
    <w:p>
      <w:pPr>
        <w:numPr>
          <w:ilvl w:val="0"/>
          <w:numId w:val="4"/>
        </w:num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截止2022年12月项目资金暂未支付，2022年完成了项目申报及项目采购前期招标流程工作，项目资金待采购完成并验收后支付。资金结转2023年继续使用</w:t>
      </w:r>
      <w:r>
        <w:rPr>
          <w:rFonts w:hint="eastAsia" w:ascii="仿宋" w:hAnsi="仿宋" w:eastAsia="仿宋" w:cs="仿宋"/>
          <w:sz w:val="32"/>
          <w:szCs w:val="32"/>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按照上级主管部门制定的</w:t>
      </w:r>
      <w:r>
        <w:rPr>
          <w:rFonts w:hint="eastAsia" w:ascii="仿宋" w:hAnsi="仿宋" w:eastAsia="仿宋"/>
          <w:kern w:val="0"/>
          <w:sz w:val="32"/>
          <w:szCs w:val="32"/>
          <w:lang w:val="en-US" w:eastAsia="zh-CN"/>
        </w:rPr>
        <w:t>项目</w:t>
      </w:r>
      <w:r>
        <w:rPr>
          <w:rFonts w:ascii="仿宋" w:hAnsi="仿宋" w:eastAsia="仿宋"/>
          <w:kern w:val="0"/>
          <w:sz w:val="32"/>
          <w:szCs w:val="32"/>
        </w:rPr>
        <w:t>工作方案</w:t>
      </w:r>
      <w:r>
        <w:rPr>
          <w:rFonts w:hint="eastAsia" w:ascii="仿宋" w:hAnsi="仿宋" w:eastAsia="仿宋"/>
          <w:kern w:val="0"/>
          <w:sz w:val="32"/>
          <w:szCs w:val="32"/>
          <w:lang w:val="en-US" w:eastAsia="zh-CN"/>
        </w:rPr>
        <w:t>开展</w:t>
      </w:r>
      <w:r>
        <w:rPr>
          <w:rFonts w:ascii="仿宋" w:hAnsi="仿宋" w:eastAsia="仿宋"/>
          <w:kern w:val="0"/>
          <w:sz w:val="32"/>
          <w:szCs w:val="32"/>
        </w:rPr>
        <w:t>相关工作，</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color w:val="auto"/>
          <w:lang w:val="en-US" w:eastAsia="zh-CN"/>
        </w:rPr>
      </w:pPr>
      <w:r>
        <w:rPr>
          <w:rFonts w:hint="eastAsia" w:ascii="仿宋_GB2312" w:hAnsi="宋体"/>
          <w:color w:val="auto"/>
          <w:lang w:val="en-US" w:eastAsia="zh-CN"/>
        </w:rPr>
        <w:t>2022年6月能力提升信息化建设项目已完成项目方案并申报；2022年11月30日于“四川省政府采购网”发布采购公告；2022年12月12日正式开标，确定中标单位；2022年12月20日签订合同。项目计划于2023年6月底前完工。</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_GB2312" w:cs="仿宋_GB2312"/>
          <w:color w:val="auto"/>
          <w:sz w:val="32"/>
          <w:szCs w:val="32"/>
          <w:lang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按照2022年</w:t>
      </w:r>
      <w:r>
        <w:rPr>
          <w:rFonts w:hint="eastAsia" w:ascii="仿宋_GB2312" w:hAnsi="仿宋_GB2312" w:cs="仿宋_GB2312"/>
          <w:color w:val="auto"/>
          <w:sz w:val="32"/>
          <w:szCs w:val="32"/>
          <w:lang w:val="en-US" w:eastAsia="zh-CN"/>
        </w:rPr>
        <w:t>能力提升项目</w:t>
      </w:r>
      <w:r>
        <w:rPr>
          <w:rFonts w:hint="eastAsia" w:ascii="仿宋_GB2312" w:hAnsi="仿宋_GB2312" w:eastAsia="仿宋_GB2312" w:cs="仿宋_GB2312"/>
          <w:color w:val="auto"/>
          <w:sz w:val="32"/>
          <w:szCs w:val="32"/>
        </w:rPr>
        <w:t>工作计划开展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6月项目进行申报</w:t>
      </w:r>
      <w:r>
        <w:rPr>
          <w:rFonts w:hint="eastAsia" w:ascii="仿宋_GB2312" w:hAnsi="仿宋_GB2312" w:eastAsia="仿宋_GB2312" w:cs="仿宋_GB2312"/>
          <w:color w:val="auto"/>
          <w:sz w:val="32"/>
          <w:szCs w:val="32"/>
        </w:rPr>
        <w:t>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val="en-US" w:eastAsia="zh-CN"/>
        </w:rPr>
        <w:t>任务</w:t>
      </w:r>
      <w:r>
        <w:rPr>
          <w:rFonts w:hint="eastAsia" w:ascii="仿宋_GB2312" w:hAnsi="仿宋_GB2312" w:eastAsia="仿宋_GB2312" w:cs="仿宋_GB2312"/>
          <w:color w:val="auto"/>
          <w:sz w:val="32"/>
          <w:szCs w:val="32"/>
        </w:rPr>
        <w:t>，12月底各项指标任务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w:t>
      </w:r>
      <w:r>
        <w:rPr>
          <w:rFonts w:hint="eastAsia" w:ascii="仿宋_GB2312" w:hAnsi="仿宋_GB2312" w:cs="仿宋_GB2312"/>
          <w:color w:val="auto"/>
          <w:sz w:val="32"/>
          <w:szCs w:val="32"/>
          <w:lang w:val="en-US" w:eastAsia="zh-CN"/>
        </w:rPr>
        <w:t>工作任务</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r>
        <w:rPr>
          <w:rFonts w:hint="eastAsia" w:ascii="仿宋_GB2312" w:hAnsi="宋体"/>
          <w:color w:val="auto"/>
          <w:lang w:val="en-US" w:eastAsia="zh-CN"/>
        </w:rPr>
        <w:t>项目正在建设过程中，计划于2023年6月底前完工。</w:t>
      </w:r>
    </w:p>
    <w:p>
      <w:pPr>
        <w:numPr>
          <w:ilvl w:val="0"/>
          <w:numId w:val="3"/>
        </w:numPr>
        <w:adjustRightInd w:val="0"/>
        <w:snapToGrid w:val="0"/>
        <w:spacing w:line="560" w:lineRule="exact"/>
        <w:ind w:left="-80" w:leftChars="0" w:firstLine="720" w:firstLineChars="0"/>
        <w:rPr>
          <w:rFonts w:hint="eastAsia" w:ascii="楷体_GB2312" w:hAnsi="宋体" w:eastAsia="楷体_GB2312"/>
          <w:b/>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hint="eastAsia" w:ascii="仿宋_GB2312" w:hAnsi="宋体"/>
          <w:color w:val="auto"/>
          <w:lang w:val="en-US" w:eastAsia="zh-CN"/>
        </w:rPr>
      </w:pPr>
      <w:r>
        <w:rPr>
          <w:rFonts w:hint="eastAsia" w:ascii="仿宋_GB2312" w:hAnsi="宋体"/>
          <w:color w:val="auto"/>
          <w:lang w:val="en-US" w:eastAsia="zh-CN"/>
        </w:rPr>
        <w:t>建设区级疾病预防控制一体化综合管理信息系统、采购部分检测仪器及配套设施设备。初步考虑涵盖一体化支撑平台、OA 办公管理、实验室管理、应急作业管理、现场流调管理、移动端管理、数据信息可视化平台和信息安全保障等建设内容。以满足区疾控中心各项疾病预防控制工作相应检测项目需要，进一步提升应对部分食源性疾病、职业卫生危害、新发传染病防控应急处置能力。</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项目建成投入使用后，将从根本上解决当前仁和区疾控中心在信息化管理上不足的短板，显著增强我区在突发公共卫生事件信息管理上的综合协调与处置能力，为进一步及时、高效、科学、规范开展疾病预防控制，提升区疾控中心服务能力，保障人民群众的身体健康和生命安全。</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项目资金在2022年10月下达，要求2023年6月份前完成，加之能力提升项目涉及政府采购，前期基础工作较多，流程复杂，时间紧张。目前按照合同约定的首付款不能及时划拨，致使项目推进滞后。</w:t>
      </w: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widowControl/>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6"/>
        <w:tblpPr w:leftFromText="180" w:rightFromText="180" w:vertAnchor="text" w:horzAnchor="page" w:tblpX="1256" w:tblpY="221"/>
        <w:tblOverlap w:val="never"/>
        <w:tblW w:w="5624" w:type="pct"/>
        <w:tblInd w:w="0" w:type="dxa"/>
        <w:tblLayout w:type="fixed"/>
        <w:tblCellMar>
          <w:top w:w="0" w:type="dxa"/>
          <w:left w:w="108" w:type="dxa"/>
          <w:bottom w:w="0" w:type="dxa"/>
          <w:right w:w="108" w:type="dxa"/>
        </w:tblCellMar>
      </w:tblPr>
      <w:tblGrid>
        <w:gridCol w:w="781"/>
        <w:gridCol w:w="843"/>
        <w:gridCol w:w="952"/>
        <w:gridCol w:w="2271"/>
        <w:gridCol w:w="2220"/>
        <w:gridCol w:w="2284"/>
        <w:gridCol w:w="236"/>
      </w:tblGrid>
      <w:tr>
        <w:tblPrEx>
          <w:tblCellMar>
            <w:top w:w="0" w:type="dxa"/>
            <w:left w:w="108" w:type="dxa"/>
            <w:bottom w:w="0" w:type="dxa"/>
            <w:right w:w="108" w:type="dxa"/>
          </w:tblCellMar>
        </w:tblPrEx>
        <w:trPr>
          <w:trHeight w:val="675" w:hRule="atLeast"/>
        </w:trPr>
        <w:tc>
          <w:tcPr>
            <w:tcW w:w="4876"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p>
            <w:pPr>
              <w:pStyle w:val="8"/>
              <w:spacing w:line="560" w:lineRule="exact"/>
              <w:jc w:val="center"/>
              <w:rPr>
                <w:rFonts w:hint="eastAsia" w:eastAsia="宋体"/>
                <w:b/>
                <w:color w:val="000000"/>
                <w:szCs w:val="32"/>
                <w:lang w:eastAsia="zh-CN"/>
              </w:rPr>
            </w:pPr>
            <w:r>
              <w:rPr>
                <w:rFonts w:hint="eastAsia" w:eastAsia="宋体"/>
                <w:b/>
                <w:color w:val="000000"/>
                <w:szCs w:val="32"/>
                <w:lang w:eastAsia="zh-CN"/>
              </w:rPr>
              <w:t>（</w:t>
            </w:r>
            <w:r>
              <w:rPr>
                <w:rFonts w:hint="eastAsia" w:ascii="仿宋_GB2312" w:hAnsi="宋体" w:eastAsia="仿宋_GB2312"/>
                <w:color w:val="auto"/>
                <w:kern w:val="2"/>
                <w:sz w:val="32"/>
                <w:szCs w:val="32"/>
                <w:lang w:val="en-US" w:eastAsia="zh-CN"/>
              </w:rPr>
              <w:t>医疗服务与保障能力提升疾病预防控制机构能力建设中央资金</w:t>
            </w:r>
            <w:r>
              <w:rPr>
                <w:rFonts w:hint="eastAsia" w:eastAsia="宋体"/>
                <w:b/>
                <w:color w:val="000000"/>
                <w:szCs w:val="32"/>
                <w:lang w:eastAsia="zh-CN"/>
              </w:rPr>
              <w:t>）</w:t>
            </w:r>
          </w:p>
        </w:tc>
        <w:tc>
          <w:tcPr>
            <w:tcW w:w="123"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3" w:type="pct"/>
          <w:trHeight w:val="254"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攀枝花市仁和区疾病预防控制中心</w:t>
            </w:r>
          </w:p>
        </w:tc>
      </w:tr>
      <w:tr>
        <w:tblPrEx>
          <w:tblCellMar>
            <w:top w:w="0" w:type="dxa"/>
            <w:left w:w="108" w:type="dxa"/>
            <w:bottom w:w="0" w:type="dxa"/>
            <w:right w:w="108" w:type="dxa"/>
          </w:tblCellMar>
        </w:tblPrEx>
        <w:trPr>
          <w:gridAfter w:val="1"/>
          <w:wAfter w:w="123" w:type="pct"/>
          <w:trHeight w:val="341" w:hRule="atLeast"/>
        </w:trPr>
        <w:tc>
          <w:tcPr>
            <w:tcW w:w="8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预算数：</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200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eastAsia="仿宋_GB2312"/>
                <w:color w:val="000000"/>
                <w:sz w:val="24"/>
                <w:lang w:val="en-US" w:eastAsia="zh-CN"/>
              </w:rPr>
            </w:pPr>
            <w:r>
              <w:rPr>
                <w:rFonts w:hint="eastAsia"/>
                <w:color w:val="000000"/>
                <w:sz w:val="24"/>
                <w:lang w:val="en-US" w:eastAsia="zh-CN"/>
              </w:rPr>
              <w:t>0</w:t>
            </w:r>
          </w:p>
        </w:tc>
      </w:tr>
      <w:tr>
        <w:tblPrEx>
          <w:tblCellMar>
            <w:top w:w="0" w:type="dxa"/>
            <w:left w:w="108" w:type="dxa"/>
            <w:bottom w:w="0" w:type="dxa"/>
            <w:right w:w="108" w:type="dxa"/>
          </w:tblCellMar>
        </w:tblPrEx>
        <w:trPr>
          <w:gridAfter w:val="1"/>
          <w:wAfter w:w="123" w:type="pct"/>
          <w:trHeight w:val="577" w:hRule="atLeast"/>
        </w:trPr>
        <w:tc>
          <w:tcPr>
            <w:tcW w:w="8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200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val="en-US" w:eastAsia="zh-CN"/>
              </w:rPr>
            </w:pPr>
            <w:r>
              <w:rPr>
                <w:rFonts w:hint="eastAsia"/>
                <w:color w:val="000000"/>
                <w:sz w:val="24"/>
                <w:lang w:val="en-US" w:eastAsia="zh-CN"/>
              </w:rPr>
              <w:t>0</w:t>
            </w:r>
          </w:p>
        </w:tc>
      </w:tr>
      <w:tr>
        <w:tblPrEx>
          <w:tblCellMar>
            <w:top w:w="0" w:type="dxa"/>
            <w:left w:w="108" w:type="dxa"/>
            <w:bottom w:w="0" w:type="dxa"/>
            <w:right w:w="108" w:type="dxa"/>
          </w:tblCellMar>
        </w:tblPrEx>
        <w:trPr>
          <w:gridAfter w:val="1"/>
          <w:wAfter w:w="123" w:type="pct"/>
          <w:trHeight w:val="341" w:hRule="atLeast"/>
        </w:trPr>
        <w:tc>
          <w:tcPr>
            <w:tcW w:w="8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3" w:type="pct"/>
          <w:trHeight w:val="64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1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3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3" w:type="pct"/>
          <w:trHeight w:val="1482"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120"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tLeast"/>
              <w:contextualSpacing/>
              <w:jc w:val="left"/>
              <w:textAlignment w:val="auto"/>
              <w:rPr>
                <w:rFonts w:hint="default" w:ascii="Times New Roman" w:hAnsi="Times New Roman" w:eastAsia="仿宋_GB2312" w:cs="Times New Roman"/>
                <w:color w:val="auto"/>
                <w:kern w:val="2"/>
                <w:sz w:val="32"/>
                <w:szCs w:val="24"/>
                <w:lang w:val="en-US" w:eastAsia="zh-CN" w:bidi="ar-SA"/>
              </w:rPr>
            </w:pPr>
            <w:r>
              <w:rPr>
                <w:rFonts w:hint="eastAsia"/>
                <w:color w:val="auto"/>
                <w:kern w:val="0"/>
                <w:sz w:val="21"/>
                <w:szCs w:val="21"/>
                <w:shd w:val="clear" w:color="auto" w:fill="FFFFFF"/>
                <w:lang w:val="en-US" w:eastAsia="zh-CN"/>
              </w:rPr>
              <w:t>为全面提升区疾控中心疾病预防控制技术管理和服务能力，2022年度计划完成信息化建设项目方案，进行项目申报，完成项目调研，完成项目招标，确定中标单位。</w:t>
            </w:r>
          </w:p>
        </w:tc>
        <w:tc>
          <w:tcPr>
            <w:tcW w:w="2349"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auto"/>
                <w:sz w:val="24"/>
                <w:lang w:val="en-US" w:eastAsia="zh-CN"/>
              </w:rPr>
            </w:pPr>
            <w:r>
              <w:rPr>
                <w:rFonts w:hint="eastAsia"/>
                <w:color w:val="auto"/>
                <w:kern w:val="0"/>
                <w:sz w:val="21"/>
                <w:szCs w:val="21"/>
                <w:shd w:val="clear" w:color="auto" w:fill="FFFFFF"/>
                <w:lang w:val="en-US" w:eastAsia="zh-CN"/>
              </w:rPr>
              <w:t>已完成项目申报、实验室信息管理系统调研报告，确定信息化建设项目方案，已完成项目招标，已确定中标单位，签订合同。</w:t>
            </w:r>
          </w:p>
        </w:tc>
      </w:tr>
      <w:tr>
        <w:tblPrEx>
          <w:tblCellMar>
            <w:top w:w="0" w:type="dxa"/>
            <w:left w:w="108" w:type="dxa"/>
            <w:bottom w:w="0" w:type="dxa"/>
            <w:right w:w="108" w:type="dxa"/>
          </w:tblCellMar>
        </w:tblPrEx>
        <w:trPr>
          <w:gridAfter w:val="1"/>
          <w:wAfter w:w="123" w:type="pct"/>
          <w:trHeight w:val="738" w:hRule="atLeast"/>
        </w:trPr>
        <w:tc>
          <w:tcPr>
            <w:tcW w:w="40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439"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123" w:type="pct"/>
          <w:trHeight w:val="2355"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278" w:leftChars="87" w:firstLine="280" w:firstLineChars="100"/>
              <w:jc w:val="left"/>
              <w:textAlignment w:val="bottom"/>
              <w:rPr>
                <w:color w:val="000000"/>
                <w:sz w:val="28"/>
                <w:szCs w:val="28"/>
              </w:rPr>
            </w:pPr>
            <w:r>
              <w:rPr>
                <w:rFonts w:hint="eastAsia"/>
                <w:color w:val="000000"/>
                <w:kern w:val="0"/>
                <w:sz w:val="28"/>
                <w:szCs w:val="28"/>
                <w:lang w:val="en-US" w:eastAsia="zh-CN" w:bidi="ar"/>
              </w:rPr>
              <w:t xml:space="preserve"> 数量</w:t>
            </w:r>
            <w:r>
              <w:rPr>
                <w:color w:val="000000"/>
                <w:kern w:val="0"/>
                <w:sz w:val="28"/>
                <w:szCs w:val="28"/>
                <w:lang w:bidi="ar"/>
              </w:rPr>
              <w:t>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554"/>
              </w:tabs>
              <w:spacing w:line="320" w:lineRule="exact"/>
              <w:jc w:val="left"/>
              <w:textAlignment w:val="bottom"/>
              <w:rPr>
                <w:rFonts w:hint="eastAsia" w:eastAsia="仿宋_GB2312"/>
                <w:color w:val="auto"/>
                <w:sz w:val="28"/>
                <w:szCs w:val="28"/>
                <w:lang w:eastAsia="zh-CN"/>
              </w:rPr>
            </w:pPr>
            <w:r>
              <w:rPr>
                <w:rFonts w:hint="eastAsia"/>
                <w:color w:val="auto"/>
                <w:kern w:val="0"/>
                <w:sz w:val="21"/>
                <w:szCs w:val="21"/>
                <w:shd w:val="clear" w:color="auto" w:fill="FFFFFF"/>
                <w:lang w:val="en-US" w:eastAsia="zh-CN"/>
              </w:rPr>
              <w:t>建设区级疾病预防控制一体化综合管理信息系统。采购部分检测仪器及配套设施设备。</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239"/>
                <w:tab w:val="center" w:pos="869"/>
              </w:tabs>
              <w:spacing w:line="320" w:lineRule="exact"/>
              <w:jc w:val="left"/>
              <w:textAlignment w:val="bottom"/>
              <w:rPr>
                <w:rFonts w:hint="eastAsia" w:eastAsia="仿宋_GB2312"/>
                <w:color w:val="auto"/>
                <w:sz w:val="28"/>
                <w:szCs w:val="28"/>
                <w:lang w:eastAsia="zh-CN"/>
              </w:rPr>
            </w:pPr>
            <w:r>
              <w:rPr>
                <w:rFonts w:hint="eastAsia"/>
                <w:color w:val="auto"/>
                <w:kern w:val="0"/>
                <w:sz w:val="21"/>
                <w:szCs w:val="21"/>
                <w:shd w:val="clear" w:color="auto" w:fill="FFFFFF"/>
                <w:lang w:val="en-US" w:eastAsia="zh-CN"/>
              </w:rPr>
              <w:t>初步考虑涵盖一体化支撑平台、OA 办公管理、实验室管理、应急作业管理、现场流调管理、移动端管理、数据信息可视化平台和信息安全保障等建设内容。</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auto"/>
                <w:sz w:val="28"/>
                <w:szCs w:val="28"/>
              </w:rPr>
            </w:pPr>
            <w:r>
              <w:rPr>
                <w:rFonts w:hint="eastAsia"/>
                <w:color w:val="auto"/>
                <w:kern w:val="0"/>
                <w:sz w:val="21"/>
                <w:szCs w:val="21"/>
                <w:shd w:val="clear" w:color="auto" w:fill="FFFFFF"/>
                <w:lang w:val="en-US" w:eastAsia="zh-CN"/>
              </w:rPr>
              <w:t>已完成项目申报、实验室信息管理系统调研报告，确定信息化建设项目方案，完成项目招标，确定中标单位，签订合同。</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color w:val="000000"/>
                <w:kern w:val="0"/>
                <w:sz w:val="28"/>
                <w:szCs w:val="28"/>
                <w:lang w:val="en-US" w:eastAsia="zh-CN" w:bidi="ar"/>
              </w:rPr>
            </w:pPr>
            <w:r>
              <w:rPr>
                <w:rFonts w:hint="eastAsia"/>
                <w:color w:val="000000"/>
                <w:kern w:val="0"/>
                <w:sz w:val="28"/>
                <w:szCs w:val="28"/>
                <w:lang w:val="en-US" w:eastAsia="zh-CN" w:bidi="ar"/>
              </w:rPr>
              <w:t>质</w:t>
            </w:r>
          </w:p>
          <w:p>
            <w:pPr>
              <w:widowControl/>
              <w:spacing w:line="320" w:lineRule="exact"/>
              <w:jc w:val="center"/>
              <w:textAlignment w:val="bottom"/>
              <w:rPr>
                <w:rFonts w:hint="eastAsia"/>
                <w:color w:val="000000"/>
                <w:kern w:val="0"/>
                <w:sz w:val="28"/>
                <w:szCs w:val="28"/>
                <w:lang w:val="en-US" w:eastAsia="zh-CN" w:bidi="ar"/>
              </w:rPr>
            </w:pPr>
            <w:r>
              <w:rPr>
                <w:rFonts w:hint="eastAsia"/>
                <w:color w:val="000000"/>
                <w:kern w:val="0"/>
                <w:sz w:val="28"/>
                <w:szCs w:val="28"/>
                <w:lang w:val="en-US" w:eastAsia="zh-CN" w:bidi="ar"/>
              </w:rPr>
              <w:t>量</w:t>
            </w:r>
          </w:p>
          <w:p>
            <w:pPr>
              <w:widowControl/>
              <w:spacing w:line="320" w:lineRule="exact"/>
              <w:jc w:val="center"/>
              <w:textAlignment w:val="bottom"/>
              <w:rPr>
                <w:rFonts w:hint="eastAsia"/>
                <w:color w:val="000000"/>
                <w:kern w:val="0"/>
                <w:sz w:val="28"/>
                <w:szCs w:val="28"/>
                <w:lang w:val="en-US" w:eastAsia="zh-CN" w:bidi="ar"/>
              </w:rPr>
            </w:pPr>
            <w:r>
              <w:rPr>
                <w:rFonts w:hint="eastAsia"/>
                <w:color w:val="000000"/>
                <w:kern w:val="0"/>
                <w:sz w:val="28"/>
                <w:szCs w:val="28"/>
                <w:lang w:val="en-US" w:eastAsia="zh-CN" w:bidi="ar"/>
              </w:rPr>
              <w:t>指</w:t>
            </w:r>
          </w:p>
          <w:p>
            <w:pPr>
              <w:widowControl/>
              <w:spacing w:line="320" w:lineRule="exact"/>
              <w:jc w:val="center"/>
              <w:textAlignment w:val="bottom"/>
              <w:rPr>
                <w:rFonts w:hint="default" w:eastAsia="仿宋_GB2312"/>
                <w:color w:val="000000"/>
                <w:sz w:val="28"/>
                <w:szCs w:val="28"/>
                <w:lang w:val="en-US" w:eastAsia="zh-CN"/>
              </w:rPr>
            </w:pPr>
            <w:r>
              <w:rPr>
                <w:rFonts w:hint="eastAsia"/>
                <w:color w:val="000000"/>
                <w:kern w:val="0"/>
                <w:sz w:val="28"/>
                <w:szCs w:val="28"/>
                <w:lang w:val="en-US" w:eastAsia="zh-CN" w:bidi="ar"/>
              </w:rPr>
              <w:t>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599"/>
              </w:tabs>
              <w:spacing w:line="320" w:lineRule="exact"/>
              <w:jc w:val="left"/>
              <w:textAlignment w:val="bottom"/>
              <w:rPr>
                <w:rFonts w:hint="eastAsia" w:eastAsia="仿宋_GB2312"/>
                <w:color w:val="auto"/>
                <w:sz w:val="28"/>
                <w:szCs w:val="28"/>
                <w:lang w:eastAsia="zh-CN"/>
              </w:rPr>
            </w:pPr>
            <w:r>
              <w:rPr>
                <w:rFonts w:hint="eastAsia"/>
                <w:color w:val="auto"/>
                <w:kern w:val="0"/>
                <w:sz w:val="21"/>
                <w:szCs w:val="21"/>
                <w:shd w:val="clear" w:color="auto" w:fill="FFFFFF"/>
                <w:lang w:val="en-US" w:eastAsia="zh-CN"/>
              </w:rPr>
              <w:t>实现进一步优化工作流程，提高工作质量和效率，强化业务协同，创新管理方式，提高管理效能。</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全面提升区疾控中心疾病预防控制技术管理和服务能力。</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eastAsia="仿宋_GB2312"/>
                <w:color w:val="auto"/>
                <w:sz w:val="28"/>
                <w:szCs w:val="28"/>
                <w:lang w:val="en-US" w:eastAsia="zh-CN"/>
              </w:rPr>
            </w:pPr>
            <w:r>
              <w:rPr>
                <w:rFonts w:hint="eastAsia"/>
                <w:color w:val="auto"/>
                <w:kern w:val="0"/>
                <w:sz w:val="21"/>
                <w:szCs w:val="21"/>
                <w:shd w:val="clear" w:color="auto" w:fill="FFFFFF"/>
                <w:lang w:val="en-US" w:eastAsia="zh-CN"/>
              </w:rPr>
              <w:t>建设中</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2023年6月底前</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2023年6月底前</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建设中</w:t>
            </w:r>
          </w:p>
        </w:tc>
      </w:tr>
      <w:tr>
        <w:tblPrEx>
          <w:tblCellMar>
            <w:top w:w="0" w:type="dxa"/>
            <w:left w:w="108" w:type="dxa"/>
            <w:bottom w:w="0" w:type="dxa"/>
            <w:right w:w="108" w:type="dxa"/>
          </w:tblCellMar>
        </w:tblPrEx>
        <w:trPr>
          <w:gridAfter w:val="1"/>
          <w:wAfter w:w="123" w:type="pct"/>
          <w:trHeight w:val="171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auto"/>
                <w:sz w:val="28"/>
                <w:szCs w:val="28"/>
              </w:rPr>
            </w:pPr>
            <w:r>
              <w:rPr>
                <w:rFonts w:hint="eastAsia"/>
                <w:color w:val="auto"/>
                <w:kern w:val="0"/>
                <w:sz w:val="21"/>
                <w:szCs w:val="21"/>
                <w:shd w:val="clear" w:color="auto" w:fill="FFFFFF"/>
                <w:lang w:val="en-US" w:eastAsia="zh-CN"/>
              </w:rPr>
              <w:t>建设区级疾病预防控制一体化综合管理信息系统。采购部分检测仪器及配套设施设备。</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200万</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0</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经济效益  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FF0000"/>
                <w:kern w:val="0"/>
                <w:sz w:val="21"/>
                <w:szCs w:val="21"/>
                <w:shd w:val="clear" w:color="auto" w:fill="FFFFFF"/>
                <w:lang w:val="en-US" w:eastAsia="zh-CN"/>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FF0000"/>
                <w:kern w:val="0"/>
                <w:sz w:val="21"/>
                <w:szCs w:val="21"/>
                <w:shd w:val="clear" w:color="auto" w:fill="FFFFFF"/>
                <w:lang w:val="en-US" w:eastAsia="zh-CN"/>
              </w:rPr>
            </w:pP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auto"/>
                <w:sz w:val="28"/>
                <w:szCs w:val="28"/>
              </w:rPr>
            </w:pPr>
            <w:r>
              <w:rPr>
                <w:rFonts w:hint="eastAsia"/>
                <w:color w:val="auto"/>
                <w:kern w:val="0"/>
                <w:sz w:val="21"/>
                <w:szCs w:val="21"/>
                <w:shd w:val="clear" w:color="auto" w:fill="FFFFFF"/>
              </w:rPr>
              <w:t>从根本上解决当前在疾病预防控制一体化综合管理信息系统建设不足、部分检测仪器设备陈旧及新项目开展仪器设备配备不足等问题，项目建成后将全面提升区疾控中心疾病预防控制技术管理和服务能力；为创建二级甲等疾控机构、实验室通过计量认证提供必要保障。</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eastAsia"/>
                <w:color w:val="auto"/>
                <w:kern w:val="0"/>
                <w:sz w:val="21"/>
                <w:szCs w:val="21"/>
                <w:shd w:val="clear" w:color="auto" w:fill="FFFFFF"/>
              </w:rPr>
            </w:pPr>
            <w:r>
              <w:rPr>
                <w:rFonts w:hint="eastAsia"/>
                <w:color w:val="auto"/>
                <w:kern w:val="0"/>
                <w:sz w:val="21"/>
                <w:szCs w:val="21"/>
                <w:shd w:val="clear" w:color="auto" w:fill="FFFFFF"/>
              </w:rPr>
              <w:t>项目建成投入使用后，将从根本上解决当前仁和区疾控中心在信息化管理上不足的短板，显著增强我区在突发公共卫生事件信息管理上的综合协调与处置能力，为进一步及时、高效、科学、规范开展疾病预防控制，提升区疾控中心服务能力，保障人民群众的身体健康和生命安全。</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rFonts w:hint="default"/>
                <w:color w:val="auto"/>
                <w:kern w:val="0"/>
                <w:sz w:val="21"/>
                <w:szCs w:val="21"/>
                <w:shd w:val="clear" w:color="auto" w:fill="FFFFFF"/>
                <w:lang w:val="en-US" w:eastAsia="zh-CN"/>
              </w:rPr>
            </w:pPr>
            <w:r>
              <w:rPr>
                <w:rFonts w:hint="eastAsia"/>
                <w:color w:val="auto"/>
                <w:kern w:val="0"/>
                <w:sz w:val="21"/>
                <w:szCs w:val="21"/>
                <w:shd w:val="clear" w:color="auto" w:fill="FFFFFF"/>
                <w:lang w:val="en-US" w:eastAsia="zh-CN"/>
              </w:rPr>
              <w:t>建设中</w:t>
            </w: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r>
      <w:tr>
        <w:tblPrEx>
          <w:tblCellMar>
            <w:top w:w="0" w:type="dxa"/>
            <w:left w:w="108" w:type="dxa"/>
            <w:bottom w:w="0" w:type="dxa"/>
            <w:right w:w="108" w:type="dxa"/>
          </w:tblCellMar>
        </w:tblPrEx>
        <w:trPr>
          <w:gridAfter w:val="1"/>
          <w:wAfter w:w="123" w:type="pct"/>
          <w:trHeight w:val="480" w:hRule="atLeast"/>
        </w:trPr>
        <w:tc>
          <w:tcPr>
            <w:tcW w:w="407"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left"/>
              <w:textAlignment w:val="bottom"/>
              <w:rPr>
                <w:color w:val="000000"/>
                <w:sz w:val="28"/>
                <w:szCs w:val="28"/>
              </w:rPr>
            </w:pPr>
          </w:p>
        </w:tc>
      </w:tr>
    </w:tbl>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adjustRightInd w:val="0"/>
        <w:snapToGrid w:val="0"/>
        <w:spacing w:line="560" w:lineRule="exact"/>
        <w:ind w:firstLine="720"/>
        <w:rPr>
          <w:rFonts w:hint="eastAsia" w:ascii="仿宋" w:hAnsi="仿宋" w:eastAsia="仿宋" w:cs="仿宋"/>
          <w:b w:val="0"/>
          <w:bCs/>
          <w:sz w:val="32"/>
          <w:szCs w:val="32"/>
          <w:lang w:val="en-US" w:eastAsia="zh-CN"/>
        </w:rPr>
      </w:pPr>
    </w:p>
    <w:p>
      <w:pPr>
        <w:tabs>
          <w:tab w:val="left" w:pos="1440"/>
        </w:tabs>
        <w:spacing w:line="560" w:lineRule="exact"/>
        <w:rPr>
          <w:rFonts w:ascii="宋体" w:hAnsi="宋体" w:eastAsia="宋体"/>
          <w:sz w:val="30"/>
          <w:szCs w:val="30"/>
        </w:rPr>
      </w:pPr>
    </w:p>
    <w:p>
      <w:pPr>
        <w:tabs>
          <w:tab w:val="left" w:pos="1440"/>
        </w:tabs>
        <w:spacing w:line="560" w:lineRule="exact"/>
        <w:rPr>
          <w:rFonts w:ascii="宋体" w:hAnsi="宋体" w:eastAsia="宋体"/>
          <w:sz w:val="30"/>
          <w:szCs w:val="30"/>
        </w:rPr>
      </w:pPr>
    </w:p>
    <w:p>
      <w:pPr>
        <w:tabs>
          <w:tab w:val="left" w:pos="1440"/>
        </w:tabs>
        <w:spacing w:line="560" w:lineRule="exact"/>
        <w:rPr>
          <w:rFonts w:ascii="宋体" w:hAnsi="宋体" w:eastAsia="宋体"/>
          <w:sz w:val="30"/>
          <w:szCs w:val="30"/>
        </w:rPr>
      </w:pPr>
    </w:p>
    <w:p>
      <w:pPr>
        <w:tabs>
          <w:tab w:val="left" w:pos="1440"/>
        </w:tabs>
        <w:spacing w:line="560" w:lineRule="exact"/>
        <w:rPr>
          <w:rFonts w:ascii="宋体" w:hAnsi="宋体" w:eastAsia="宋体"/>
          <w:sz w:val="30"/>
          <w:szCs w:val="30"/>
        </w:rPr>
      </w:pPr>
    </w:p>
    <w:p>
      <w:pPr>
        <w:tabs>
          <w:tab w:val="left" w:pos="1440"/>
        </w:tabs>
        <w:spacing w:line="560" w:lineRule="exact"/>
        <w:rPr>
          <w:rFonts w:ascii="宋体" w:hAnsi="宋体" w:eastAsia="宋体"/>
          <w:sz w:val="30"/>
          <w:szCs w:val="30"/>
        </w:rPr>
      </w:pPr>
    </w:p>
    <w:p>
      <w:pPr>
        <w:pStyle w:val="8"/>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w:t>
      </w:r>
    </w:p>
    <w:p>
      <w:pPr>
        <w:pStyle w:val="8"/>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8"/>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（仁和区公共卫生服务中心</w:t>
      </w:r>
      <w:r>
        <w:rPr>
          <w:rFonts w:hint="eastAsia" w:ascii="仿宋_GB2312" w:hAnsi="宋体" w:eastAsia="仿宋_GB2312"/>
          <w:color w:val="auto"/>
          <w:kern w:val="2"/>
          <w:sz w:val="32"/>
          <w:szCs w:val="32"/>
          <w:lang w:val="en-US" w:eastAsia="zh-CN"/>
        </w:rPr>
        <w:t>一期建设项目</w:t>
      </w:r>
      <w:r>
        <w:rPr>
          <w:rFonts w:hint="eastAsia" w:ascii="仿宋_GB2312" w:hAnsi="宋体" w:eastAsia="仿宋_GB2312"/>
          <w:color w:val="auto"/>
          <w:kern w:val="2"/>
          <w:sz w:val="32"/>
          <w:szCs w:val="32"/>
        </w:rPr>
        <w:t>）</w:t>
      </w:r>
    </w:p>
    <w:p>
      <w:pPr>
        <w:pStyle w:val="8"/>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5"/>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960" w:firstLineChars="300"/>
        <w:rPr>
          <w:rFonts w:hint="default" w:ascii="仿宋_GB2312" w:hAnsi="宋体" w:cs="仿宋_GB2312"/>
          <w:sz w:val="32"/>
          <w:szCs w:val="32"/>
          <w:lang w:val="en-US" w:eastAsia="zh-CN"/>
        </w:rPr>
      </w:pPr>
      <w:r>
        <w:rPr>
          <w:rFonts w:hint="eastAsia" w:ascii="仿宋_GB2312" w:hAnsi="宋体" w:eastAsia="仿宋_GB2312" w:cs="仿宋_GB2312"/>
          <w:sz w:val="32"/>
          <w:szCs w:val="32"/>
        </w:rPr>
        <w:t>2020年经</w:t>
      </w:r>
      <w:r>
        <w:rPr>
          <w:rFonts w:hint="eastAsia" w:ascii="仿宋_GB2312" w:hAnsi="宋体" w:cs="仿宋_GB2312"/>
          <w:sz w:val="32"/>
          <w:szCs w:val="32"/>
          <w:lang w:val="en-US" w:eastAsia="zh-CN"/>
        </w:rPr>
        <w:t>仁和</w:t>
      </w:r>
      <w:r>
        <w:rPr>
          <w:rFonts w:hint="eastAsia" w:ascii="仿宋_GB2312" w:hAnsi="宋体" w:eastAsia="仿宋_GB2312" w:cs="仿宋_GB2312"/>
          <w:sz w:val="32"/>
          <w:szCs w:val="32"/>
        </w:rPr>
        <w:t>区发改局立项“仁和区公共卫生服务中心一期（仁和区疾病预防控制中心业务用房新建项目）”建设项目，建设规模及主要内容为:</w:t>
      </w:r>
      <w:r>
        <w:rPr>
          <w:rFonts w:hint="eastAsia" w:ascii="仿宋_GB2312" w:hAnsi="宋体" w:eastAsia="仿宋_GB2312"/>
          <w:sz w:val="32"/>
          <w:szCs w:val="32"/>
        </w:rPr>
        <w:t xml:space="preserve"> 建筑面积6800</w:t>
      </w:r>
      <w:r>
        <w:rPr>
          <w:rFonts w:hint="eastAsia" w:ascii="仿宋_GB2312" w:hAnsi="宋体" w:eastAsia="仿宋_GB2312" w:cs="仿宋_GB2312"/>
          <w:sz w:val="32"/>
          <w:szCs w:val="32"/>
        </w:rPr>
        <w:t>平方米，其中仁和区疾病预防控制中心业务用房（含配套设施设备、公共卫生检测中心及实验室专业建设和检验仪器设备采购）4500平方米，仁和区公共卫生服务中心2300平方米。总投资及资金来源为：项目估算总投资5375万元，资金来源为使用抗疫特别国债和业主筹。</w:t>
      </w:r>
      <w:r>
        <w:rPr>
          <w:rFonts w:hint="eastAsia" w:ascii="仿宋_GB2312" w:hAnsi="宋体" w:cs="仿宋_GB2312"/>
          <w:sz w:val="32"/>
          <w:szCs w:val="32"/>
          <w:lang w:val="en-US" w:eastAsia="zh-CN"/>
        </w:rPr>
        <w:t>项目建设工期预计4年。</w:t>
      </w:r>
    </w:p>
    <w:p>
      <w:pPr>
        <w:numPr>
          <w:ilvl w:val="0"/>
          <w:numId w:val="5"/>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960" w:firstLineChars="300"/>
        <w:rPr>
          <w:rFonts w:ascii="仿宋_GB2312" w:hAnsi="宋体"/>
          <w:lang w:val="zh-CN"/>
        </w:rPr>
      </w:pPr>
      <w:r>
        <w:rPr>
          <w:rFonts w:hint="eastAsia" w:ascii="仿宋_GB2312" w:hAnsi="宋体"/>
          <w:lang w:val="en-US" w:eastAsia="zh-CN"/>
        </w:rPr>
        <w:t>一期建设项目</w:t>
      </w:r>
      <w:r>
        <w:rPr>
          <w:rFonts w:hint="eastAsia" w:ascii="仿宋_GB2312" w:hAnsi="宋体"/>
          <w:lang w:val="zh-CN"/>
        </w:rPr>
        <w:t>建筑面积 6800平方米，其中仁和区疾病预防控制中心业务用房 4500 平方米，仁和区公共卫生服务中心 2300 平方米。服务总人口27.11万，通过项目的实施，推进基层疾控能力建设，提高公共卫生服务能力。以基层培训指导为导向，加强基层业务培训健康指导，提升基层公共卫生服务能力。完善公共卫生服务中心业务，建立信息化、现代化的公共卫生服务系统。</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0"/>
        </w:numPr>
        <w:adjustRightInd w:val="0"/>
        <w:snapToGrid w:val="0"/>
        <w:spacing w:line="560" w:lineRule="exact"/>
        <w:ind w:firstLine="960" w:firstLineChars="300"/>
        <w:rPr>
          <w:rFonts w:hint="eastAsia" w:ascii="楷体_GB2312" w:hAnsi="宋体" w:eastAsia="楷体_GB2312"/>
          <w:lang w:val="zh-CN"/>
        </w:rPr>
      </w:pPr>
      <w:r>
        <w:rPr>
          <w:rFonts w:hint="eastAsia" w:ascii="楷体_GB2312" w:hAnsi="宋体" w:eastAsia="楷体_GB2312"/>
          <w:lang w:val="zh-CN"/>
        </w:rPr>
        <w:t>1．资金计划及到位。</w:t>
      </w:r>
    </w:p>
    <w:p>
      <w:pPr>
        <w:numPr>
          <w:ilvl w:val="0"/>
          <w:numId w:val="0"/>
        </w:numPr>
        <w:adjustRightInd w:val="0"/>
        <w:snapToGrid w:val="0"/>
        <w:spacing w:line="560" w:lineRule="exact"/>
        <w:ind w:firstLine="960" w:firstLineChars="300"/>
        <w:rPr>
          <w:rFonts w:hint="eastAsia" w:ascii="仿宋" w:hAnsi="仿宋" w:eastAsia="仿宋" w:cs="仿宋"/>
          <w:lang w:val="en-US"/>
        </w:rPr>
      </w:pPr>
      <w:r>
        <w:rPr>
          <w:rFonts w:hint="eastAsia" w:ascii="仿宋" w:hAnsi="仿宋" w:eastAsia="仿宋" w:cs="仿宋"/>
          <w:sz w:val="32"/>
          <w:szCs w:val="32"/>
          <w:lang w:val="en-US" w:eastAsia="zh-CN"/>
        </w:rPr>
        <w:t>2022年财政安排项目建设资金3800万元，其中结余结转资金安排1150万元。资金到位率100%。</w:t>
      </w:r>
    </w:p>
    <w:p>
      <w:pPr>
        <w:numPr>
          <w:ilvl w:val="0"/>
          <w:numId w:val="6"/>
        </w:numPr>
        <w:adjustRightInd w:val="0"/>
        <w:snapToGrid w:val="0"/>
        <w:spacing w:line="560" w:lineRule="exact"/>
        <w:ind w:firstLine="720"/>
        <w:rPr>
          <w:rFonts w:hint="eastAsia" w:ascii="楷体_GB2312" w:hAnsi="宋体" w:eastAsia="楷体_GB2312"/>
          <w:lang w:val="en-US" w:eastAsia="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截止2022年资金支出2522万元，其中结余结转资金支付1150万元，其中实验室设备采购支出100万元，资金执行进度未达标。</w:t>
      </w:r>
    </w:p>
    <w:p>
      <w:pPr>
        <w:numPr>
          <w:ilvl w:val="0"/>
          <w:numId w:val="0"/>
        </w:num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建设项目由攀枝花市仁和城市发展建设（集团）有限</w:t>
      </w:r>
      <w:r>
        <w:rPr>
          <w:rFonts w:hint="default" w:ascii="仿宋_GB2312" w:hAnsi="宋体"/>
          <w:color w:val="auto"/>
          <w:lang w:val="en-US" w:eastAsia="zh-CN"/>
        </w:rPr>
        <w:t>公司</w:t>
      </w:r>
      <w:r>
        <w:rPr>
          <w:rFonts w:hint="eastAsia" w:ascii="仿宋_GB2312" w:hAnsi="宋体"/>
          <w:color w:val="auto"/>
          <w:lang w:val="en-US" w:eastAsia="zh-CN"/>
        </w:rPr>
        <w:t>负责具体</w:t>
      </w:r>
      <w:r>
        <w:rPr>
          <w:rFonts w:hint="default" w:ascii="仿宋_GB2312" w:hAnsi="宋体"/>
          <w:color w:val="auto"/>
          <w:lang w:val="en-US" w:eastAsia="zh-CN"/>
        </w:rPr>
        <w:t>施工管理，同时为确保工程质量，按规定本项目已委托具有相应资质的监理机构对项目实行全过程管理，严格执行有关标准规范</w:t>
      </w:r>
      <w:r>
        <w:rPr>
          <w:rFonts w:hint="eastAsia" w:ascii="仿宋_GB2312" w:hAnsi="宋体"/>
          <w:color w:val="auto"/>
          <w:lang w:val="en-US" w:eastAsia="zh-CN"/>
        </w:rPr>
        <w:t>，</w:t>
      </w:r>
      <w:r>
        <w:rPr>
          <w:rFonts w:hint="default" w:ascii="仿宋_GB2312" w:hAnsi="宋体"/>
          <w:color w:val="auto"/>
          <w:lang w:val="en-US" w:eastAsia="zh-CN"/>
        </w:rPr>
        <w:t>对质量进度进行监督和管理</w:t>
      </w:r>
      <w:r>
        <w:rPr>
          <w:rFonts w:hint="eastAsia" w:ascii="仿宋_GB2312" w:hAnsi="宋体"/>
          <w:color w:val="auto"/>
          <w:lang w:val="en-US" w:eastAsia="zh-CN"/>
        </w:rPr>
        <w:t>。工程需要达到行业规范要求。项目涉及的政府采购严格按照政府采购流程规范开展各项工作。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严格按照仁和区2022年“六大工程”重点项目目标任务</w:t>
      </w:r>
      <w:r>
        <w:rPr>
          <w:rFonts w:hint="eastAsia" w:ascii="仿宋_GB2312" w:hAnsi="仿宋_GB2312" w:eastAsia="仿宋_GB2312" w:cs="仿宋_GB2312"/>
          <w:color w:val="auto"/>
          <w:sz w:val="32"/>
          <w:szCs w:val="32"/>
        </w:rPr>
        <w:t>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工作措施，12月底各项考核指标任务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达到上级</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p>
    <w:p>
      <w:pPr>
        <w:adjustRightInd w:val="0"/>
        <w:snapToGrid w:val="0"/>
        <w:spacing w:line="560" w:lineRule="exact"/>
        <w:ind w:firstLine="640" w:firstLineChars="200"/>
        <w:rPr>
          <w:rFonts w:hint="eastAsia" w:ascii="仿宋_GB2312" w:hAnsi="宋体"/>
          <w:color w:val="auto"/>
          <w:lang w:val="en-US" w:eastAsia="zh-CN"/>
        </w:rPr>
      </w:pPr>
      <w:r>
        <w:rPr>
          <w:rFonts w:hint="eastAsia" w:ascii="仿宋_GB2312" w:hAnsi="宋体"/>
          <w:color w:val="auto"/>
          <w:lang w:val="en-US" w:eastAsia="zh-CN"/>
        </w:rPr>
        <w:t>截止2022年底，已完成6800平方米建设，其中仁和区疾病预防控制中心业务用房 4500 平方米，仁和区公共卫生服务中心 2300 平方米。实验室专业设备正进行调试，采购的设施设备已安装到位，实验室专业验收通过后将投入使用，</w:t>
      </w:r>
      <w:r>
        <w:rPr>
          <w:rFonts w:hint="eastAsia" w:ascii="仿宋_GB2312" w:hAnsi="宋体"/>
          <w:color w:val="auto"/>
          <w:lang w:val="zh-CN"/>
        </w:rPr>
        <w:t>原</w:t>
      </w:r>
      <w:r>
        <w:rPr>
          <w:rFonts w:hint="eastAsia" w:ascii="仿宋_GB2312" w:hAnsi="宋体"/>
          <w:color w:val="auto"/>
          <w:lang w:val="en-US" w:eastAsia="zh-CN"/>
        </w:rPr>
        <w:t>区疾控及公共卫生服务中心</w:t>
      </w:r>
      <w:r>
        <w:rPr>
          <w:rFonts w:hint="eastAsia" w:ascii="仿宋_GB2312" w:hAnsi="宋体"/>
          <w:color w:val="auto"/>
          <w:lang w:val="zh-CN"/>
        </w:rPr>
        <w:t>搬迁</w:t>
      </w:r>
      <w:r>
        <w:rPr>
          <w:rFonts w:hint="eastAsia" w:ascii="仿宋_GB2312" w:hAnsi="宋体"/>
          <w:color w:val="auto"/>
          <w:lang w:val="en-US" w:eastAsia="zh-CN"/>
        </w:rPr>
        <w:t>至新址，试运行。</w:t>
      </w:r>
    </w:p>
    <w:p>
      <w:pPr>
        <w:numPr>
          <w:ilvl w:val="0"/>
          <w:numId w:val="0"/>
        </w:numPr>
        <w:adjustRightInd w:val="0"/>
        <w:snapToGrid w:val="0"/>
        <w:spacing w:line="560" w:lineRule="exact"/>
        <w:ind w:firstLine="643" w:firstLineChars="200"/>
        <w:rPr>
          <w:rFonts w:hint="eastAsia" w:ascii="仿宋_GB2312" w:hAnsi="宋体"/>
          <w:b/>
          <w:bCs/>
          <w:color w:val="auto"/>
          <w:lang w:val="en-US" w:eastAsia="zh-CN"/>
        </w:rPr>
      </w:pPr>
      <w:r>
        <w:rPr>
          <w:rFonts w:hint="eastAsia" w:ascii="楷体_GB2312" w:hAnsi="宋体" w:eastAsia="楷体_GB2312"/>
          <w:b/>
          <w:lang w:val="zh-CN"/>
        </w:rPr>
        <w:t>（</w:t>
      </w:r>
      <w:r>
        <w:rPr>
          <w:rFonts w:hint="eastAsia" w:ascii="楷体_GB2312" w:hAnsi="宋体" w:eastAsia="楷体_GB2312"/>
          <w:b/>
          <w:lang w:val="en-US" w:eastAsia="zh-CN"/>
        </w:rPr>
        <w:t>二</w:t>
      </w: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_GB2312" w:hAnsi="宋体"/>
          <w:color w:val="auto"/>
          <w:lang w:val="zh-CN"/>
        </w:rPr>
        <w:t>项目建成后将为仁和区建设公共卫生检测中心奠定实验室、检测仪器设备等重要硬件基础。</w:t>
      </w:r>
      <w:r>
        <w:rPr>
          <w:rFonts w:hint="eastAsia" w:ascii="仿宋_GB2312" w:hAnsi="宋体"/>
          <w:color w:val="auto"/>
          <w:lang w:val="en-US" w:eastAsia="zh-CN"/>
        </w:rPr>
        <w:t>推进基层疾控能力建设，</w:t>
      </w:r>
      <w:r>
        <w:rPr>
          <w:rFonts w:hint="eastAsia" w:ascii="仿宋" w:hAnsi="仿宋" w:eastAsia="仿宋" w:cs="仿宋"/>
          <w:sz w:val="32"/>
          <w:szCs w:val="32"/>
        </w:rPr>
        <w:t>完善公共卫生服务中心业务，建立信息化、现代化的公共卫生服务系统。</w:t>
      </w:r>
      <w:r>
        <w:rPr>
          <w:rFonts w:hint="eastAsia" w:ascii="仿宋" w:hAnsi="仿宋" w:eastAsia="仿宋" w:cs="仿宋"/>
          <w:color w:val="000000"/>
          <w:sz w:val="32"/>
          <w:szCs w:val="32"/>
        </w:rPr>
        <w:t>达到《疾病预防控制中心建设标准》中县级要求，进一步提升突发传染病防治、应急物资储备、综合协调与处置等综合能力</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lang w:val="en-US" w:eastAsia="zh-CN"/>
        </w:rPr>
      </w:pPr>
      <w:r>
        <w:rPr>
          <w:rFonts w:hint="eastAsia" w:ascii="仿宋" w:hAnsi="仿宋" w:eastAsia="仿宋" w:cs="仿宋"/>
          <w:b w:val="0"/>
          <w:bCs/>
          <w:lang w:val="en-US" w:eastAsia="zh-CN"/>
        </w:rPr>
        <w:t>目前项目已完工并试运行使用，由于财政资金紧张，已完成的采购和建设项目还有一千多万元未完成支付。项目竣工决算还没有完成。</w:t>
      </w:r>
    </w:p>
    <w:p>
      <w:pPr>
        <w:numPr>
          <w:ilvl w:val="0"/>
          <w:numId w:val="7"/>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r>
        <w:rPr>
          <w:rFonts w:hint="eastAsia" w:ascii="仿宋" w:hAnsi="仿宋" w:eastAsia="仿宋" w:cs="仿宋"/>
          <w:b w:val="0"/>
          <w:bCs/>
          <w:lang w:val="en-US" w:eastAsia="zh-CN"/>
        </w:rPr>
        <w:t>中心将积极与财政沟通争取及时拨付项目欠款，协调审计部门及时开展项目竣工决算审计工作。</w:t>
      </w: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widowControl/>
        <w:adjustRightInd w:val="0"/>
        <w:snapToGrid w:val="0"/>
        <w:spacing w:line="580" w:lineRule="exact"/>
        <w:contextualSpacing/>
        <w:jc w:val="both"/>
        <w:rPr>
          <w:color w:val="000000"/>
          <w:kern w:val="0"/>
          <w:sz w:val="28"/>
          <w:szCs w:val="28"/>
          <w:shd w:val="clear" w:color="auto" w:fill="FFFFFF"/>
          <w:lang w:val="zh-CN"/>
        </w:rPr>
      </w:pPr>
    </w:p>
    <w:p>
      <w:pPr>
        <w:widowControl/>
        <w:adjustRightInd w:val="0"/>
        <w:snapToGrid w:val="0"/>
        <w:spacing w:line="580" w:lineRule="exact"/>
        <w:contextualSpacing/>
        <w:jc w:val="both"/>
        <w:rPr>
          <w:color w:val="000000"/>
          <w:kern w:val="0"/>
          <w:sz w:val="28"/>
          <w:szCs w:val="28"/>
          <w:shd w:val="clear" w:color="auto" w:fill="FFFFFF"/>
          <w:lang w:val="zh-CN"/>
        </w:rPr>
      </w:pPr>
    </w:p>
    <w:p>
      <w:pPr>
        <w:widowControl/>
        <w:adjustRightInd w:val="0"/>
        <w:snapToGrid w:val="0"/>
        <w:spacing w:line="580" w:lineRule="exact"/>
        <w:contextualSpacing/>
        <w:jc w:val="both"/>
        <w:rPr>
          <w:color w:val="000000"/>
          <w:kern w:val="0"/>
          <w:sz w:val="28"/>
          <w:szCs w:val="28"/>
          <w:shd w:val="clear" w:color="auto" w:fill="FFFFFF"/>
          <w:lang w:val="zh-CN"/>
        </w:rPr>
      </w:pPr>
      <w:r>
        <w:rPr>
          <w:color w:val="000000"/>
          <w:kern w:val="0"/>
          <w:sz w:val="28"/>
          <w:szCs w:val="28"/>
          <w:shd w:val="clear" w:color="auto" w:fill="FFFFFF"/>
          <w:lang w:val="zh-CN"/>
        </w:rPr>
        <w:t>附表</w:t>
      </w:r>
      <w:r>
        <w:rPr>
          <w:rFonts w:hint="eastAsia"/>
          <w:color w:val="000000"/>
          <w:kern w:val="0"/>
          <w:sz w:val="28"/>
          <w:szCs w:val="28"/>
          <w:shd w:val="clear" w:color="auto" w:fill="FFFFFF"/>
          <w:lang w:val="zh-CN"/>
        </w:rPr>
        <w:t>：</w:t>
      </w:r>
    </w:p>
    <w:tbl>
      <w:tblPr>
        <w:tblStyle w:val="6"/>
        <w:tblpPr w:leftFromText="180" w:rightFromText="180" w:vertAnchor="text" w:horzAnchor="page" w:tblpX="1256" w:tblpY="221"/>
        <w:tblOverlap w:val="never"/>
        <w:tblW w:w="5620" w:type="pct"/>
        <w:tblInd w:w="0" w:type="dxa"/>
        <w:tblLayout w:type="fixed"/>
        <w:tblCellMar>
          <w:top w:w="0" w:type="dxa"/>
          <w:left w:w="108" w:type="dxa"/>
          <w:bottom w:w="0" w:type="dxa"/>
          <w:right w:w="108" w:type="dxa"/>
        </w:tblCellMar>
      </w:tblPr>
      <w:tblGrid>
        <w:gridCol w:w="771"/>
        <w:gridCol w:w="810"/>
        <w:gridCol w:w="1215"/>
        <w:gridCol w:w="2610"/>
        <w:gridCol w:w="2400"/>
        <w:gridCol w:w="1538"/>
        <w:gridCol w:w="236"/>
      </w:tblGrid>
      <w:tr>
        <w:tblPrEx>
          <w:tblCellMar>
            <w:top w:w="0" w:type="dxa"/>
            <w:left w:w="108" w:type="dxa"/>
            <w:bottom w:w="0" w:type="dxa"/>
            <w:right w:w="108" w:type="dxa"/>
          </w:tblCellMar>
        </w:tblPrEx>
        <w:trPr>
          <w:trHeight w:val="675" w:hRule="atLeast"/>
        </w:trPr>
        <w:tc>
          <w:tcPr>
            <w:tcW w:w="4876" w:type="pct"/>
            <w:gridSpan w:val="6"/>
            <w:tcBorders>
              <w:top w:val="nil"/>
              <w:left w:val="nil"/>
              <w:bottom w:val="nil"/>
              <w:right w:val="nil"/>
            </w:tcBorders>
            <w:shd w:val="clear" w:color="auto" w:fill="auto"/>
            <w:vAlign w:val="center"/>
          </w:tcPr>
          <w:p>
            <w:pPr>
              <w:widowControl/>
              <w:jc w:val="both"/>
              <w:textAlignment w:val="center"/>
              <w:rPr>
                <w:rFonts w:eastAsia="宋体"/>
                <w:b/>
                <w:color w:val="000000"/>
                <w:szCs w:val="32"/>
              </w:rPr>
            </w:pPr>
            <w:r>
              <w:rPr>
                <w:rFonts w:eastAsia="宋体"/>
                <w:b/>
                <w:color w:val="000000"/>
                <w:szCs w:val="32"/>
              </w:rPr>
              <w:t>2022年50万元以上（含）特定目标类部门预算项目绩效目标自评</w:t>
            </w:r>
          </w:p>
          <w:p>
            <w:pPr>
              <w:widowControl/>
              <w:jc w:val="center"/>
              <w:textAlignment w:val="center"/>
              <w:rPr>
                <w:rFonts w:hint="eastAsia" w:eastAsia="宋体"/>
                <w:b/>
                <w:color w:val="000000"/>
                <w:szCs w:val="32"/>
                <w:lang w:eastAsia="zh-CN"/>
              </w:rPr>
            </w:pPr>
            <w:r>
              <w:rPr>
                <w:rFonts w:hint="eastAsia" w:eastAsia="宋体"/>
                <w:b/>
                <w:color w:val="000000"/>
                <w:szCs w:val="32"/>
                <w:lang w:eastAsia="zh-CN"/>
              </w:rPr>
              <w:t>（</w:t>
            </w:r>
            <w:r>
              <w:rPr>
                <w:rFonts w:hint="eastAsia" w:eastAsia="宋体"/>
                <w:b/>
                <w:color w:val="000000"/>
                <w:szCs w:val="32"/>
                <w:lang w:val="en-US" w:eastAsia="zh-CN"/>
              </w:rPr>
              <w:t>仁和区公共卫生服务中心一期建设项目</w:t>
            </w:r>
            <w:r>
              <w:rPr>
                <w:rFonts w:hint="eastAsia" w:eastAsia="宋体"/>
                <w:b/>
                <w:color w:val="000000"/>
                <w:szCs w:val="32"/>
                <w:lang w:eastAsia="zh-CN"/>
              </w:rPr>
              <w:t>）</w:t>
            </w:r>
          </w:p>
        </w:tc>
        <w:tc>
          <w:tcPr>
            <w:tcW w:w="123"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3" w:type="pct"/>
          <w:trHeight w:val="254"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主管部门及代码</w:t>
            </w:r>
          </w:p>
        </w:tc>
        <w:tc>
          <w:tcPr>
            <w:tcW w:w="1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实施单位</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攀枝花市仁和区疾病预防控制中心</w:t>
            </w:r>
          </w:p>
        </w:tc>
      </w:tr>
      <w:tr>
        <w:tblPrEx>
          <w:tblCellMar>
            <w:top w:w="0" w:type="dxa"/>
            <w:left w:w="108" w:type="dxa"/>
            <w:bottom w:w="0" w:type="dxa"/>
            <w:right w:w="108" w:type="dxa"/>
          </w:tblCellMar>
        </w:tblPrEx>
        <w:trPr>
          <w:gridAfter w:val="1"/>
          <w:wAfter w:w="123" w:type="pct"/>
          <w:trHeight w:val="341" w:hRule="atLeast"/>
        </w:trPr>
        <w:tc>
          <w:tcPr>
            <w:tcW w:w="8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项目预算</w:t>
            </w:r>
            <w:r>
              <w:rPr>
                <w:b/>
                <w:bCs/>
                <w:color w:val="000000"/>
                <w:kern w:val="0"/>
                <w:sz w:val="24"/>
                <w:lang w:bidi="ar"/>
              </w:rPr>
              <w:br w:type="textWrapping"/>
            </w:r>
            <w:r>
              <w:rPr>
                <w:b/>
                <w:bCs/>
                <w:color w:val="000000"/>
                <w:kern w:val="0"/>
                <w:sz w:val="24"/>
                <w:lang w:bidi="ar"/>
              </w:rPr>
              <w:t>执行情况</w:t>
            </w:r>
            <w:r>
              <w:rPr>
                <w:b/>
                <w:bCs/>
                <w:color w:val="000000"/>
                <w:kern w:val="0"/>
                <w:sz w:val="24"/>
                <w:lang w:bidi="ar"/>
              </w:rPr>
              <w:br w:type="textWrapping"/>
            </w:r>
            <w:r>
              <w:rPr>
                <w:b/>
                <w:bCs/>
                <w:color w:val="000000"/>
                <w:kern w:val="0"/>
                <w:sz w:val="24"/>
                <w:lang w:bidi="ar"/>
              </w:rPr>
              <w:t>（万元）</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预算数：</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auto"/>
                <w:sz w:val="24"/>
                <w:lang w:val="en-US" w:eastAsia="zh-CN"/>
              </w:rPr>
              <w:t>3800</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执行数：</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2522</w:t>
            </w:r>
          </w:p>
        </w:tc>
      </w:tr>
      <w:tr>
        <w:tblPrEx>
          <w:tblCellMar>
            <w:top w:w="0" w:type="dxa"/>
            <w:left w:w="108" w:type="dxa"/>
            <w:bottom w:w="0" w:type="dxa"/>
            <w:right w:w="108" w:type="dxa"/>
          </w:tblCellMar>
        </w:tblPrEx>
        <w:trPr>
          <w:gridAfter w:val="1"/>
          <w:wAfter w:w="123" w:type="pct"/>
          <w:trHeight w:val="577"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kern w:val="0"/>
                <w:sz w:val="24"/>
                <w:lang w:bidi="ar"/>
              </w:rPr>
            </w:pPr>
            <w:r>
              <w:rPr>
                <w:b/>
                <w:bCs/>
                <w:color w:val="000000"/>
                <w:kern w:val="0"/>
                <w:sz w:val="24"/>
                <w:lang w:bidi="ar"/>
              </w:rPr>
              <w:t>其中：</w:t>
            </w:r>
          </w:p>
          <w:p>
            <w:pPr>
              <w:widowControl/>
              <w:spacing w:line="320" w:lineRule="exact"/>
              <w:jc w:val="both"/>
              <w:textAlignment w:val="center"/>
              <w:rPr>
                <w:b/>
                <w:bCs/>
                <w:color w:val="000000"/>
                <w:sz w:val="24"/>
              </w:rPr>
            </w:pPr>
            <w:r>
              <w:rPr>
                <w:b/>
                <w:bCs/>
                <w:color w:val="000000"/>
                <w:kern w:val="0"/>
                <w:sz w:val="24"/>
                <w:lang w:bidi="ar"/>
              </w:rPr>
              <w:t>财政拨款</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kern w:val="0"/>
                <w:sz w:val="24"/>
                <w:lang w:bidi="ar"/>
              </w:rPr>
            </w:pPr>
            <w:r>
              <w:rPr>
                <w:b/>
                <w:bCs/>
                <w:color w:val="000000"/>
                <w:kern w:val="0"/>
                <w:sz w:val="24"/>
                <w:lang w:bidi="ar"/>
              </w:rPr>
              <w:t>其中：</w:t>
            </w:r>
          </w:p>
          <w:p>
            <w:pPr>
              <w:widowControl/>
              <w:spacing w:line="320" w:lineRule="exact"/>
              <w:jc w:val="center"/>
              <w:textAlignment w:val="center"/>
              <w:rPr>
                <w:b/>
                <w:bCs/>
                <w:color w:val="000000"/>
                <w:sz w:val="24"/>
              </w:rPr>
            </w:pPr>
            <w:r>
              <w:rPr>
                <w:b/>
                <w:bCs/>
                <w:color w:val="000000"/>
                <w:kern w:val="0"/>
                <w:sz w:val="24"/>
                <w:lang w:bidi="ar"/>
              </w:rPr>
              <w:t>财政拨款</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3" w:type="pct"/>
          <w:trHeight w:val="341"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b/>
                <w:bCs/>
                <w:color w:val="000000"/>
                <w:sz w:val="24"/>
              </w:rPr>
            </w:pPr>
            <w:r>
              <w:rPr>
                <w:b/>
                <w:bCs/>
                <w:color w:val="000000"/>
                <w:kern w:val="0"/>
                <w:sz w:val="24"/>
                <w:lang w:bidi="ar"/>
              </w:rPr>
              <w:t>其他资金</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其他资金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3" w:type="pct"/>
          <w:trHeight w:val="217"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kern w:val="0"/>
                <w:sz w:val="24"/>
                <w:lang w:bidi="ar"/>
              </w:rPr>
            </w:pPr>
            <w:r>
              <w:rPr>
                <w:b/>
                <w:bCs/>
                <w:color w:val="000000"/>
                <w:kern w:val="0"/>
                <w:sz w:val="24"/>
                <w:lang w:bidi="ar"/>
              </w:rPr>
              <w:t>年度总体目标</w:t>
            </w:r>
          </w:p>
          <w:p>
            <w:pPr>
              <w:widowControl/>
              <w:spacing w:line="320" w:lineRule="exact"/>
              <w:jc w:val="center"/>
              <w:textAlignment w:val="center"/>
              <w:rPr>
                <w:b/>
                <w:bCs/>
                <w:color w:val="000000"/>
                <w:sz w:val="24"/>
              </w:rPr>
            </w:pPr>
            <w:r>
              <w:rPr>
                <w:b/>
                <w:bCs/>
                <w:color w:val="000000"/>
                <w:kern w:val="0"/>
                <w:sz w:val="24"/>
                <w:lang w:bidi="ar"/>
              </w:rPr>
              <w:t>完成情况</w:t>
            </w:r>
          </w:p>
        </w:tc>
        <w:tc>
          <w:tcPr>
            <w:tcW w:w="24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3" w:type="pct"/>
          <w:trHeight w:val="209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b/>
                <w:bCs/>
                <w:color w:val="000000"/>
                <w:sz w:val="24"/>
              </w:rPr>
            </w:pPr>
          </w:p>
        </w:tc>
        <w:tc>
          <w:tcPr>
            <w:tcW w:w="2419"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contextualSpacing/>
              <w:jc w:val="center"/>
              <w:textAlignment w:val="auto"/>
              <w:rPr>
                <w:rFonts w:ascii="Times New Roman" w:hAnsi="Times New Roman" w:eastAsia="仿宋_GB2312" w:cs="Times New Roman"/>
                <w:color w:val="auto"/>
                <w:kern w:val="2"/>
                <w:sz w:val="32"/>
                <w:szCs w:val="24"/>
                <w:lang w:val="en-US" w:eastAsia="zh-CN" w:bidi="ar-SA"/>
              </w:rPr>
            </w:pPr>
            <w:r>
              <w:rPr>
                <w:rFonts w:hint="eastAsia"/>
                <w:color w:val="auto"/>
                <w:kern w:val="0"/>
                <w:sz w:val="21"/>
                <w:szCs w:val="21"/>
                <w:shd w:val="clear" w:color="auto" w:fill="FFFFFF"/>
                <w:lang w:val="en-US" w:eastAsia="zh-CN"/>
              </w:rPr>
              <w:t>建筑面积 6800平方米，其中仁和区疾病预防控制中心业务用房 4500 平方米，仁和区公共卫生服务中心 2300 平方米。1、</w:t>
            </w:r>
            <w:r>
              <w:rPr>
                <w:rFonts w:hint="eastAsia"/>
                <w:color w:val="auto"/>
                <w:kern w:val="0"/>
                <w:sz w:val="21"/>
                <w:szCs w:val="21"/>
                <w:shd w:val="clear" w:color="auto" w:fill="FFFFFF"/>
              </w:rPr>
              <w:t>完成</w:t>
            </w:r>
            <w:r>
              <w:rPr>
                <w:rFonts w:hint="eastAsia"/>
                <w:color w:val="auto"/>
                <w:kern w:val="0"/>
                <w:sz w:val="21"/>
                <w:szCs w:val="21"/>
                <w:shd w:val="clear" w:color="auto" w:fill="FFFFFF"/>
                <w:lang w:val="en-US" w:eastAsia="zh-CN"/>
              </w:rPr>
              <w:t>第</w:t>
            </w:r>
            <w:r>
              <w:rPr>
                <w:rFonts w:hint="eastAsia"/>
                <w:color w:val="auto"/>
                <w:kern w:val="0"/>
                <w:sz w:val="21"/>
                <w:szCs w:val="21"/>
                <w:shd w:val="clear" w:color="auto" w:fill="FFFFFF"/>
              </w:rPr>
              <w:t>1-3层装饰装修</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lang w:val="en-US" w:eastAsia="zh-CN"/>
              </w:rPr>
              <w:t>2、完成</w:t>
            </w:r>
            <w:r>
              <w:rPr>
                <w:rFonts w:hint="eastAsia"/>
                <w:color w:val="auto"/>
                <w:kern w:val="0"/>
                <w:sz w:val="21"/>
                <w:szCs w:val="21"/>
                <w:shd w:val="clear" w:color="auto" w:fill="FFFFFF"/>
              </w:rPr>
              <w:t>室外工程</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lang w:val="en-US" w:eastAsia="zh-CN"/>
              </w:rPr>
              <w:t>3、完成第</w:t>
            </w:r>
            <w:r>
              <w:rPr>
                <w:rFonts w:hint="eastAsia"/>
                <w:color w:val="auto"/>
                <w:kern w:val="0"/>
                <w:sz w:val="21"/>
                <w:szCs w:val="21"/>
                <w:shd w:val="clear" w:color="auto" w:fill="FFFFFF"/>
              </w:rPr>
              <w:t>4-5层工艺装修；</w:t>
            </w:r>
            <w:r>
              <w:rPr>
                <w:rFonts w:hint="eastAsia"/>
                <w:color w:val="auto"/>
                <w:kern w:val="0"/>
                <w:sz w:val="21"/>
                <w:szCs w:val="21"/>
                <w:shd w:val="clear" w:color="auto" w:fill="FFFFFF"/>
                <w:lang w:val="en-US" w:eastAsia="zh-CN"/>
              </w:rPr>
              <w:t>4、完成</w:t>
            </w:r>
            <w:r>
              <w:rPr>
                <w:rFonts w:hint="eastAsia"/>
                <w:color w:val="auto"/>
                <w:kern w:val="0"/>
                <w:sz w:val="21"/>
                <w:szCs w:val="21"/>
                <w:shd w:val="clear" w:color="auto" w:fill="FFFFFF"/>
              </w:rPr>
              <w:t>疫苗储存冷库</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rPr>
              <w:t>实验室检测设备</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rPr>
              <w:t>办公</w:t>
            </w:r>
            <w:r>
              <w:rPr>
                <w:rFonts w:hint="eastAsia"/>
                <w:color w:val="auto"/>
                <w:kern w:val="0"/>
                <w:sz w:val="21"/>
                <w:szCs w:val="21"/>
                <w:shd w:val="clear" w:color="auto" w:fill="FFFFFF"/>
                <w:lang w:val="en-US" w:eastAsia="zh-CN"/>
              </w:rPr>
              <w:t>家具</w:t>
            </w:r>
            <w:r>
              <w:rPr>
                <w:rFonts w:hint="eastAsia"/>
                <w:color w:val="auto"/>
                <w:kern w:val="0"/>
                <w:sz w:val="21"/>
                <w:szCs w:val="21"/>
                <w:shd w:val="clear" w:color="auto" w:fill="FFFFFF"/>
              </w:rPr>
              <w:t>招标采购</w:t>
            </w:r>
            <w:r>
              <w:rPr>
                <w:rFonts w:hint="eastAsia"/>
                <w:color w:val="auto"/>
                <w:kern w:val="0"/>
                <w:sz w:val="21"/>
                <w:szCs w:val="21"/>
                <w:shd w:val="clear" w:color="auto" w:fill="FFFFFF"/>
                <w:lang w:val="en-US" w:eastAsia="zh-CN"/>
              </w:rPr>
              <w:t>及安装调试；5、</w:t>
            </w:r>
            <w:r>
              <w:rPr>
                <w:rFonts w:hint="eastAsia"/>
                <w:color w:val="auto"/>
                <w:kern w:val="0"/>
                <w:sz w:val="21"/>
                <w:szCs w:val="21"/>
                <w:shd w:val="clear" w:color="auto" w:fill="FFFFFF"/>
              </w:rPr>
              <w:t>原业务用房旧办公用品搬迁</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rPr>
              <w:t>正式投入使用。</w:t>
            </w:r>
          </w:p>
        </w:tc>
        <w:tc>
          <w:tcPr>
            <w:tcW w:w="2055"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hint="default" w:eastAsia="仿宋_GB2312"/>
                <w:color w:val="auto"/>
                <w:sz w:val="24"/>
                <w:lang w:val="en-US" w:eastAsia="zh-CN"/>
              </w:rPr>
            </w:pPr>
            <w:r>
              <w:rPr>
                <w:rFonts w:hint="eastAsia"/>
                <w:color w:val="auto"/>
                <w:kern w:val="0"/>
                <w:sz w:val="21"/>
                <w:szCs w:val="21"/>
                <w:shd w:val="clear" w:color="auto" w:fill="FFFFFF"/>
                <w:lang w:val="en-US" w:eastAsia="zh-CN"/>
              </w:rPr>
              <w:t>目前项目土建工程已完工、验收并投入使用，旧址搬迁已完成。项目通过政府采购程序购置的设备，如冷库、办公家具、空调、实验室专业设备等均已安装验收，设备正进行试运行。实验室工艺建设工程待专项验收</w:t>
            </w:r>
          </w:p>
        </w:tc>
      </w:tr>
      <w:tr>
        <w:tblPrEx>
          <w:tblCellMar>
            <w:top w:w="0" w:type="dxa"/>
            <w:left w:w="108" w:type="dxa"/>
            <w:bottom w:w="0" w:type="dxa"/>
            <w:right w:w="108" w:type="dxa"/>
          </w:tblCellMar>
        </w:tblPrEx>
        <w:trPr>
          <w:gridAfter w:val="1"/>
          <w:wAfter w:w="123" w:type="pct"/>
          <w:trHeight w:val="738" w:hRule="atLeast"/>
        </w:trPr>
        <w:tc>
          <w:tcPr>
            <w:tcW w:w="40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8"/>
                <w:szCs w:val="28"/>
              </w:rPr>
            </w:pPr>
            <w:r>
              <w:rPr>
                <w:b/>
                <w:bCs/>
                <w:color w:val="000000"/>
                <w:kern w:val="0"/>
                <w:sz w:val="28"/>
                <w:szCs w:val="28"/>
                <w:lang w:bidi="ar"/>
              </w:rPr>
              <w:t>年度绩效指标完成情况</w:t>
            </w:r>
          </w:p>
        </w:tc>
        <w:tc>
          <w:tcPr>
            <w:tcW w:w="422"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一级</w:t>
            </w:r>
          </w:p>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二级</w:t>
            </w:r>
          </w:p>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三级</w:t>
            </w:r>
          </w:p>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预期指标值</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实际完成指标值</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完成</w:t>
            </w:r>
          </w:p>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r>
              <w:rPr>
                <w:rFonts w:hint="eastAsia"/>
                <w:color w:val="auto"/>
                <w:kern w:val="0"/>
                <w:sz w:val="21"/>
                <w:szCs w:val="21"/>
                <w:shd w:val="clear" w:color="auto" w:fill="FFFFFF"/>
                <w:lang w:val="en-US" w:eastAsia="zh-CN"/>
              </w:rPr>
              <w:t>建筑面积 6800平方米，其中仁和区疾病预防控制中心业务用房 4500 平方米</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239"/>
              </w:tabs>
              <w:spacing w:line="320" w:lineRule="exact"/>
              <w:jc w:val="center"/>
              <w:textAlignment w:val="bottom"/>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shd w:val="clear" w:color="auto" w:fill="FFFFFF"/>
                <w:lang w:eastAsia="zh-CN"/>
              </w:rPr>
              <w:t>6800平方米。</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shd w:val="clear" w:color="auto" w:fill="FFFFFF"/>
                <w:lang w:eastAsia="zh-CN"/>
              </w:rPr>
              <w:t>6800平方米。</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质量指标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shd w:val="clear" w:color="auto" w:fill="FFFFFF"/>
              </w:rPr>
              <w:t>工程</w:t>
            </w:r>
            <w:r>
              <w:rPr>
                <w:rFonts w:hint="eastAsia" w:ascii="仿宋" w:hAnsi="仿宋" w:eastAsia="仿宋" w:cs="仿宋"/>
                <w:color w:val="auto"/>
                <w:kern w:val="0"/>
                <w:sz w:val="21"/>
                <w:szCs w:val="21"/>
                <w:shd w:val="clear" w:color="auto" w:fill="FFFFFF"/>
                <w:lang w:val="en-US" w:eastAsia="zh-CN"/>
              </w:rPr>
              <w:t>需要</w:t>
            </w:r>
            <w:r>
              <w:rPr>
                <w:rFonts w:hint="eastAsia" w:ascii="仿宋" w:hAnsi="仿宋" w:eastAsia="仿宋" w:cs="仿宋"/>
                <w:color w:val="auto"/>
                <w:kern w:val="0"/>
                <w:sz w:val="21"/>
                <w:szCs w:val="21"/>
                <w:shd w:val="clear" w:color="auto" w:fill="FFFFFF"/>
              </w:rPr>
              <w:t>达到的</w:t>
            </w:r>
            <w:r>
              <w:rPr>
                <w:rFonts w:hint="eastAsia" w:ascii="仿宋" w:hAnsi="仿宋" w:eastAsia="仿宋" w:cs="仿宋"/>
                <w:color w:val="auto"/>
                <w:kern w:val="0"/>
                <w:sz w:val="21"/>
                <w:szCs w:val="21"/>
                <w:shd w:val="clear" w:color="auto" w:fill="FFFFFF"/>
                <w:lang w:val="en-US" w:eastAsia="zh-CN"/>
              </w:rPr>
              <w:t>行业规范</w:t>
            </w:r>
            <w:r>
              <w:rPr>
                <w:rFonts w:hint="eastAsia" w:ascii="仿宋" w:hAnsi="仿宋" w:eastAsia="仿宋" w:cs="仿宋"/>
                <w:color w:val="auto"/>
                <w:kern w:val="0"/>
                <w:sz w:val="21"/>
                <w:szCs w:val="21"/>
                <w:shd w:val="clear" w:color="auto" w:fill="FFFFFF"/>
              </w:rPr>
              <w:t>要求</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shd w:val="clear" w:color="auto" w:fill="FFFFFF"/>
              </w:rPr>
              <w:t>工程</w:t>
            </w:r>
            <w:r>
              <w:rPr>
                <w:rFonts w:hint="eastAsia" w:ascii="仿宋" w:hAnsi="仿宋" w:eastAsia="仿宋" w:cs="仿宋"/>
                <w:color w:val="auto"/>
                <w:kern w:val="0"/>
                <w:sz w:val="21"/>
                <w:szCs w:val="21"/>
                <w:shd w:val="clear" w:color="auto" w:fill="FFFFFF"/>
                <w:lang w:val="en-US" w:eastAsia="zh-CN"/>
              </w:rPr>
              <w:t>需要</w:t>
            </w:r>
            <w:r>
              <w:rPr>
                <w:rFonts w:hint="eastAsia" w:ascii="仿宋" w:hAnsi="仿宋" w:eastAsia="仿宋" w:cs="仿宋"/>
                <w:color w:val="auto"/>
                <w:kern w:val="0"/>
                <w:sz w:val="21"/>
                <w:szCs w:val="21"/>
                <w:shd w:val="clear" w:color="auto" w:fill="FFFFFF"/>
              </w:rPr>
              <w:t>达到的</w:t>
            </w:r>
            <w:r>
              <w:rPr>
                <w:rFonts w:hint="eastAsia" w:ascii="仿宋" w:hAnsi="仿宋" w:eastAsia="仿宋" w:cs="仿宋"/>
                <w:color w:val="auto"/>
                <w:kern w:val="0"/>
                <w:sz w:val="21"/>
                <w:szCs w:val="21"/>
                <w:shd w:val="clear" w:color="auto" w:fill="FFFFFF"/>
                <w:lang w:val="en-US" w:eastAsia="zh-CN"/>
              </w:rPr>
              <w:t>行业规范</w:t>
            </w:r>
            <w:r>
              <w:rPr>
                <w:rFonts w:hint="eastAsia" w:ascii="仿宋" w:hAnsi="仿宋" w:eastAsia="仿宋" w:cs="仿宋"/>
                <w:color w:val="auto"/>
                <w:kern w:val="0"/>
                <w:sz w:val="21"/>
                <w:szCs w:val="21"/>
                <w:shd w:val="clear" w:color="auto" w:fill="FFFFFF"/>
              </w:rPr>
              <w:t>要求</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shd w:val="clear" w:color="auto" w:fill="FFFFFF"/>
                <w:lang w:val="en-US" w:eastAsia="zh-CN"/>
              </w:rPr>
              <w:t>已完成初步验收，试运行</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时效指标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项目建设工期4年</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2023年</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2022年底</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成本指标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项目投资总计5375万，2022年安排3800万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3800万元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2522万元</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效益</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经济</w:t>
            </w:r>
            <w:r>
              <w:rPr>
                <w:rFonts w:hint="eastAsia" w:ascii="仿宋" w:hAnsi="仿宋" w:eastAsia="仿宋" w:cs="仿宋"/>
                <w:b/>
                <w:bCs/>
                <w:color w:val="000000"/>
                <w:kern w:val="0"/>
                <w:sz w:val="24"/>
                <w:szCs w:val="24"/>
                <w:lang w:val="en-US" w:eastAsia="zh-CN" w:bidi="ar"/>
              </w:rPr>
              <w:t>效</w:t>
            </w:r>
            <w:r>
              <w:rPr>
                <w:rFonts w:hint="eastAsia" w:ascii="仿宋" w:hAnsi="仿宋" w:eastAsia="仿宋" w:cs="仿宋"/>
                <w:b/>
                <w:bCs/>
                <w:color w:val="000000"/>
                <w:kern w:val="0"/>
                <w:sz w:val="24"/>
                <w:szCs w:val="24"/>
                <w:lang w:bidi="ar"/>
              </w:rPr>
              <w:t>益指标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kern w:val="0"/>
                <w:sz w:val="21"/>
                <w:szCs w:val="21"/>
                <w:shd w:val="clear" w:color="auto" w:fill="FFFFFF"/>
                <w:lang w:val="en-US" w:eastAsia="zh-CN"/>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kern w:val="0"/>
                <w:sz w:val="21"/>
                <w:szCs w:val="21"/>
                <w:shd w:val="clear" w:color="auto" w:fill="FFFFFF"/>
                <w:lang w:val="en-US" w:eastAsia="zh-CN"/>
              </w:rPr>
            </w:pPr>
          </w:p>
        </w:tc>
      </w:tr>
      <w:tr>
        <w:tblPrEx>
          <w:tblCellMar>
            <w:top w:w="0" w:type="dxa"/>
            <w:left w:w="108" w:type="dxa"/>
            <w:bottom w:w="0" w:type="dxa"/>
            <w:right w:w="108" w:type="dxa"/>
          </w:tblCellMar>
        </w:tblPrEx>
        <w:trPr>
          <w:gridAfter w:val="1"/>
          <w:wAfter w:w="123" w:type="pct"/>
          <w:trHeight w:val="12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社会效益指标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提升基层公共卫生服务能力，完善公共卫生服务中心业务，建立信息化、现代化的公共卫生服务系统</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ascii="仿宋" w:hAnsi="仿宋" w:eastAsia="仿宋" w:cs="仿宋"/>
                <w:color w:val="auto"/>
                <w:kern w:val="0"/>
                <w:sz w:val="21"/>
                <w:szCs w:val="21"/>
                <w:shd w:val="clear" w:color="auto" w:fill="FFFFFF"/>
              </w:rPr>
            </w:pPr>
            <w:r>
              <w:rPr>
                <w:rFonts w:hint="eastAsia" w:ascii="仿宋" w:hAnsi="仿宋" w:eastAsia="仿宋" w:cs="仿宋"/>
                <w:color w:val="auto"/>
                <w:kern w:val="0"/>
                <w:sz w:val="21"/>
                <w:szCs w:val="21"/>
                <w:shd w:val="clear" w:color="auto" w:fill="FFFFFF"/>
              </w:rPr>
              <w:t>项目建成后将为仁和区建设公共卫生检测中心奠定实验室、检测仪器设备等重要硬件基础</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ascii="仿宋" w:hAnsi="仿宋" w:eastAsia="仿宋" w:cs="仿宋"/>
                <w:color w:val="auto"/>
                <w:kern w:val="0"/>
                <w:sz w:val="21"/>
                <w:szCs w:val="21"/>
                <w:shd w:val="clear" w:color="auto" w:fill="FFFFFF"/>
                <w:lang w:val="en-US" w:eastAsia="zh-CN"/>
              </w:rPr>
            </w:pPr>
            <w:r>
              <w:rPr>
                <w:rFonts w:hint="eastAsia" w:ascii="仿宋" w:hAnsi="仿宋" w:eastAsia="仿宋" w:cs="仿宋"/>
                <w:color w:val="auto"/>
                <w:kern w:val="0"/>
                <w:sz w:val="21"/>
                <w:szCs w:val="21"/>
                <w:shd w:val="clear" w:color="auto" w:fill="FFFFFF"/>
                <w:lang w:val="en-US" w:eastAsia="zh-CN"/>
              </w:rPr>
              <w:t>推进基层疾控能力建设，提高了公共卫生服务能力</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可持续</w:t>
            </w:r>
            <w:r>
              <w:rPr>
                <w:rFonts w:hint="eastAsia" w:ascii="仿宋" w:hAnsi="仿宋" w:eastAsia="仿宋" w:cs="仿宋"/>
                <w:b/>
                <w:bCs/>
                <w:color w:val="000000"/>
                <w:kern w:val="0"/>
                <w:sz w:val="24"/>
                <w:szCs w:val="24"/>
                <w:lang w:val="en-US" w:eastAsia="zh-CN" w:bidi="ar"/>
              </w:rPr>
              <w:t>影</w:t>
            </w:r>
            <w:r>
              <w:rPr>
                <w:rFonts w:hint="eastAsia" w:ascii="仿宋" w:hAnsi="仿宋" w:eastAsia="仿宋" w:cs="仿宋"/>
                <w:b/>
                <w:bCs/>
                <w:color w:val="000000"/>
                <w:kern w:val="0"/>
                <w:sz w:val="24"/>
                <w:szCs w:val="24"/>
                <w:lang w:bidi="ar"/>
              </w:rPr>
              <w:t>响指标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123" w:type="pct"/>
          <w:trHeight w:val="750" w:hRule="atLeast"/>
        </w:trPr>
        <w:tc>
          <w:tcPr>
            <w:tcW w:w="40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满意</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度指标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满意度</w:t>
            </w:r>
          </w:p>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社会群体满意度</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建成后群众满意度达到90%以上</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bl>
    <w:p>
      <w:pPr>
        <w:pStyle w:val="8"/>
        <w:spacing w:line="560" w:lineRule="exact"/>
        <w:ind w:firstLine="1320" w:firstLineChars="300"/>
        <w:jc w:val="both"/>
        <w:rPr>
          <w:rFonts w:hint="eastAsia" w:ascii="黑体" w:hAnsi="黑体" w:eastAsia="黑体" w:cs="黑体"/>
          <w:sz w:val="44"/>
          <w:szCs w:val="44"/>
        </w:rPr>
      </w:pPr>
      <w:r>
        <w:rPr>
          <w:rFonts w:hint="eastAsia" w:ascii="黑体" w:hAnsi="黑体" w:eastAsia="黑体" w:cs="黑体"/>
          <w:sz w:val="44"/>
          <w:szCs w:val="44"/>
          <w:lang w:val="en-US"/>
        </w:rPr>
        <w:t>202</w:t>
      </w:r>
      <w:r>
        <w:rPr>
          <w:rFonts w:hint="eastAsia" w:ascii="黑体" w:hAnsi="黑体" w:eastAsia="黑体" w:cs="黑体"/>
          <w:sz w:val="44"/>
          <w:szCs w:val="44"/>
          <w:lang w:val="en-US" w:eastAsia="zh-CN"/>
        </w:rPr>
        <w:t>2</w:t>
      </w:r>
      <w:r>
        <w:rPr>
          <w:rFonts w:hint="eastAsia" w:ascii="黑体" w:hAnsi="黑体" w:eastAsia="黑体" w:cs="黑体"/>
          <w:sz w:val="44"/>
          <w:szCs w:val="44"/>
          <w:lang w:val="en-US"/>
        </w:rPr>
        <w:t>年</w:t>
      </w:r>
      <w:r>
        <w:rPr>
          <w:rFonts w:hint="eastAsia" w:ascii="黑体" w:hAnsi="黑体" w:eastAsia="黑体" w:cs="黑体"/>
          <w:sz w:val="44"/>
          <w:szCs w:val="44"/>
        </w:rPr>
        <w:t>专项预算项目支出绩效</w:t>
      </w:r>
    </w:p>
    <w:p>
      <w:pPr>
        <w:pStyle w:val="8"/>
        <w:spacing w:line="560" w:lineRule="exact"/>
        <w:jc w:val="center"/>
        <w:rPr>
          <w:rFonts w:hint="eastAsia" w:ascii="黑体" w:hAnsi="黑体" w:eastAsia="黑体" w:cs="黑体"/>
          <w:sz w:val="44"/>
          <w:szCs w:val="44"/>
        </w:rPr>
      </w:pPr>
      <w:r>
        <w:rPr>
          <w:rFonts w:hint="eastAsia" w:ascii="黑体" w:hAnsi="黑体" w:eastAsia="黑体" w:cs="黑体"/>
          <w:sz w:val="44"/>
          <w:szCs w:val="44"/>
        </w:rPr>
        <w:t>自评报告</w:t>
      </w:r>
    </w:p>
    <w:p>
      <w:pPr>
        <w:pStyle w:val="8"/>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新并入基本公共卫生服务中央</w:t>
      </w:r>
      <w:r>
        <w:rPr>
          <w:rFonts w:hint="eastAsia" w:ascii="仿宋" w:hAnsi="仿宋" w:eastAsia="仿宋" w:cs="仿宋"/>
          <w:i w:val="0"/>
          <w:iCs w:val="0"/>
          <w:caps w:val="0"/>
          <w:color w:val="000000"/>
          <w:spacing w:val="0"/>
          <w:sz w:val="32"/>
          <w:szCs w:val="32"/>
        </w:rPr>
        <w:t>补助</w:t>
      </w:r>
      <w:r>
        <w:rPr>
          <w:rFonts w:hint="eastAsia" w:ascii="仿宋_GB2312" w:hAnsi="宋体" w:eastAsia="仿宋_GB2312"/>
          <w:color w:val="auto"/>
          <w:kern w:val="2"/>
          <w:sz w:val="32"/>
          <w:szCs w:val="32"/>
          <w:lang w:val="en-US" w:eastAsia="zh-CN"/>
        </w:rPr>
        <w:t>资金</w:t>
      </w:r>
      <w:r>
        <w:rPr>
          <w:rFonts w:hint="eastAsia" w:ascii="仿宋_GB2312" w:hAnsi="宋体" w:eastAsia="仿宋_GB2312"/>
          <w:color w:val="auto"/>
          <w:kern w:val="2"/>
          <w:sz w:val="32"/>
          <w:szCs w:val="32"/>
        </w:rPr>
        <w:t>）</w:t>
      </w:r>
    </w:p>
    <w:p>
      <w:pPr>
        <w:adjustRightInd w:val="0"/>
        <w:snapToGrid w:val="0"/>
        <w:spacing w:line="560" w:lineRule="exact"/>
        <w:ind w:firstLine="960" w:firstLineChars="30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i w:val="0"/>
          <w:iCs w:val="0"/>
          <w:caps w:val="0"/>
          <w:color w:val="000000"/>
          <w:spacing w:val="0"/>
          <w:sz w:val="32"/>
          <w:szCs w:val="32"/>
        </w:rPr>
        <w:t>攀枝花市财政局 攀枝花市卫生健康委员会</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关于下达2022年基本公共卫生服务（新并入基本公共卫生服务项目）中央补助资金的通知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 xml:space="preserve"> 攀财资社〔2022〕28号</w:t>
      </w:r>
      <w:r>
        <w:rPr>
          <w:rFonts w:hint="eastAsia" w:ascii="仿宋" w:hAnsi="仿宋" w:eastAsia="仿宋" w:cs="仿宋"/>
          <w:i w:val="0"/>
          <w:iCs w:val="0"/>
          <w:caps w:val="0"/>
          <w:color w:val="000000"/>
          <w:spacing w:val="0"/>
          <w:sz w:val="32"/>
          <w:szCs w:val="32"/>
          <w:lang w:val="en-US" w:eastAsia="zh-CN"/>
        </w:rPr>
        <w:t>文件，安排2022年</w:t>
      </w:r>
      <w:r>
        <w:rPr>
          <w:rFonts w:hint="eastAsia" w:ascii="仿宋" w:hAnsi="仿宋" w:eastAsia="仿宋" w:cs="仿宋"/>
          <w:i w:val="0"/>
          <w:iCs w:val="0"/>
          <w:caps w:val="0"/>
          <w:color w:val="000000"/>
          <w:spacing w:val="0"/>
          <w:sz w:val="32"/>
          <w:szCs w:val="32"/>
        </w:rPr>
        <w:t>新并入基本公共卫生服务项目中央补助资金</w:t>
      </w:r>
      <w:r>
        <w:rPr>
          <w:rFonts w:hint="eastAsia" w:ascii="仿宋" w:hAnsi="仿宋" w:eastAsia="仿宋" w:cs="仿宋"/>
          <w:i w:val="0"/>
          <w:iCs w:val="0"/>
          <w:caps w:val="0"/>
          <w:color w:val="000000"/>
          <w:spacing w:val="0"/>
          <w:sz w:val="32"/>
          <w:szCs w:val="32"/>
          <w:lang w:val="en-US" w:eastAsia="zh-CN"/>
        </w:rPr>
        <w:t>73.005万，市级调整收回其中重大疾病与健康危害因素监测部分资金34.135万，2022年仁和区疾病预防控制中心实际收到项目下达资金38.87万元。</w:t>
      </w:r>
    </w:p>
    <w:p>
      <w:pPr>
        <w:numPr>
          <w:ilvl w:val="0"/>
          <w:numId w:val="3"/>
        </w:numPr>
        <w:adjustRightInd w:val="0"/>
        <w:snapToGrid w:val="0"/>
        <w:spacing w:line="560" w:lineRule="exact"/>
        <w:ind w:left="24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lang w:val="en-US" w:eastAsia="zh-CN"/>
        </w:rPr>
        <w:t>项目实施总体目标是开</w:t>
      </w:r>
      <w:r>
        <w:rPr>
          <w:rFonts w:hint="eastAsia" w:ascii="仿宋" w:hAnsi="仿宋" w:eastAsia="仿宋" w:cs="仿宋"/>
          <w:b w:val="0"/>
          <w:bCs/>
          <w:sz w:val="32"/>
          <w:szCs w:val="32"/>
          <w:lang w:val="zh-CN"/>
        </w:rPr>
        <w:t>展</w:t>
      </w:r>
      <w:r>
        <w:rPr>
          <w:rFonts w:hint="eastAsia" w:ascii="仿宋" w:hAnsi="仿宋" w:eastAsia="仿宋" w:cs="仿宋"/>
          <w:b w:val="0"/>
          <w:bCs/>
          <w:sz w:val="32"/>
          <w:szCs w:val="32"/>
          <w:lang w:val="en-US" w:eastAsia="zh-CN"/>
        </w:rPr>
        <w:t>鼠疫防治</w:t>
      </w:r>
      <w:r>
        <w:rPr>
          <w:rFonts w:hint="eastAsia" w:ascii="仿宋" w:hAnsi="仿宋" w:eastAsia="仿宋" w:cs="仿宋"/>
          <w:b w:val="0"/>
          <w:bCs/>
          <w:sz w:val="32"/>
          <w:szCs w:val="32"/>
          <w:lang w:val="zh-CN"/>
        </w:rPr>
        <w:t>监测，有效控制疾病流行，为制定相关政策提供科学依据。保持重点地方疾病防治措施全面落实。开展职业病监测，最大限度地保护放射工作人员、患者和公众的健康权益。</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1．资金计划及到位。</w:t>
      </w:r>
      <w:r>
        <w:rPr>
          <w:rFonts w:hint="eastAsia" w:ascii="仿宋" w:hAnsi="仿宋" w:eastAsia="仿宋" w:cs="仿宋"/>
          <w:i w:val="0"/>
          <w:iCs w:val="0"/>
          <w:caps w:val="0"/>
          <w:color w:val="000000"/>
          <w:spacing w:val="0"/>
          <w:sz w:val="32"/>
          <w:szCs w:val="32"/>
          <w:lang w:val="en-US" w:eastAsia="zh-CN"/>
        </w:rPr>
        <w:t>仁和区疾病预防控制中心2022年7月收到仁和区财政局下达项目资金38.87万元，主要包括重点地方病防治资金13.4万元、职业病防治资金9.47万元、鼠疫防治监测14万元、食品安全与营养健康2万元。</w:t>
      </w:r>
      <w:r>
        <w:rPr>
          <w:rFonts w:hint="eastAsia" w:ascii="仿宋" w:hAnsi="仿宋" w:eastAsia="仿宋" w:cs="仿宋"/>
          <w:sz w:val="32"/>
          <w:szCs w:val="32"/>
          <w:lang w:val="en-US" w:eastAsia="zh-CN"/>
        </w:rPr>
        <w:t>资金到位率100%。</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60" w:lineRule="exact"/>
        <w:ind w:firstLine="720"/>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截止2022年12月31日按照项目实施方案开展项目工作，已经发生的支出合计38.78万元，实际完成支付8.24万元，由于财政资金紧张还有</w:t>
      </w:r>
      <w:r>
        <w:rPr>
          <w:rFonts w:hint="eastAsia" w:ascii="仿宋" w:hAnsi="仿宋" w:eastAsia="仿宋" w:cs="仿宋"/>
          <w:color w:val="000000"/>
          <w:sz w:val="32"/>
          <w:szCs w:val="32"/>
          <w:lang w:val="en-US" w:eastAsia="zh-CN"/>
        </w:rPr>
        <w:t>由于财政资金紧张还有30.54万已发生支出财政还未确认支付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按照上级主管部门制定的</w:t>
      </w:r>
      <w:r>
        <w:rPr>
          <w:rFonts w:hint="eastAsia" w:ascii="仿宋" w:hAnsi="仿宋" w:eastAsia="仿宋"/>
          <w:kern w:val="0"/>
          <w:sz w:val="32"/>
          <w:szCs w:val="32"/>
          <w:lang w:val="en-US" w:eastAsia="zh-CN"/>
        </w:rPr>
        <w:t>项目</w:t>
      </w:r>
      <w:r>
        <w:rPr>
          <w:rFonts w:ascii="仿宋" w:hAnsi="仿宋" w:eastAsia="仿宋"/>
          <w:kern w:val="0"/>
          <w:sz w:val="32"/>
          <w:szCs w:val="32"/>
        </w:rPr>
        <w:t>工作方案</w:t>
      </w:r>
      <w:r>
        <w:rPr>
          <w:rFonts w:hint="eastAsia" w:ascii="仿宋" w:hAnsi="仿宋" w:eastAsia="仿宋"/>
          <w:kern w:val="0"/>
          <w:sz w:val="32"/>
          <w:szCs w:val="32"/>
          <w:lang w:val="en-US" w:eastAsia="zh-CN"/>
        </w:rPr>
        <w:t>开展基本公共卫生服务</w:t>
      </w:r>
      <w:r>
        <w:rPr>
          <w:rFonts w:ascii="仿宋" w:hAnsi="仿宋" w:eastAsia="仿宋"/>
          <w:kern w:val="0"/>
          <w:sz w:val="32"/>
          <w:szCs w:val="32"/>
        </w:rPr>
        <w:t>相关工作，</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仁和区疾病预防控制中心按照上级业务部门下达的项目实施方案、</w:t>
      </w:r>
      <w:r>
        <w:rPr>
          <w:rFonts w:hint="eastAsia" w:ascii="仿宋" w:hAnsi="仿宋" w:eastAsia="仿宋" w:cs="仿宋"/>
          <w:sz w:val="32"/>
          <w:szCs w:val="32"/>
          <w:lang w:val="zh-CN"/>
        </w:rPr>
        <w:t>年初制定的绩效目标和各项工作指标开展各项工作，</w:t>
      </w:r>
      <w:r>
        <w:rPr>
          <w:rFonts w:hint="eastAsia" w:ascii="仿宋" w:hAnsi="仿宋" w:eastAsia="仿宋" w:cs="仿宋"/>
          <w:sz w:val="32"/>
          <w:szCs w:val="32"/>
          <w:lang w:val="en-US" w:eastAsia="zh-CN"/>
        </w:rPr>
        <w:t>将具体指标分解到具体承担业务工作的相关业务科室确保各项工作顺利推进。</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bidi w:val="0"/>
        <w:ind w:firstLine="640" w:firstLineChars="200"/>
        <w:rPr>
          <w:rFonts w:hint="eastAsia" w:ascii="仿宋" w:hAnsi="仿宋" w:eastAsia="仿宋" w:cs="仿宋"/>
          <w:sz w:val="32"/>
          <w:szCs w:val="32"/>
          <w:lang w:val="en-US"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w:t>
      </w:r>
      <w:r>
        <w:rPr>
          <w:rFonts w:hint="eastAsia" w:ascii="仿宋_GB2312" w:hAnsi="仿宋_GB2312" w:cs="仿宋_GB2312"/>
          <w:color w:val="auto"/>
          <w:sz w:val="32"/>
          <w:szCs w:val="32"/>
          <w:lang w:val="en-US" w:eastAsia="zh-CN"/>
        </w:rPr>
        <w:t>项目工作方案</w:t>
      </w:r>
      <w:r>
        <w:rPr>
          <w:rFonts w:hint="eastAsia" w:ascii="仿宋_GB2312" w:hAnsi="仿宋_GB2312" w:eastAsia="仿宋_GB2312" w:cs="仿宋_GB2312"/>
          <w:color w:val="auto"/>
          <w:sz w:val="32"/>
          <w:szCs w:val="32"/>
        </w:rPr>
        <w:t>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w:t>
      </w:r>
      <w:r>
        <w:rPr>
          <w:rFonts w:hint="eastAsia" w:ascii="仿宋" w:hAnsi="仿宋" w:eastAsia="仿宋" w:cs="仿宋"/>
          <w:sz w:val="32"/>
          <w:szCs w:val="32"/>
          <w:lang w:val="en-US" w:eastAsia="zh-CN"/>
        </w:rPr>
        <w:t>2022年12月31日各项考核指标任务达到上级要求。</w:t>
      </w:r>
    </w:p>
    <w:p>
      <w:pPr>
        <w:numPr>
          <w:ilvl w:val="0"/>
          <w:numId w:val="8"/>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重点地方病防治工作</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克山病、碘缺乏病继续保持消除水平。主动搜索发现5例疑似克山病病例，对9例慢型克山病患者进行了免费诊治，完成36例患者随访。采集五个乡镇儿童尿样、碘盐各200份，孕妇尿样、碘盐各100份，尿碘盐碘检测均达到碘盐适宜水平。地氟病维持在国家控制水平。采集病区乡8个村8份水样进行检测,氟含量均小于1mg/L，对病区学校8-12岁524名学生进行氟斑牙检诊发现氟斑牙49人，氟斑牙患病率9.35%，低于地氟病病区村氟斑牙患病率30%的控制标准；  </w:t>
      </w:r>
    </w:p>
    <w:p>
      <w:pPr>
        <w:numPr>
          <w:ilvl w:val="0"/>
          <w:numId w:val="8"/>
        </w:numPr>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职业病防治，在四川省职业病防治综合管理信息系统内，审核职业健康检查个案报告5182条。完成20家工作场所职业病危害因素监测工作。对71名尘肺病患者开展随访工作。</w:t>
      </w:r>
    </w:p>
    <w:p>
      <w:pPr>
        <w:numPr>
          <w:ilvl w:val="0"/>
          <w:numId w:val="0"/>
        </w:numPr>
        <w:bidi w:val="0"/>
        <w:ind w:firstLine="640" w:firstLineChars="200"/>
        <w:rPr>
          <w:rFonts w:ascii="楷体_GB2312" w:hAnsi="宋体" w:eastAsia="楷体_GB2312"/>
          <w:b/>
          <w:lang w:val="zh-CN"/>
        </w:rPr>
      </w:pPr>
      <w:r>
        <w:rPr>
          <w:rFonts w:hint="eastAsia" w:ascii="仿宋" w:hAnsi="仿宋" w:eastAsia="仿宋" w:cs="仿宋"/>
          <w:sz w:val="32"/>
          <w:szCs w:val="32"/>
          <w:lang w:val="en-US" w:eastAsia="zh-CN"/>
        </w:rPr>
        <w:t>3、鼠疫防治，在4个乡镇开展鼠疫监测，捕获啮齿类动物178只，鼠疫F1抗体结果阴性。</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pStyle w:val="5"/>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通过项目实施逐年缩小</w:t>
      </w:r>
      <w:r>
        <w:rPr>
          <w:rFonts w:hint="eastAsia" w:ascii="仿宋" w:hAnsi="仿宋" w:eastAsia="仿宋" w:cs="仿宋"/>
          <w:b w:val="0"/>
          <w:bCs/>
          <w:i w:val="0"/>
          <w:iCs w:val="0"/>
          <w:color w:val="000000"/>
          <w:kern w:val="0"/>
          <w:sz w:val="32"/>
          <w:szCs w:val="32"/>
          <w:u w:val="none"/>
          <w:lang w:val="en-US" w:eastAsia="zh-CN" w:bidi="ar"/>
        </w:rPr>
        <w:t>城乡居民公共卫生差距，提升基本公共卫生服务水平，提高居民健康素养水平</w:t>
      </w:r>
    </w:p>
    <w:p>
      <w:pPr>
        <w:adjustRightInd w:val="0"/>
        <w:snapToGrid w:val="0"/>
        <w:spacing w:line="560" w:lineRule="exact"/>
        <w:ind w:firstLine="640" w:firstLineChars="200"/>
        <w:rPr>
          <w:rFonts w:ascii="黑体" w:hAnsi="宋体" w:eastAsia="黑体"/>
        </w:rPr>
      </w:pPr>
      <w:r>
        <w:rPr>
          <w:rFonts w:hint="eastAsia" w:ascii="黑体" w:hAnsi="宋体" w:eastAsia="黑体"/>
        </w:rPr>
        <w:t>四、问题及建议</w:t>
      </w:r>
    </w:p>
    <w:p>
      <w:pPr>
        <w:adjustRightInd w:val="0"/>
        <w:snapToGrid w:val="0"/>
        <w:spacing w:line="560" w:lineRule="exact"/>
        <w:ind w:firstLine="321" w:firstLineChars="100"/>
        <w:rPr>
          <w:rFonts w:hint="eastAsia" w:ascii="楷体_GB2312" w:hAnsi="宋体" w:eastAsia="楷体_GB2312"/>
          <w:b/>
          <w:lang w:val="zh-CN"/>
        </w:rPr>
      </w:pPr>
      <w:r>
        <w:rPr>
          <w:rFonts w:hint="eastAsia" w:ascii="楷体_GB2312" w:hAnsi="宋体" w:eastAsia="楷体_GB2312"/>
          <w:b/>
          <w:lang w:val="zh-CN"/>
        </w:rPr>
        <w:t>（一）存在的问题。</w:t>
      </w:r>
    </w:p>
    <w:p>
      <w:pPr>
        <w:pStyle w:val="5"/>
        <w:ind w:left="0" w:leftChars="0" w:firstLine="960" w:firstLineChars="3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由于财政资金紧张，财政资金不能全额支付已经发生的项目工作费用，致使项目资金执行进度未达到预期及上级要求。</w:t>
      </w:r>
    </w:p>
    <w:p>
      <w:pPr>
        <w:widowControl/>
        <w:adjustRightInd w:val="0"/>
        <w:snapToGrid w:val="0"/>
        <w:spacing w:line="580" w:lineRule="exact"/>
        <w:contextualSpacing/>
        <w:jc w:val="left"/>
        <w:rPr>
          <w:rFonts w:hint="eastAsia" w:ascii="仿宋_GB2312" w:hAnsi="宋体"/>
          <w:lang w:val="zh-CN"/>
        </w:rPr>
      </w:pPr>
    </w:p>
    <w:p>
      <w:pPr>
        <w:widowControl/>
        <w:adjustRightInd w:val="0"/>
        <w:snapToGrid w:val="0"/>
        <w:spacing w:line="580" w:lineRule="exact"/>
        <w:contextualSpacing/>
        <w:jc w:val="left"/>
        <w:rPr>
          <w:color w:val="000000"/>
          <w:kern w:val="0"/>
          <w:szCs w:val="32"/>
          <w:shd w:val="clear" w:color="auto" w:fill="FFFFFF"/>
          <w:lang w:val="zh-CN"/>
        </w:rPr>
      </w:pPr>
    </w:p>
    <w:p>
      <w:pPr>
        <w:widowControl/>
        <w:adjustRightInd w:val="0"/>
        <w:snapToGrid w:val="0"/>
        <w:spacing w:line="580" w:lineRule="exact"/>
        <w:contextualSpacing/>
        <w:jc w:val="left"/>
        <w:rPr>
          <w:color w:val="000000"/>
          <w:kern w:val="0"/>
          <w:sz w:val="24"/>
          <w:szCs w:val="24"/>
          <w:shd w:val="clear" w:color="auto" w:fill="FFFFFF"/>
          <w:lang w:val="zh-CN"/>
        </w:rPr>
      </w:pPr>
    </w:p>
    <w:p>
      <w:pPr>
        <w:widowControl/>
        <w:adjustRightInd w:val="0"/>
        <w:snapToGrid w:val="0"/>
        <w:spacing w:line="580" w:lineRule="exact"/>
        <w:contextualSpacing/>
        <w:jc w:val="left"/>
        <w:rPr>
          <w:color w:val="000000"/>
          <w:kern w:val="0"/>
          <w:sz w:val="32"/>
          <w:szCs w:val="32"/>
          <w:shd w:val="clear" w:color="auto" w:fill="FFFFFF"/>
          <w:lang w:val="zh-CN"/>
        </w:rPr>
      </w:pPr>
      <w:r>
        <w:rPr>
          <w:color w:val="000000"/>
          <w:kern w:val="0"/>
          <w:sz w:val="32"/>
          <w:szCs w:val="32"/>
          <w:shd w:val="clear" w:color="auto" w:fill="FFFFFF"/>
          <w:lang w:val="zh-CN"/>
        </w:rPr>
        <w:t>附表：</w:t>
      </w:r>
    </w:p>
    <w:tbl>
      <w:tblPr>
        <w:tblStyle w:val="6"/>
        <w:tblpPr w:leftFromText="180" w:rightFromText="180" w:vertAnchor="text" w:horzAnchor="page" w:tblpX="1256" w:tblpY="221"/>
        <w:tblOverlap w:val="never"/>
        <w:tblW w:w="5633" w:type="pct"/>
        <w:tblInd w:w="0" w:type="dxa"/>
        <w:tblLayout w:type="autofit"/>
        <w:tblCellMar>
          <w:top w:w="0" w:type="dxa"/>
          <w:left w:w="108" w:type="dxa"/>
          <w:bottom w:w="0" w:type="dxa"/>
          <w:right w:w="108" w:type="dxa"/>
        </w:tblCellMar>
      </w:tblPr>
      <w:tblGrid>
        <w:gridCol w:w="529"/>
        <w:gridCol w:w="901"/>
        <w:gridCol w:w="1181"/>
        <w:gridCol w:w="1465"/>
        <w:gridCol w:w="2706"/>
        <w:gridCol w:w="2590"/>
        <w:gridCol w:w="229"/>
      </w:tblGrid>
      <w:tr>
        <w:tblPrEx>
          <w:tblCellMar>
            <w:top w:w="0" w:type="dxa"/>
            <w:left w:w="108" w:type="dxa"/>
            <w:bottom w:w="0" w:type="dxa"/>
            <w:right w:w="108" w:type="dxa"/>
          </w:tblCellMar>
        </w:tblPrEx>
        <w:trPr>
          <w:trHeight w:val="675" w:hRule="atLeast"/>
        </w:trPr>
        <w:tc>
          <w:tcPr>
            <w:tcW w:w="488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p>
            <w:pPr>
              <w:widowControl/>
              <w:jc w:val="center"/>
              <w:textAlignment w:val="center"/>
              <w:rPr>
                <w:rFonts w:hint="eastAsia" w:eastAsia="宋体"/>
                <w:b/>
                <w:color w:val="000000"/>
                <w:szCs w:val="32"/>
                <w:lang w:val="en-US" w:eastAsia="zh-CN"/>
              </w:rPr>
            </w:pPr>
            <w:r>
              <w:rPr>
                <w:rFonts w:hint="eastAsia" w:eastAsia="宋体"/>
                <w:b/>
                <w:color w:val="000000"/>
                <w:szCs w:val="32"/>
                <w:lang w:eastAsia="zh-CN"/>
              </w:rPr>
              <w:t>（</w:t>
            </w:r>
            <w:r>
              <w:rPr>
                <w:rFonts w:hint="eastAsia" w:eastAsia="宋体"/>
                <w:b/>
                <w:color w:val="000000"/>
                <w:szCs w:val="32"/>
                <w:lang w:val="en-US" w:eastAsia="zh-CN"/>
              </w:rPr>
              <w:t>2022年基本公共卫生服务（新并入基本公共卫生服务）</w:t>
            </w:r>
          </w:p>
          <w:p>
            <w:pPr>
              <w:widowControl/>
              <w:jc w:val="center"/>
              <w:textAlignment w:val="center"/>
              <w:rPr>
                <w:rFonts w:hint="eastAsia" w:eastAsia="宋体"/>
                <w:b/>
                <w:color w:val="000000"/>
                <w:szCs w:val="32"/>
                <w:lang w:eastAsia="zh-CN"/>
              </w:rPr>
            </w:pPr>
            <w:r>
              <w:rPr>
                <w:rFonts w:hint="eastAsia" w:eastAsia="宋体"/>
                <w:b/>
                <w:color w:val="000000"/>
                <w:szCs w:val="32"/>
                <w:lang w:val="en-US" w:eastAsia="zh-CN"/>
              </w:rPr>
              <w:t>中央财政补助资金</w:t>
            </w:r>
            <w:r>
              <w:rPr>
                <w:rFonts w:hint="eastAsia" w:eastAsia="宋体"/>
                <w:b/>
                <w:color w:val="000000"/>
                <w:szCs w:val="32"/>
                <w:lang w:eastAsia="zh-CN"/>
              </w:rPr>
              <w:t>）</w:t>
            </w:r>
          </w:p>
        </w:tc>
        <w:tc>
          <w:tcPr>
            <w:tcW w:w="119"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9" w:type="pct"/>
          <w:trHeight w:val="254" w:hRule="atLeast"/>
        </w:trPr>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主管部门及代码</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实施单位</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仁和区疾病预防控制中心</w:t>
            </w:r>
          </w:p>
        </w:tc>
      </w:tr>
      <w:tr>
        <w:tblPrEx>
          <w:tblCellMar>
            <w:top w:w="0" w:type="dxa"/>
            <w:left w:w="108" w:type="dxa"/>
            <w:bottom w:w="0" w:type="dxa"/>
            <w:right w:w="108" w:type="dxa"/>
          </w:tblCellMar>
        </w:tblPrEx>
        <w:trPr>
          <w:gridAfter w:val="1"/>
          <w:wAfter w:w="119" w:type="pct"/>
          <w:trHeight w:val="341" w:hRule="atLeast"/>
        </w:trPr>
        <w:tc>
          <w:tcPr>
            <w:tcW w:w="7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预算数：</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38.87</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执行数：</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8.24</w:t>
            </w:r>
          </w:p>
        </w:tc>
      </w:tr>
      <w:tr>
        <w:tblPrEx>
          <w:tblCellMar>
            <w:top w:w="0" w:type="dxa"/>
            <w:left w:w="108" w:type="dxa"/>
            <w:bottom w:w="0" w:type="dxa"/>
            <w:right w:w="108" w:type="dxa"/>
          </w:tblCellMar>
        </w:tblPrEx>
        <w:trPr>
          <w:gridAfter w:val="1"/>
          <w:wAfter w:w="119" w:type="pct"/>
          <w:trHeight w:val="577" w:hRule="atLeast"/>
        </w:trPr>
        <w:tc>
          <w:tcPr>
            <w:tcW w:w="7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kern w:val="0"/>
                <w:sz w:val="24"/>
                <w:lang w:bidi="ar"/>
              </w:rPr>
            </w:pPr>
            <w:r>
              <w:rPr>
                <w:color w:val="000000"/>
                <w:kern w:val="0"/>
                <w:sz w:val="24"/>
                <w:lang w:bidi="ar"/>
              </w:rPr>
              <w:t>其中：</w:t>
            </w:r>
          </w:p>
          <w:p>
            <w:pPr>
              <w:widowControl/>
              <w:spacing w:line="320" w:lineRule="exact"/>
              <w:jc w:val="both"/>
              <w:textAlignment w:val="center"/>
              <w:rPr>
                <w:color w:val="000000"/>
                <w:sz w:val="24"/>
              </w:rPr>
            </w:pPr>
            <w:r>
              <w:rPr>
                <w:rFonts w:hint="eastAsia"/>
                <w:color w:val="000000"/>
                <w:kern w:val="0"/>
                <w:sz w:val="24"/>
                <w:lang w:val="en-US" w:eastAsia="zh-CN" w:bidi="ar"/>
              </w:rPr>
              <w:t>财</w:t>
            </w:r>
            <w:r>
              <w:rPr>
                <w:color w:val="000000"/>
                <w:kern w:val="0"/>
                <w:sz w:val="24"/>
                <w:lang w:bidi="ar"/>
              </w:rPr>
              <w:t>政拨款</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38.87</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kern w:val="0"/>
                <w:sz w:val="24"/>
                <w:lang w:bidi="ar"/>
              </w:rPr>
            </w:pPr>
            <w:r>
              <w:rPr>
                <w:color w:val="000000"/>
                <w:kern w:val="0"/>
                <w:sz w:val="24"/>
                <w:lang w:bidi="ar"/>
              </w:rPr>
              <w:t>其中：</w:t>
            </w:r>
          </w:p>
          <w:p>
            <w:pPr>
              <w:widowControl/>
              <w:spacing w:line="320" w:lineRule="exact"/>
              <w:jc w:val="both"/>
              <w:textAlignment w:val="center"/>
              <w:rPr>
                <w:color w:val="000000"/>
                <w:sz w:val="24"/>
              </w:rPr>
            </w:pPr>
            <w:r>
              <w:rPr>
                <w:color w:val="000000"/>
                <w:kern w:val="0"/>
                <w:sz w:val="24"/>
                <w:lang w:bidi="ar"/>
              </w:rPr>
              <w:t>财政拨款</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default" w:eastAsia="仿宋_GB2312"/>
                <w:color w:val="000000"/>
                <w:sz w:val="24"/>
                <w:lang w:val="en-US" w:eastAsia="zh-CN"/>
              </w:rPr>
            </w:pPr>
            <w:r>
              <w:rPr>
                <w:rFonts w:hint="eastAsia"/>
                <w:color w:val="000000"/>
                <w:sz w:val="24"/>
                <w:lang w:val="en-US" w:eastAsia="zh-CN"/>
              </w:rPr>
              <w:t>8.24</w:t>
            </w:r>
          </w:p>
        </w:tc>
      </w:tr>
      <w:tr>
        <w:tblPrEx>
          <w:tblCellMar>
            <w:top w:w="0" w:type="dxa"/>
            <w:left w:w="108" w:type="dxa"/>
            <w:bottom w:w="0" w:type="dxa"/>
            <w:right w:w="108" w:type="dxa"/>
          </w:tblCellMar>
        </w:tblPrEx>
        <w:trPr>
          <w:gridAfter w:val="1"/>
          <w:wAfter w:w="119" w:type="pct"/>
          <w:trHeight w:val="341" w:hRule="atLeast"/>
        </w:trPr>
        <w:tc>
          <w:tcPr>
            <w:tcW w:w="7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其他资金</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其他资金</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p>
        </w:tc>
      </w:tr>
      <w:tr>
        <w:tblPrEx>
          <w:tblCellMar>
            <w:top w:w="0" w:type="dxa"/>
            <w:left w:w="108" w:type="dxa"/>
            <w:bottom w:w="0" w:type="dxa"/>
            <w:right w:w="108" w:type="dxa"/>
          </w:tblCellMar>
        </w:tblPrEx>
        <w:trPr>
          <w:gridAfter w:val="1"/>
          <w:wAfter w:w="119" w:type="pct"/>
          <w:trHeight w:val="217"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kern w:val="0"/>
                <w:sz w:val="24"/>
                <w:lang w:bidi="ar"/>
              </w:rPr>
            </w:pPr>
            <w:r>
              <w:rPr>
                <w:color w:val="000000"/>
                <w:kern w:val="0"/>
                <w:sz w:val="24"/>
                <w:lang w:bidi="ar"/>
              </w:rPr>
              <w:t>年度总体目标</w:t>
            </w:r>
          </w:p>
          <w:p>
            <w:pPr>
              <w:widowControl/>
              <w:spacing w:line="320" w:lineRule="exact"/>
              <w:jc w:val="both"/>
              <w:textAlignment w:val="center"/>
              <w:rPr>
                <w:color w:val="000000"/>
                <w:sz w:val="24"/>
              </w:rPr>
            </w:pPr>
            <w:r>
              <w:rPr>
                <w:color w:val="000000"/>
                <w:kern w:val="0"/>
                <w:sz w:val="24"/>
                <w:lang w:bidi="ar"/>
              </w:rPr>
              <w:t>完成情况</w:t>
            </w:r>
          </w:p>
        </w:tc>
        <w:tc>
          <w:tcPr>
            <w:tcW w:w="18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预期目标</w:t>
            </w:r>
          </w:p>
        </w:tc>
        <w:tc>
          <w:tcPr>
            <w:tcW w:w="275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19" w:type="pct"/>
          <w:trHeight w:val="1297"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4"/>
              </w:rPr>
            </w:pPr>
          </w:p>
        </w:tc>
        <w:tc>
          <w:tcPr>
            <w:tcW w:w="18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top"/>
              <w:rPr>
                <w:color w:val="000000"/>
                <w:sz w:val="21"/>
                <w:szCs w:val="21"/>
              </w:rPr>
            </w:pPr>
            <w:r>
              <w:rPr>
                <w:rFonts w:hint="eastAsia"/>
                <w:color w:val="000000"/>
                <w:sz w:val="21"/>
                <w:szCs w:val="21"/>
              </w:rPr>
              <w:t>开展对重点疾病及危害因素监测，有效控制疾病流行，为制定相关政策提供科学依据。保持重点地方疾病防治措施全面落实。开展职业病监测，最大限度地保护放射工作人员、患者和公众的健康权益。</w:t>
            </w:r>
          </w:p>
        </w:tc>
        <w:tc>
          <w:tcPr>
            <w:tcW w:w="275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top"/>
              <w:rPr>
                <w:color w:val="000000"/>
                <w:sz w:val="21"/>
                <w:szCs w:val="21"/>
              </w:rPr>
            </w:pPr>
            <w:r>
              <w:rPr>
                <w:rFonts w:hint="eastAsia"/>
                <w:color w:val="000000"/>
                <w:sz w:val="21"/>
                <w:szCs w:val="21"/>
              </w:rPr>
              <w:t>截止2022年12月31</w:t>
            </w:r>
            <w:r>
              <w:rPr>
                <w:rFonts w:hint="eastAsia"/>
                <w:color w:val="000000"/>
                <w:sz w:val="21"/>
                <w:szCs w:val="21"/>
                <w:lang w:eastAsia="zh-CN"/>
              </w:rPr>
              <w:t>，</w:t>
            </w:r>
            <w:r>
              <w:rPr>
                <w:rFonts w:hint="eastAsia"/>
                <w:color w:val="000000"/>
                <w:sz w:val="21"/>
                <w:szCs w:val="21"/>
              </w:rPr>
              <w:t>1、克山病、碘缺乏病继续保持消除水平。主动搜索发现5例疑似克山病病例，对9例慢型克山病患者进行了免费诊治，完成36例患者随访。采集五个乡镇儿童尿样、碘盐各200份，孕妇尿样、碘盐各100份，尿碘盐碘检测均达到碘盐适宜水平。2、地氟病维持在国家控制水平。采集病区乡8个村8份水样进行检测,氟含量均小于1mg/L，对病区学校8-12岁524名学生进行氟斑牙检诊发现氟斑牙49人，氟斑牙患病率9.35%，低于地氟病病区村氟斑牙患病率30%的控制标准；3、职业病防治，在四川省职业病防治综合管理信息系统内，审核职业健康检查个案报告5182条。完成20家工作场所职业病危害因素监测工作。对71名尘肺病患者开展随访工作。4、鼠疫防治，在4个乡镇开展鼠疫监测，捕获啮齿类动物178只，鼠疫F1抗体结果阴性。</w:t>
            </w:r>
          </w:p>
        </w:tc>
      </w:tr>
      <w:tr>
        <w:trPr>
          <w:gridAfter w:val="1"/>
          <w:wAfter w:w="119" w:type="pct"/>
          <w:trHeight w:val="738" w:hRule="atLeast"/>
        </w:trPr>
        <w:tc>
          <w:tcPr>
            <w:tcW w:w="276" w:type="pct"/>
            <w:vMerge w:val="restart"/>
            <w:tcBorders>
              <w:top w:val="single" w:color="000000" w:sz="4" w:space="0"/>
              <w:left w:val="single" w:color="000000" w:sz="4" w:space="0"/>
              <w:right w:val="single" w:color="000000" w:sz="4" w:space="0"/>
            </w:tcBorders>
            <w:shd w:val="clear" w:color="auto" w:fill="auto"/>
            <w:vAlign w:val="top"/>
          </w:tcPr>
          <w:p>
            <w:pPr>
              <w:widowControl/>
              <w:spacing w:line="320" w:lineRule="exact"/>
              <w:jc w:val="both"/>
              <w:textAlignment w:val="center"/>
              <w:rPr>
                <w:color w:val="000000"/>
                <w:sz w:val="28"/>
                <w:szCs w:val="28"/>
              </w:rPr>
            </w:pPr>
            <w:r>
              <w:rPr>
                <w:color w:val="000000"/>
                <w:kern w:val="0"/>
                <w:sz w:val="28"/>
                <w:szCs w:val="28"/>
                <w:lang w:bidi="ar"/>
              </w:rPr>
              <w:t>年度绩效指标完成情况</w:t>
            </w:r>
          </w:p>
        </w:tc>
        <w:tc>
          <w:tcPr>
            <w:tcW w:w="468" w:type="pct"/>
            <w:tcBorders>
              <w:top w:val="single" w:color="000000" w:sz="4" w:space="0"/>
              <w:left w:val="nil"/>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一级</w:t>
            </w:r>
          </w:p>
          <w:p>
            <w:pPr>
              <w:widowControl/>
              <w:spacing w:line="32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1"/>
                <w:szCs w:val="21"/>
                <w:lang w:bidi="ar"/>
              </w:rPr>
              <w:t>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二级</w:t>
            </w:r>
          </w:p>
          <w:p>
            <w:pPr>
              <w:widowControl/>
              <w:spacing w:line="32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三级</w:t>
            </w:r>
          </w:p>
          <w:p>
            <w:pPr>
              <w:widowControl/>
              <w:spacing w:line="32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指标</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预期指标值</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实际完成指标值</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r>
              <w:rPr>
                <w:color w:val="000000"/>
                <w:kern w:val="0"/>
                <w:sz w:val="21"/>
                <w:szCs w:val="21"/>
                <w:lang w:bidi="ar"/>
              </w:rPr>
              <w:t>完成</w:t>
            </w:r>
          </w:p>
          <w:p>
            <w:pPr>
              <w:widowControl/>
              <w:spacing w:line="320" w:lineRule="exact"/>
              <w:jc w:val="both"/>
              <w:textAlignment w:val="bottom"/>
              <w:rPr>
                <w:color w:val="000000"/>
                <w:sz w:val="21"/>
                <w:szCs w:val="21"/>
              </w:rPr>
            </w:pPr>
            <w:r>
              <w:rPr>
                <w:color w:val="000000"/>
                <w:kern w:val="0"/>
                <w:sz w:val="21"/>
                <w:szCs w:val="21"/>
                <w:lang w:bidi="ar"/>
              </w:rPr>
              <w:t>指标</w:t>
            </w:r>
          </w:p>
        </w:tc>
        <w:tc>
          <w:tcPr>
            <w:tcW w:w="615" w:type="pct"/>
            <w:vMerge w:val="restart"/>
            <w:tcBorders>
              <w:top w:val="single" w:color="000000" w:sz="4" w:space="0"/>
              <w:left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color w:val="000000"/>
                <w:kern w:val="0"/>
                <w:sz w:val="21"/>
                <w:szCs w:val="21"/>
                <w:lang w:bidi="ar"/>
              </w:rPr>
              <w:t>数量指标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碘缺乏病监测</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抽查五个乡镇孕妇、儿童8-10尿碘盐碘检测</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采集五个乡镇儿童尿样、碘盐各200份，孕妇尿样、碘盐各100份，尿碘盐碘检测均达到碘盐适宜水平。完成率：100%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克山病监测</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在辖区医疗机构主动搜索克山病病例。</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主动搜索发现5例疑似克山病病例。完成率：100%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饮水型地方性氟中毒监测</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5个病区乡的8个村8-12岁儿童氟斑牙筛查，8个村生活饮用水采集水样做水氟含量监测。</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采集病区乡8个村8份水样进行检测,氟含量均小1mg/L，对病区学校8-12岁524名学生进行氟斑牙检诊发现氟斑牙49人，氟斑牙患病率9.35%，低于地氟病病区村氟斑牙患病率30%的控制标准。完成率：100%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克山病人治疗</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对克山病慢克患者开展治疗，克山病患者随访体检。</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对9例慢型克山病患者进行了免费诊治，完成36例患者随访。完成率100%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职业健康核心指标监测区县覆盖率</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≥92%</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鼠疫防治工作</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在4个乡镇开展鼠疫监测，捕获啮齿类动物178只，鼠疫F1抗体结果阴性。</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restart"/>
            <w:tcBorders>
              <w:top w:val="single" w:color="000000" w:sz="4" w:space="0"/>
              <w:left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color w:val="000000"/>
                <w:kern w:val="0"/>
                <w:sz w:val="21"/>
                <w:szCs w:val="21"/>
                <w:lang w:bidi="ar"/>
              </w:rPr>
              <w:t>质量指标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克山病监测及治疗、碘缺乏病监测</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任务完成率100%</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职业病防治</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按照省、市级监测工作方案要求，抽取20家涉及职业危害的企业开展工作场所职业病危害因素监测工作。完成现场调查、实验室委托监测、数据上报。</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鼠疫监测</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在4个乡镇开展鼠疫监测，捕获啮齿类动物178只，鼠疫F1抗体结果阴性。</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100.00%</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color w:val="000000"/>
                <w:kern w:val="0"/>
                <w:sz w:val="21"/>
                <w:szCs w:val="21"/>
                <w:lang w:bidi="ar"/>
              </w:rPr>
              <w:t>时效指标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rFonts w:hint="eastAsia"/>
                <w:color w:val="000000"/>
                <w:sz w:val="21"/>
                <w:szCs w:val="21"/>
              </w:rPr>
              <w:t>2022年1月至2022年12月</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rFonts w:hint="eastAsia"/>
                <w:color w:val="000000"/>
                <w:sz w:val="21"/>
                <w:szCs w:val="21"/>
              </w:rPr>
              <w:t>落实工作措施，12月底各项考核指标任务达到上级要求</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rFonts w:hint="eastAsia"/>
                <w:color w:val="000000"/>
                <w:sz w:val="21"/>
                <w:szCs w:val="21"/>
              </w:rPr>
              <w:t>2022年12月31日各项考核指标任务达到上级要求</w:t>
            </w:r>
          </w:p>
        </w:tc>
      </w:tr>
      <w:tr>
        <w:tblPrEx>
          <w:tblCellMar>
            <w:top w:w="0" w:type="dxa"/>
            <w:left w:w="108" w:type="dxa"/>
            <w:bottom w:w="0" w:type="dxa"/>
            <w:right w:w="108" w:type="dxa"/>
          </w:tblCellMar>
        </w:tblPrEx>
        <w:trPr>
          <w:gridAfter w:val="1"/>
          <w:wAfter w:w="119" w:type="pct"/>
          <w:trHeight w:val="102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color w:val="000000"/>
                <w:kern w:val="0"/>
                <w:sz w:val="21"/>
                <w:szCs w:val="21"/>
                <w:lang w:bidi="ar"/>
              </w:rPr>
              <w:t>成本指标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职业病、重点地方病及鼠疫防治工作</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38.87万元</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实际完成支付8.24万元，由于财政资金紧张还有30.54万已发生支出财政未确认支付</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restart"/>
            <w:tcBorders>
              <w:top w:val="single" w:color="000000" w:sz="4" w:space="0"/>
              <w:left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color w:val="000000"/>
                <w:kern w:val="0"/>
                <w:sz w:val="21"/>
                <w:szCs w:val="21"/>
                <w:lang w:bidi="ar"/>
              </w:rPr>
              <w:t>社会效益指标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城乡居民公共卫生差距</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不断缩小</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逐年缩小</w:t>
            </w:r>
          </w:p>
        </w:tc>
      </w:tr>
      <w:tr>
        <w:tblPrEx>
          <w:tblCellMar>
            <w:top w:w="0" w:type="dxa"/>
            <w:left w:w="108" w:type="dxa"/>
            <w:bottom w:w="0" w:type="dxa"/>
            <w:right w:w="108" w:type="dxa"/>
          </w:tblCellMar>
        </w:tblPrEx>
        <w:trPr>
          <w:gridAfter w:val="1"/>
          <w:wAfter w:w="119" w:type="pct"/>
          <w:trHeight w:val="484"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vMerge w:val="continue"/>
            <w:tcBorders>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居民健康素养水平</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不断提高</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逐年提高</w:t>
            </w:r>
          </w:p>
        </w:tc>
      </w:tr>
      <w:tr>
        <w:tblPrEx>
          <w:tblCellMar>
            <w:top w:w="0" w:type="dxa"/>
            <w:left w:w="108" w:type="dxa"/>
            <w:bottom w:w="0" w:type="dxa"/>
            <w:right w:w="108" w:type="dxa"/>
          </w:tblCellMar>
        </w:tblPrEx>
        <w:trPr>
          <w:gridAfter w:val="1"/>
          <w:wAfter w:w="119" w:type="pct"/>
          <w:trHeight w:val="480" w:hRule="atLeast"/>
        </w:trPr>
        <w:tc>
          <w:tcPr>
            <w:tcW w:w="276" w:type="pct"/>
            <w:vMerge w:val="continue"/>
            <w:tcBorders>
              <w:left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r>
              <w:rPr>
                <w:rFonts w:hint="eastAsia"/>
                <w:color w:val="000000"/>
                <w:kern w:val="0"/>
                <w:sz w:val="21"/>
                <w:szCs w:val="21"/>
                <w:lang w:val="en-US" w:eastAsia="zh-CN" w:bidi="ar"/>
              </w:rPr>
              <w:t>可持续影</w:t>
            </w:r>
            <w:r>
              <w:rPr>
                <w:color w:val="000000"/>
                <w:kern w:val="0"/>
                <w:sz w:val="21"/>
                <w:szCs w:val="21"/>
                <w:lang w:bidi="ar"/>
              </w:rPr>
              <w:t>响指标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基本公共卫生服务水平</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不断提高</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逐年提高</w:t>
            </w:r>
          </w:p>
        </w:tc>
      </w:tr>
      <w:tr>
        <w:tblPrEx>
          <w:tblCellMar>
            <w:top w:w="0" w:type="dxa"/>
            <w:left w:w="108" w:type="dxa"/>
            <w:bottom w:w="0" w:type="dxa"/>
            <w:right w:w="108" w:type="dxa"/>
          </w:tblCellMar>
        </w:tblPrEx>
        <w:trPr>
          <w:gridAfter w:val="1"/>
          <w:wAfter w:w="119" w:type="pct"/>
          <w:trHeight w:val="590" w:hRule="atLeast"/>
        </w:trPr>
        <w:tc>
          <w:tcPr>
            <w:tcW w:w="276" w:type="pct"/>
            <w:vMerge w:val="continue"/>
            <w:tcBorders>
              <w:left w:val="single" w:color="000000" w:sz="4" w:space="0"/>
              <w:bottom w:val="single" w:color="000000" w:sz="4" w:space="0"/>
              <w:right w:val="single" w:color="000000" w:sz="4" w:space="0"/>
            </w:tcBorders>
            <w:shd w:val="clear" w:color="auto" w:fill="auto"/>
            <w:vAlign w:val="top"/>
          </w:tcPr>
          <w:p>
            <w:pPr>
              <w:spacing w:line="320" w:lineRule="exact"/>
              <w:jc w:val="both"/>
              <w:rPr>
                <w:color w:val="000000"/>
                <w:sz w:val="21"/>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sz w:val="21"/>
                <w:szCs w:val="21"/>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both"/>
              <w:textAlignment w:val="bottom"/>
              <w:rPr>
                <w:color w:val="000000"/>
                <w:kern w:val="0"/>
                <w:sz w:val="21"/>
                <w:szCs w:val="21"/>
                <w:lang w:bidi="ar"/>
              </w:rPr>
            </w:pPr>
            <w:r>
              <w:rPr>
                <w:color w:val="000000"/>
                <w:kern w:val="0"/>
                <w:sz w:val="21"/>
                <w:szCs w:val="21"/>
                <w:lang w:bidi="ar"/>
              </w:rPr>
              <w:t>满意度</w:t>
            </w:r>
          </w:p>
          <w:p>
            <w:pPr>
              <w:widowControl/>
              <w:spacing w:line="320" w:lineRule="exact"/>
              <w:jc w:val="both"/>
              <w:textAlignment w:val="bottom"/>
              <w:rPr>
                <w:color w:val="000000"/>
                <w:sz w:val="21"/>
                <w:szCs w:val="21"/>
              </w:rPr>
            </w:pPr>
            <w:r>
              <w:rPr>
                <w:color w:val="000000"/>
                <w:kern w:val="0"/>
                <w:sz w:val="21"/>
                <w:szCs w:val="21"/>
                <w:lang w:bidi="ar"/>
              </w:rPr>
              <w:t>指标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重点人群满意度</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抽样调查满意度达到95%及以上</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抽样调查满意度达到95%</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3099"/>
    <w:multiLevelType w:val="singleLevel"/>
    <w:tmpl w:val="A9073099"/>
    <w:lvl w:ilvl="0" w:tentative="0">
      <w:start w:val="2"/>
      <w:numFmt w:val="decimal"/>
      <w:suff w:val="nothing"/>
      <w:lvlText w:val="%1．"/>
      <w:lvlJc w:val="left"/>
    </w:lvl>
  </w:abstractNum>
  <w:abstractNum w:abstractNumId="1">
    <w:nsid w:val="BED490B9"/>
    <w:multiLevelType w:val="singleLevel"/>
    <w:tmpl w:val="BED490B9"/>
    <w:lvl w:ilvl="0" w:tentative="0">
      <w:start w:val="1"/>
      <w:numFmt w:val="chineseCounting"/>
      <w:suff w:val="nothing"/>
      <w:lvlText w:val="%1、"/>
      <w:lvlJc w:val="left"/>
      <w:rPr>
        <w:rFonts w:hint="eastAsia"/>
      </w:rPr>
    </w:lvl>
  </w:abstractNum>
  <w:abstractNum w:abstractNumId="2">
    <w:nsid w:val="0519EEEE"/>
    <w:multiLevelType w:val="singleLevel"/>
    <w:tmpl w:val="0519EEEE"/>
    <w:lvl w:ilvl="0" w:tentative="0">
      <w:start w:val="2"/>
      <w:numFmt w:val="decimal"/>
      <w:suff w:val="nothing"/>
      <w:lvlText w:val="%1．"/>
      <w:lvlJc w:val="left"/>
    </w:lvl>
  </w:abstractNum>
  <w:abstractNum w:abstractNumId="3">
    <w:nsid w:val="103D7733"/>
    <w:multiLevelType w:val="singleLevel"/>
    <w:tmpl w:val="103D7733"/>
    <w:lvl w:ilvl="0" w:tentative="0">
      <w:start w:val="1"/>
      <w:numFmt w:val="decimal"/>
      <w:suff w:val="nothing"/>
      <w:lvlText w:val="%1、"/>
      <w:lvlJc w:val="left"/>
    </w:lvl>
  </w:abstractNum>
  <w:abstractNum w:abstractNumId="4">
    <w:nsid w:val="10FF40CB"/>
    <w:multiLevelType w:val="singleLevel"/>
    <w:tmpl w:val="10FF40CB"/>
    <w:lvl w:ilvl="0" w:tentative="0">
      <w:start w:val="2"/>
      <w:numFmt w:val="chineseCounting"/>
      <w:suff w:val="nothing"/>
      <w:lvlText w:val="（%1）"/>
      <w:lvlJc w:val="left"/>
      <w:pPr>
        <w:ind w:left="-80"/>
      </w:pPr>
      <w:rPr>
        <w:rFonts w:hint="eastAsia"/>
      </w:rPr>
    </w:lvl>
  </w:abstractNum>
  <w:abstractNum w:abstractNumId="5">
    <w:nsid w:val="179F7B2D"/>
    <w:multiLevelType w:val="singleLevel"/>
    <w:tmpl w:val="179F7B2D"/>
    <w:lvl w:ilvl="0" w:tentative="0">
      <w:start w:val="2"/>
      <w:numFmt w:val="chineseCounting"/>
      <w:suff w:val="nothing"/>
      <w:lvlText w:val="（%1）"/>
      <w:lvlJc w:val="left"/>
      <w:rPr>
        <w:rFonts w:hint="eastAsia"/>
      </w:rPr>
    </w:lvl>
  </w:abstractNum>
  <w:abstractNum w:abstractNumId="6">
    <w:nsid w:val="291FD66E"/>
    <w:multiLevelType w:val="singleLevel"/>
    <w:tmpl w:val="291FD66E"/>
    <w:lvl w:ilvl="0" w:tentative="0">
      <w:start w:val="1"/>
      <w:numFmt w:val="chineseCounting"/>
      <w:suff w:val="nothing"/>
      <w:lvlText w:val="（%1）"/>
      <w:lvlJc w:val="left"/>
      <w:rPr>
        <w:rFonts w:hint="eastAsia"/>
      </w:rPr>
    </w:lvl>
  </w:abstractNum>
  <w:abstractNum w:abstractNumId="7">
    <w:nsid w:val="718656FD"/>
    <w:multiLevelType w:val="singleLevel"/>
    <w:tmpl w:val="718656FD"/>
    <w:lvl w:ilvl="0" w:tentative="0">
      <w:start w:val="1"/>
      <w:numFmt w:val="chineseCounting"/>
      <w:suff w:val="nothing"/>
      <w:lvlText w:val="（%1）"/>
      <w:lvlJc w:val="left"/>
      <w:rPr>
        <w:rFonts w:hint="eastAsia"/>
      </w:rPr>
    </w:lvl>
  </w:abstractNum>
  <w:num w:numId="1">
    <w:abstractNumId w:val="7"/>
  </w:num>
  <w:num w:numId="2">
    <w:abstractNumId w:val="1"/>
  </w:num>
  <w:num w:numId="3">
    <w:abstractNumId w:val="4"/>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72D128E"/>
    <w:rsid w:val="0B1F77BD"/>
    <w:rsid w:val="0C193B8E"/>
    <w:rsid w:val="0C397212"/>
    <w:rsid w:val="0DE102D0"/>
    <w:rsid w:val="0EDB478C"/>
    <w:rsid w:val="103F1B22"/>
    <w:rsid w:val="119B44C9"/>
    <w:rsid w:val="25087128"/>
    <w:rsid w:val="256C6B71"/>
    <w:rsid w:val="25FF434D"/>
    <w:rsid w:val="291C455A"/>
    <w:rsid w:val="36926D0C"/>
    <w:rsid w:val="39B767F3"/>
    <w:rsid w:val="3FC918BF"/>
    <w:rsid w:val="4190710A"/>
    <w:rsid w:val="4A0A4275"/>
    <w:rsid w:val="4DAF2BCF"/>
    <w:rsid w:val="4DDB6F66"/>
    <w:rsid w:val="4E130FE5"/>
    <w:rsid w:val="4FCC1E83"/>
    <w:rsid w:val="5854137A"/>
    <w:rsid w:val="5B476A1A"/>
    <w:rsid w:val="6C1E05FF"/>
    <w:rsid w:val="6F8E7B25"/>
    <w:rsid w:val="74561EEC"/>
    <w:rsid w:val="792F2AEE"/>
    <w:rsid w:val="7A6B4E37"/>
    <w:rsid w:val="7A884506"/>
    <w:rsid w:val="7ED05638"/>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Body Text First Indent 2"/>
    <w:basedOn w:val="2"/>
    <w:qFormat/>
    <w:uiPriority w:val="0"/>
    <w:pPr>
      <w:ind w:firstLine="420"/>
    </w:p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2023-04-19T07:41:00Z</dcterms:created>
  <dc:creator>admin</dc:creator>
  <cp:lastModifiedBy>Lenovo</cp:lastModifiedBy>
  <dcterms:modified xsi:type="dcterms:W3CDTF">2024-08-01T10:20:23Z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2A7DBF20435F4D2A92C8FB1F932911DF</vt:lpwstr>
  </property>
</Properties>
</file>