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2</w:t>
      </w:r>
      <w:r>
        <w:rPr>
          <w:rFonts w:eastAsia="宋体"/>
          <w:b/>
          <w:sz w:val="44"/>
          <w:szCs w:val="44"/>
          <w:shd w:val="clear" w:color="auto" w:fill="FFFFFF"/>
        </w:rPr>
        <w:t>年</w:t>
      </w:r>
      <w:r>
        <w:rPr>
          <w:rFonts w:hint="eastAsia" w:eastAsia="宋体"/>
          <w:b/>
          <w:sz w:val="44"/>
          <w:szCs w:val="44"/>
          <w:shd w:val="clear" w:color="auto" w:fill="FFFFFF"/>
          <w:lang w:val="en-US" w:eastAsia="zh-CN"/>
        </w:rPr>
        <w:t>仁和区疾病预防控制中心</w:t>
      </w:r>
      <w:r>
        <w:rPr>
          <w:rFonts w:eastAsia="宋体"/>
          <w:b/>
          <w:sz w:val="44"/>
          <w:szCs w:val="44"/>
          <w:shd w:val="clear" w:color="auto" w:fill="FFFFFF"/>
        </w:rPr>
        <w:t>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单位概况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仁和区疾病预防控制中心是区属财政全额拨款事业单位，是独立核算的一级预算单位，执行政府会计制度。</w:t>
      </w:r>
      <w:r>
        <w:rPr>
          <w:rFonts w:hint="eastAsia" w:ascii="仿宋_GB2312" w:hAnsi="仿宋"/>
          <w:sz w:val="32"/>
          <w:szCs w:val="32"/>
          <w:lang w:val="en-US" w:eastAsia="zh-CN"/>
        </w:rPr>
        <w:t>2022年</w:t>
      </w:r>
      <w:r>
        <w:rPr>
          <w:rFonts w:hint="eastAsia" w:ascii="仿宋_GB2312" w:hAnsi="仿宋" w:eastAsia="仿宋_GB2312"/>
          <w:sz w:val="32"/>
          <w:szCs w:val="32"/>
        </w:rPr>
        <w:t>中心设立中心办公室、慢性病与健康教育科、传染病预防控制及免疫规划科、艾滋病与结核病防治科、地方病防治与卫生监测科、检验科6个科室。</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机构职能。</w:t>
      </w:r>
    </w:p>
    <w:p>
      <w:pPr>
        <w:pStyle w:val="2"/>
        <w:keepNext w:val="0"/>
        <w:keepLines w:val="0"/>
        <w:pageBreakBefore w:val="0"/>
        <w:kinsoku/>
        <w:wordWrap/>
        <w:overflowPunct/>
        <w:topLinePunct w:val="0"/>
        <w:autoSpaceDE/>
        <w:autoSpaceDN/>
        <w:bidi w:val="0"/>
        <w:spacing w:after="0" w:line="360" w:lineRule="auto"/>
        <w:ind w:left="0" w:leftChars="0" w:firstLine="640"/>
        <w:textAlignment w:val="auto"/>
        <w:rPr>
          <w:color w:val="000000"/>
          <w:kern w:val="0"/>
          <w:szCs w:val="32"/>
          <w:shd w:val="clear" w:color="auto" w:fill="FFFFFF"/>
          <w:lang w:val="zh-CN"/>
        </w:rPr>
      </w:pPr>
      <w:r>
        <w:rPr>
          <w:rFonts w:hint="eastAsia" w:ascii="仿宋_GB2312" w:hAnsi="仿宋_GB2312" w:eastAsia="仿宋_GB2312" w:cs="仿宋_GB2312"/>
          <w:sz w:val="32"/>
          <w:szCs w:val="32"/>
        </w:rPr>
        <w:t>仁和区疾病预防控制中心职责是开展疾病预防控制相关科普知识的宣传、传染病、寄生虫病、地方病、非传染性疾病等预防与控制；突发公共卫生事件和灾害疫情应急处置；疫情及健康相关因素信息管理，开展疾病监测，收集、报告、分析和评价疾病与健康因素等公共卫生信息；健康危害因素与干预，开展食源性、职业性、放射性、环境性等疾病的监测评价和流行病学调查，开展公众健康和营养状况与评价，提出干预策略与措施；疾病病原生物检测、鉴定和物理、化学因子检测、评价；健康教育与健康促进，对公众进行健康指导和不良行为干预；疾病预防控制技术管理与应用指导；对基层卫生计生机构基本公共卫生服务项目中居民健康建档、重点人群管理（老年人、糖尿病、高血压、严重精神障碍）、预防接种、传染病及突发公共卫生事件报告和处理、健康教育进行技术支持和指导；其他疾病预防控制工作。</w:t>
      </w:r>
    </w:p>
    <w:p>
      <w:pPr>
        <w:widowControl/>
        <w:numPr>
          <w:ilvl w:val="0"/>
          <w:numId w:val="1"/>
        </w:numPr>
        <w:adjustRightInd w:val="0"/>
        <w:snapToGrid w:val="0"/>
        <w:spacing w:line="58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人员概况。</w:t>
      </w:r>
    </w:p>
    <w:p>
      <w:pPr>
        <w:pStyle w:val="2"/>
        <w:keepNext w:val="0"/>
        <w:keepLines w:val="0"/>
        <w:pageBreakBefore w:val="0"/>
        <w:widowControl w:val="0"/>
        <w:kinsoku/>
        <w:wordWrap/>
        <w:overflowPunct/>
        <w:topLinePunct w:val="0"/>
        <w:autoSpaceDE/>
        <w:autoSpaceDN/>
        <w:bidi w:val="0"/>
        <w:adjustRightInd/>
        <w:snapToGrid/>
        <w:spacing w:line="360" w:lineRule="auto"/>
        <w:ind w:left="304" w:leftChars="95" w:firstLine="480" w:firstLineChars="150"/>
        <w:textAlignment w:val="auto"/>
        <w:rPr>
          <w:rFonts w:ascii="仿宋" w:hAnsi="仿宋" w:eastAsia="仿宋"/>
          <w:sz w:val="30"/>
          <w:szCs w:val="30"/>
        </w:rPr>
      </w:pPr>
      <w:r>
        <w:rPr>
          <w:rFonts w:hint="eastAsia" w:ascii="仿宋" w:hAnsi="仿宋" w:eastAsia="仿宋"/>
          <w:sz w:val="32"/>
          <w:szCs w:val="32"/>
        </w:rPr>
        <w:t>中心核定</w:t>
      </w:r>
      <w:r>
        <w:rPr>
          <w:rFonts w:hint="eastAsia" w:ascii="仿宋" w:hAnsi="仿宋" w:eastAsia="仿宋"/>
          <w:sz w:val="32"/>
          <w:szCs w:val="32"/>
          <w:lang w:val="en-US" w:eastAsia="zh-CN"/>
        </w:rPr>
        <w:t>事业</w:t>
      </w:r>
      <w:r>
        <w:rPr>
          <w:rFonts w:hint="eastAsia" w:ascii="仿宋" w:hAnsi="仿宋" w:eastAsia="仿宋"/>
          <w:sz w:val="32"/>
          <w:szCs w:val="32"/>
        </w:rPr>
        <w:t>编制31人，2022年12月31日在岗人员4</w:t>
      </w:r>
      <w:r>
        <w:rPr>
          <w:rFonts w:hint="eastAsia" w:ascii="仿宋" w:hAnsi="仿宋" w:eastAsia="仿宋"/>
          <w:sz w:val="32"/>
          <w:szCs w:val="32"/>
          <w:lang w:val="en-US" w:eastAsia="zh-CN"/>
        </w:rPr>
        <w:t>6</w:t>
      </w:r>
      <w:r>
        <w:rPr>
          <w:rFonts w:hint="eastAsia" w:ascii="仿宋" w:hAnsi="仿宋" w:eastAsia="仿宋"/>
          <w:sz w:val="32"/>
          <w:szCs w:val="32"/>
        </w:rPr>
        <w:t>人，其中在编人员29人，劳务派遣人员1</w:t>
      </w:r>
      <w:r>
        <w:rPr>
          <w:rFonts w:hint="eastAsia" w:ascii="仿宋" w:hAnsi="仿宋" w:eastAsia="仿宋"/>
          <w:sz w:val="32"/>
          <w:szCs w:val="32"/>
          <w:lang w:val="en-US" w:eastAsia="zh-CN"/>
        </w:rPr>
        <w:t>0</w:t>
      </w:r>
      <w:r>
        <w:rPr>
          <w:rFonts w:hint="eastAsia" w:ascii="仿宋" w:hAnsi="仿宋" w:eastAsia="仿宋"/>
          <w:sz w:val="32"/>
          <w:szCs w:val="32"/>
        </w:rPr>
        <w:t>人，公共卫生特别岗人员7人。2022年9月新增公共卫生特别岗位工作人员7人</w:t>
      </w:r>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w:t>
      </w:r>
      <w:r>
        <w:rPr>
          <w:rFonts w:hint="eastAsia" w:eastAsia="黑体"/>
          <w:color w:val="000000"/>
          <w:kern w:val="0"/>
          <w:szCs w:val="32"/>
          <w:shd w:val="clear" w:color="auto" w:fill="FFFFFF"/>
          <w:lang w:val="en-US" w:eastAsia="zh-CN"/>
        </w:rPr>
        <w:t>单位</w:t>
      </w:r>
      <w:r>
        <w:rPr>
          <w:rFonts w:eastAsia="黑体"/>
          <w:color w:val="000000"/>
          <w:kern w:val="0"/>
          <w:szCs w:val="32"/>
          <w:shd w:val="clear" w:color="auto" w:fill="FFFFFF"/>
        </w:rPr>
        <w:t>财政资金收支情况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（一）财政资金收入情况。</w:t>
      </w:r>
    </w:p>
    <w:p>
      <w:pPr>
        <w:pStyle w:val="2"/>
        <w:keepNext w:val="0"/>
        <w:keepLines w:val="0"/>
        <w:pageBreakBefore w:val="0"/>
        <w:kinsoku/>
        <w:wordWrap/>
        <w:overflowPunct/>
        <w:topLinePunct w:val="0"/>
        <w:autoSpaceDE/>
        <w:autoSpaceDN/>
        <w:bidi w:val="0"/>
        <w:spacing w:line="360" w:lineRule="auto"/>
        <w:ind w:left="0" w:leftChars="0" w:firstLine="960" w:firstLineChars="300"/>
        <w:textAlignment w:val="auto"/>
        <w:rPr>
          <w:rFonts w:hint="default" w:eastAsia="仿宋_GB2312"/>
          <w:lang w:val="en-US" w:eastAsia="zh-CN"/>
        </w:rPr>
      </w:pPr>
      <w:r>
        <w:rPr>
          <w:rFonts w:hint="eastAsia"/>
          <w:color w:val="000000"/>
          <w:kern w:val="0"/>
          <w:szCs w:val="32"/>
          <w:shd w:val="clear" w:color="auto" w:fill="FFFFFF"/>
          <w:lang w:val="en-US" w:eastAsia="zh-CN"/>
        </w:rPr>
        <w:t>2022年仁和区疾病预防控制中心财政资金收入合计4875.29万元，年初部门预算收入626.99万元（其中基本支出556.16万元，项目支出70.83万元），追加人员经费 26.33万元，中央直达资金及专项项目资金收入3060.36万元，2021年结转结余资金1161.61万元万元。</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财政资金支出情况。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2022年</w:t>
      </w:r>
      <w:r>
        <w:rPr>
          <w:rFonts w:hint="eastAsia"/>
          <w:color w:val="000000"/>
          <w:kern w:val="0"/>
          <w:szCs w:val="32"/>
          <w:shd w:val="clear" w:color="auto" w:fill="FFFFFF"/>
          <w:lang w:val="en-US" w:eastAsia="zh-CN"/>
        </w:rPr>
        <w:t>仁和区疾病预防控制中心</w:t>
      </w:r>
      <w:r>
        <w:rPr>
          <w:rFonts w:hint="eastAsia"/>
          <w:lang w:val="en-US" w:eastAsia="zh-CN"/>
        </w:rPr>
        <w:t>财政资金支出合计3113.90万元。基本支出564.12万元，其中人员经费支出544.82万元，公用经费支出19.3万元。项目支出2549.78万元，其中部门预算项目支出10.13万元，中央直达资金及专项项目支出1384.51万元，</w:t>
      </w:r>
      <w:r>
        <w:rPr>
          <w:rFonts w:hint="eastAsia"/>
          <w:color w:val="000000"/>
          <w:kern w:val="0"/>
          <w:szCs w:val="32"/>
          <w:shd w:val="clear" w:color="auto" w:fill="FFFFFF"/>
          <w:lang w:val="en-US" w:eastAsia="zh-CN"/>
        </w:rPr>
        <w:t>2021年结转结余资金支出1155.14万元。项目支出中包含基本建设类项目支出2522万元。</w:t>
      </w:r>
    </w:p>
    <w:p>
      <w:pPr>
        <w:pStyle w:val="2"/>
        <w:numPr>
          <w:ilvl w:val="0"/>
          <w:numId w:val="0"/>
        </w:numPr>
        <w:ind w:firstLine="640" w:firstLineChars="200"/>
        <w:rPr>
          <w:rFonts w:eastAsia="黑体"/>
          <w:color w:val="000000"/>
          <w:kern w:val="0"/>
          <w:szCs w:val="32"/>
          <w:shd w:val="clear" w:color="auto" w:fill="FFFFFF"/>
        </w:rPr>
      </w:pPr>
      <w:r>
        <w:rPr>
          <w:rFonts w:eastAsia="黑体"/>
          <w:color w:val="000000"/>
          <w:kern w:val="0"/>
          <w:szCs w:val="32"/>
          <w:shd w:val="clear" w:color="auto" w:fill="FFFFFF"/>
        </w:rPr>
        <w:t>三、整体预算绩效管理情况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（一）预算项目绩效管理。</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Cs w:val="32"/>
          <w:shd w:val="clear" w:color="auto" w:fill="FFFFFF"/>
          <w:lang w:val="en-US" w:eastAsia="zh-CN"/>
        </w:rPr>
      </w:pPr>
      <w:r>
        <w:rPr>
          <w:rFonts w:hint="eastAsia"/>
          <w:color w:val="000000"/>
          <w:kern w:val="0"/>
          <w:szCs w:val="32"/>
          <w:shd w:val="clear" w:color="auto" w:fill="FFFFFF"/>
          <w:lang w:val="en-US" w:eastAsia="zh-CN"/>
        </w:rPr>
        <w:t>仁和区疾病预防控制中心2022年部门预算按照财政部门要求编制基本支出预算和项目支出预算，基本支出包含人员经费及公用经费。部门预算项目支出编制预算项目5个，其中</w:t>
      </w:r>
      <w:r>
        <w:rPr>
          <w:rFonts w:hint="eastAsia" w:ascii="仿宋" w:hAnsi="仿宋" w:eastAsia="仿宋" w:cs="仿宋"/>
          <w:b w:val="0"/>
          <w:bCs/>
          <w:color w:val="000000"/>
          <w:sz w:val="32"/>
          <w:szCs w:val="32"/>
        </w:rPr>
        <w:t>50万元以上特定目标类</w:t>
      </w:r>
      <w:r>
        <w:rPr>
          <w:rFonts w:hint="eastAsia" w:ascii="仿宋" w:hAnsi="仿宋" w:eastAsia="仿宋" w:cs="仿宋"/>
          <w:b w:val="0"/>
          <w:bCs/>
          <w:color w:val="000000"/>
          <w:sz w:val="32"/>
          <w:szCs w:val="32"/>
          <w:lang w:val="en-US" w:eastAsia="zh-CN"/>
        </w:rPr>
        <w:t>项目1个——</w:t>
      </w:r>
      <w:r>
        <w:rPr>
          <w:rFonts w:hint="eastAsia" w:ascii="仿宋" w:hAnsi="仿宋" w:eastAsia="仿宋" w:cs="仿宋"/>
          <w:b w:val="0"/>
          <w:bCs/>
          <w:color w:val="000000"/>
          <w:kern w:val="0"/>
          <w:sz w:val="32"/>
          <w:szCs w:val="32"/>
          <w:shd w:val="clear" w:color="auto" w:fill="FFFFFF"/>
          <w:lang w:val="en-US" w:eastAsia="zh-CN"/>
        </w:rPr>
        <w:t>区级艾滋病综合防治项</w:t>
      </w:r>
      <w:r>
        <w:rPr>
          <w:rFonts w:hint="eastAsia" w:ascii="仿宋" w:hAnsi="仿宋" w:eastAsia="仿宋" w:cs="仿宋"/>
          <w:color w:val="000000"/>
          <w:kern w:val="0"/>
          <w:szCs w:val="32"/>
          <w:shd w:val="clear" w:color="auto" w:fill="FFFFFF"/>
          <w:lang w:val="en-US" w:eastAsia="zh-CN"/>
        </w:rPr>
        <w:t>目资金55万元。</w:t>
      </w:r>
    </w:p>
    <w:p>
      <w:pPr>
        <w:widowControl/>
        <w:adjustRightInd w:val="0"/>
        <w:snapToGrid w:val="0"/>
        <w:spacing w:line="580" w:lineRule="exact"/>
        <w:ind w:firstLine="640" w:firstLineChars="200"/>
        <w:contextualSpacing/>
        <w:jc w:val="left"/>
        <w:rPr>
          <w:rFonts w:hint="default" w:ascii="仿宋" w:hAnsi="仿宋" w:eastAsia="仿宋" w:cs="仿宋"/>
          <w:color w:val="000000"/>
          <w:kern w:val="0"/>
          <w:szCs w:val="32"/>
          <w:shd w:val="clear" w:color="auto" w:fill="FFFFFF"/>
          <w:lang w:val="en-US" w:eastAsia="zh-CN"/>
        </w:rPr>
      </w:pPr>
      <w:r>
        <w:rPr>
          <w:rFonts w:hint="eastAsia" w:ascii="仿宋" w:hAnsi="仿宋" w:eastAsia="仿宋" w:cs="仿宋"/>
          <w:color w:val="000000"/>
          <w:kern w:val="0"/>
          <w:szCs w:val="32"/>
          <w:shd w:val="clear" w:color="auto" w:fill="FFFFFF"/>
          <w:lang w:val="en-US" w:eastAsia="zh-CN"/>
        </w:rPr>
        <w:t>中央直达资金及专项项目资金安排项目3个，其中中央直达资金项目2个（新并入基本公共卫生中央资金和医疗服务保障能力提升疾病预防控制机构能力建设中央资金），专项项目1个（重大传染病防控中央资金），其中重大传染病防控中央资金已按照市级要求开展绩效评价。</w:t>
      </w:r>
    </w:p>
    <w:p>
      <w:pPr>
        <w:widowControl/>
        <w:adjustRightInd w:val="0"/>
        <w:snapToGrid w:val="0"/>
        <w:spacing w:line="580" w:lineRule="exact"/>
        <w:ind w:firstLine="640" w:firstLineChars="200"/>
        <w:contextualSpacing/>
        <w:jc w:val="left"/>
        <w:rPr>
          <w:rFonts w:hint="default"/>
          <w:lang w:val="en-US" w:eastAsia="zh-CN"/>
        </w:rPr>
      </w:pPr>
      <w:r>
        <w:rPr>
          <w:rFonts w:hint="eastAsia" w:ascii="仿宋" w:hAnsi="仿宋" w:eastAsia="仿宋" w:cs="仿宋"/>
          <w:color w:val="000000"/>
          <w:kern w:val="0"/>
          <w:szCs w:val="32"/>
          <w:shd w:val="clear" w:color="auto" w:fill="FFFFFF"/>
          <w:lang w:val="en-US" w:eastAsia="zh-CN"/>
        </w:rPr>
        <w:t>涉及政府采购建设项目1个 ---仁和区公共卫生服务中心一期建设项目，资金安排支出2522万元，其中存量资金安排1372万元，上年结余结转资金安排1150万。</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rPr>
      </w:pPr>
      <w:r>
        <w:rPr>
          <w:rFonts w:hint="eastAsia"/>
          <w:color w:val="000000"/>
          <w:kern w:val="0"/>
          <w:szCs w:val="32"/>
          <w:shd w:val="clear" w:color="auto" w:fill="FFFFFF"/>
          <w:lang w:val="en-US" w:eastAsia="zh-CN"/>
        </w:rPr>
        <w:t>仁和区疾病预防控制中心在2022年年中开展了1次项目运行监控分析。本次对照指标评价体系，由财务负责牵头推动、督促协调，相应资金对应的具体实施业务科室对照项目实施方案及指标体系开展具体指标完成情况自评，报中心评估开展全面自评打分，对项目执行中存在的问题及需要改进的地方落实责任，确保整改到位。</w:t>
      </w:r>
    </w:p>
    <w:p>
      <w:pPr>
        <w:widowControl/>
        <w:numPr>
          <w:ilvl w:val="0"/>
          <w:numId w:val="3"/>
        </w:numPr>
        <w:adjustRightInd w:val="0"/>
        <w:snapToGrid w:val="0"/>
        <w:spacing w:line="580" w:lineRule="exact"/>
        <w:ind w:left="320" w:leftChars="0" w:firstLine="640" w:firstLineChars="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rFonts w:hint="default" w:eastAsia="仿宋_GB2312"/>
          <w:color w:val="000000"/>
          <w:kern w:val="0"/>
          <w:szCs w:val="32"/>
          <w:shd w:val="clear" w:color="auto" w:fill="FFFFFF"/>
          <w:lang w:val="en-US" w:eastAsia="zh-CN"/>
        </w:rPr>
      </w:pPr>
      <w:r>
        <w:rPr>
          <w:color w:val="000000"/>
          <w:kern w:val="0"/>
          <w:szCs w:val="32"/>
          <w:shd w:val="clear" w:color="auto" w:fill="FFFFFF"/>
        </w:rPr>
        <w:t xml:space="preserve">    </w:t>
      </w:r>
      <w:r>
        <w:rPr>
          <w:rFonts w:hint="eastAsia"/>
          <w:color w:val="000000"/>
          <w:kern w:val="0"/>
          <w:szCs w:val="32"/>
          <w:shd w:val="clear" w:color="auto" w:fill="FFFFFF"/>
          <w:lang w:val="en-US" w:eastAsia="zh-CN"/>
        </w:rPr>
        <w:t>仁和区疾病预防控制中心在2022年整体支出绩效评价工作中认真落实预算绩效评价的主体责任，持续扩大绩效自评覆盖面并实现应评尽评，做到细化内部财务部门和业务部门责任分工。认真落实对所管理项目和使用资金预算绩效评价的直接责任，认真开展自评工作，确保真实、客观反映部门财政资金绩效情况。</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pStyle w:val="2"/>
        <w:ind w:left="0" w:leftChars="0" w:firstLine="640" w:firstLineChars="200"/>
        <w:rPr>
          <w:rFonts w:hint="default" w:eastAsia="仿宋_GB2312"/>
          <w:lang w:val="en-US" w:eastAsia="zh-CN"/>
        </w:rPr>
      </w:pPr>
      <w:r>
        <w:rPr>
          <w:rFonts w:hint="eastAsia"/>
          <w:color w:val="000000"/>
          <w:kern w:val="0"/>
          <w:szCs w:val="32"/>
          <w:shd w:val="clear" w:color="auto" w:fill="FFFFFF"/>
          <w:lang w:val="en-US" w:eastAsia="zh-CN"/>
        </w:rPr>
        <w:t>通过自评打分仁和区疾病预防控制中心2022年整体绩效评价自评得分 72 分。专项预算项目支出绩效评价自评得分70分。</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二</w:t>
      </w:r>
      <w:r>
        <w:rPr>
          <w:rFonts w:hint="eastAsia"/>
          <w:color w:val="000000"/>
          <w:kern w:val="0"/>
          <w:szCs w:val="32"/>
          <w:shd w:val="clear" w:color="auto" w:fill="FFFFFF"/>
          <w:lang w:val="zh-CN"/>
        </w:rPr>
        <w:t>）</w:t>
      </w:r>
      <w:r>
        <w:rPr>
          <w:color w:val="000000"/>
          <w:kern w:val="0"/>
          <w:szCs w:val="32"/>
          <w:shd w:val="clear" w:color="auto" w:fill="FFFFFF"/>
          <w:lang w:val="zh-CN"/>
        </w:rPr>
        <w:t>存在问题。</w:t>
      </w:r>
    </w:p>
    <w:p>
      <w:pPr>
        <w:pStyle w:val="2"/>
        <w:numPr>
          <w:ilvl w:val="0"/>
          <w:numId w:val="0"/>
        </w:numPr>
        <w:rPr>
          <w:rFonts w:hint="default" w:eastAsia="仿宋_GB2312"/>
          <w:lang w:val="en-US" w:eastAsia="zh-CN"/>
        </w:rPr>
      </w:pPr>
      <w:r>
        <w:rPr>
          <w:rFonts w:hint="eastAsia"/>
          <w:lang w:val="en-US" w:eastAsia="zh-CN"/>
        </w:rPr>
        <w:t xml:space="preserve">     由于财政资金紧张，专项项目已发生的支出在2022年未能全部支付，专项预算项目资金结余按照指标评价均未达到要求，项目资金执行进度严重滞后。</w:t>
      </w:r>
    </w:p>
    <w:p>
      <w:pPr>
        <w:widowControl/>
        <w:numPr>
          <w:ilvl w:val="0"/>
          <w:numId w:val="0"/>
        </w:numPr>
        <w:adjustRightInd w:val="0"/>
        <w:snapToGrid w:val="0"/>
        <w:spacing w:line="580" w:lineRule="exact"/>
        <w:ind w:firstLine="640" w:firstLineChars="200"/>
        <w:contextualSpacing/>
        <w:jc w:val="left"/>
        <w:rPr>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三</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改</w:t>
      </w:r>
      <w:r>
        <w:rPr>
          <w:color w:val="000000"/>
          <w:kern w:val="0"/>
          <w:szCs w:val="32"/>
          <w:shd w:val="clear" w:color="auto" w:fill="FFFFFF"/>
          <w:lang w:val="zh-CN"/>
        </w:rPr>
        <w:t>进建议。</w:t>
      </w:r>
    </w:p>
    <w:p>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积极争取财政资金支持确保已完成项目的资金尽快完成拨付。</w:t>
      </w:r>
    </w:p>
    <w:p>
      <w:pPr>
        <w:pStyle w:val="2"/>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color w:val="000000"/>
          <w:kern w:val="0"/>
          <w:szCs w:val="32"/>
          <w:shd w:val="clear" w:color="auto" w:fill="FFFFFF"/>
          <w:lang w:val="zh-CN"/>
        </w:rPr>
      </w:pPr>
    </w:p>
    <w:p>
      <w:pPr>
        <w:pStyle w:val="5"/>
        <w:rPr>
          <w:lang w:val="zh-CN"/>
        </w:rPr>
      </w:pPr>
    </w:p>
    <w:tbl>
      <w:tblPr>
        <w:tblStyle w:val="9"/>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9488"/>
        <w:gridCol w:w="237"/>
      </w:tblGrid>
      <w:tr>
        <w:tblPrEx>
          <w:tblCellMar>
            <w:top w:w="0" w:type="dxa"/>
            <w:left w:w="108" w:type="dxa"/>
            <w:bottom w:w="0" w:type="dxa"/>
            <w:right w:w="108" w:type="dxa"/>
          </w:tblCellMar>
        </w:tblPrEx>
        <w:trPr>
          <w:trHeight w:val="675" w:hRule="atLeast"/>
        </w:trPr>
        <w:tc>
          <w:tcPr>
            <w:tcW w:w="4877" w:type="pct"/>
            <w:tcBorders>
              <w:top w:val="nil"/>
              <w:left w:val="nil"/>
              <w:bottom w:val="nil"/>
              <w:right w:val="nil"/>
            </w:tcBorders>
            <w:shd w:val="clear" w:color="auto" w:fill="auto"/>
            <w:vAlign w:val="center"/>
          </w:tcPr>
          <w:p>
            <w:pPr>
              <w:widowControl/>
              <w:adjustRightInd w:val="0"/>
              <w:snapToGrid w:val="0"/>
              <w:spacing w:line="580" w:lineRule="exact"/>
              <w:contextualSpacing/>
              <w:jc w:val="both"/>
              <w:rPr>
                <w:color w:val="000000"/>
                <w:kern w:val="0"/>
                <w:szCs w:val="32"/>
                <w:shd w:val="clear" w:color="auto" w:fill="FFFFFF"/>
                <w:lang w:val="zh-CN"/>
              </w:rPr>
            </w:pPr>
            <w:r>
              <w:rPr>
                <w:color w:val="000000"/>
                <w:kern w:val="0"/>
                <w:szCs w:val="32"/>
                <w:shd w:val="clear" w:color="auto" w:fill="FFFFFF"/>
                <w:lang w:val="zh-CN"/>
              </w:rPr>
              <w:t>附表：</w:t>
            </w:r>
          </w:p>
          <w:tbl>
            <w:tblPr>
              <w:tblStyle w:val="9"/>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25"/>
              <w:gridCol w:w="798"/>
              <w:gridCol w:w="1095"/>
              <w:gridCol w:w="1170"/>
              <w:gridCol w:w="2604"/>
              <w:gridCol w:w="2673"/>
              <w:gridCol w:w="222"/>
            </w:tblGrid>
            <w:tr>
              <w:tblPrEx>
                <w:tblCellMar>
                  <w:top w:w="0" w:type="dxa"/>
                  <w:left w:w="108" w:type="dxa"/>
                  <w:bottom w:w="0" w:type="dxa"/>
                  <w:right w:w="108" w:type="dxa"/>
                </w:tblCellMar>
              </w:tblPrEx>
              <w:trPr>
                <w:trHeight w:val="675" w:hRule="atLeast"/>
              </w:trPr>
              <w:tc>
                <w:tcPr>
                  <w:tcW w:w="4883"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p>
                  <w:pPr>
                    <w:widowControl/>
                    <w:jc w:val="center"/>
                    <w:textAlignment w:val="center"/>
                    <w:rPr>
                      <w:rFonts w:hint="eastAsia" w:eastAsia="宋体"/>
                      <w:b/>
                      <w:color w:val="000000"/>
                      <w:szCs w:val="32"/>
                      <w:lang w:eastAsia="zh-CN"/>
                    </w:rPr>
                  </w:pPr>
                  <w:r>
                    <w:rPr>
                      <w:rFonts w:hint="eastAsia" w:eastAsia="宋体"/>
                      <w:b/>
                      <w:color w:val="000000"/>
                      <w:szCs w:val="32"/>
                      <w:lang w:eastAsia="zh-CN"/>
                    </w:rPr>
                    <w:t>（</w:t>
                  </w:r>
                  <w:r>
                    <w:rPr>
                      <w:rFonts w:hint="eastAsia" w:eastAsia="宋体"/>
                      <w:b/>
                      <w:color w:val="000000"/>
                      <w:szCs w:val="32"/>
                      <w:lang w:val="en-US" w:eastAsia="zh-CN"/>
                    </w:rPr>
                    <w:t>区级艾滋病综合防治项目</w:t>
                  </w:r>
                  <w:r>
                    <w:rPr>
                      <w:rFonts w:hint="eastAsia" w:eastAsia="宋体"/>
                      <w:b/>
                      <w:color w:val="000000"/>
                      <w:szCs w:val="32"/>
                      <w:lang w:eastAsia="zh-CN"/>
                    </w:rPr>
                    <w:t>）</w:t>
                  </w:r>
                </w:p>
                <w:p>
                  <w:pPr>
                    <w:widowControl/>
                    <w:jc w:val="center"/>
                    <w:textAlignment w:val="center"/>
                    <w:rPr>
                      <w:rFonts w:hint="eastAsia" w:eastAsia="宋体"/>
                      <w:b/>
                      <w:color w:val="000000"/>
                      <w:szCs w:val="32"/>
                      <w:lang w:eastAsia="zh-CN"/>
                    </w:rPr>
                  </w:pPr>
                </w:p>
              </w:tc>
              <w:tc>
                <w:tcPr>
                  <w:tcW w:w="116"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6" w:type="pct"/>
                <w:trHeight w:val="254" w:hRule="atLeast"/>
              </w:trPr>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仁和区卫生健康局</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仁和区疾病预防控制中心</w:t>
                  </w:r>
                </w:p>
              </w:tc>
            </w:tr>
            <w:tr>
              <w:tblPrEx>
                <w:tblCellMar>
                  <w:top w:w="0" w:type="dxa"/>
                  <w:left w:w="108" w:type="dxa"/>
                  <w:bottom w:w="0" w:type="dxa"/>
                  <w:right w:w="108" w:type="dxa"/>
                </w:tblCellMar>
              </w:tblPrEx>
              <w:trPr>
                <w:gridAfter w:val="1"/>
                <w:wAfter w:w="116" w:type="pct"/>
                <w:trHeight w:val="451" w:hRule="atLeast"/>
              </w:trPr>
              <w:tc>
                <w:tcPr>
                  <w:tcW w:w="9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预算数：</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55</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1.1</w:t>
                  </w:r>
                </w:p>
              </w:tc>
            </w:tr>
            <w:tr>
              <w:tblPrEx>
                <w:tblCellMar>
                  <w:top w:w="0" w:type="dxa"/>
                  <w:left w:w="108" w:type="dxa"/>
                  <w:bottom w:w="0" w:type="dxa"/>
                  <w:right w:w="108" w:type="dxa"/>
                </w:tblCellMar>
              </w:tblPrEx>
              <w:trPr>
                <w:gridAfter w:val="1"/>
                <w:wAfter w:w="116" w:type="pct"/>
                <w:trHeight w:val="577" w:hRule="atLeast"/>
              </w:trPr>
              <w:tc>
                <w:tcPr>
                  <w:tcW w:w="9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55</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1.1</w:t>
                  </w:r>
                </w:p>
              </w:tc>
            </w:tr>
            <w:tr>
              <w:tblPrEx>
                <w:tblCellMar>
                  <w:top w:w="0" w:type="dxa"/>
                  <w:left w:w="108" w:type="dxa"/>
                  <w:bottom w:w="0" w:type="dxa"/>
                  <w:right w:w="108" w:type="dxa"/>
                </w:tblCellMar>
              </w:tblPrEx>
              <w:trPr>
                <w:gridAfter w:val="1"/>
                <w:wAfter w:w="116" w:type="pct"/>
                <w:trHeight w:val="341" w:hRule="atLeast"/>
              </w:trPr>
              <w:tc>
                <w:tcPr>
                  <w:tcW w:w="9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116" w:type="pct"/>
                <w:trHeight w:val="217" w:hRule="atLeast"/>
              </w:trPr>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15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116" w:type="pct"/>
                <w:trHeight w:val="1297" w:hRule="atLeast"/>
              </w:trPr>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597"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仿宋" w:hAnsi="仿宋" w:eastAsia="仿宋" w:cs="仿宋"/>
                      <w:color w:val="000000"/>
                      <w:sz w:val="21"/>
                      <w:szCs w:val="21"/>
                    </w:rPr>
                  </w:pPr>
                  <w:r>
                    <w:rPr>
                      <w:rFonts w:hint="eastAsia" w:ascii="仿宋" w:hAnsi="仿宋" w:eastAsia="仿宋" w:cs="仿宋"/>
                      <w:color w:val="000000"/>
                      <w:sz w:val="21"/>
                      <w:szCs w:val="21"/>
                    </w:rPr>
                    <w:t>部门/乡镇开展艾滋病综合防治工作；开展艾滋病监测检测，加大感染者发现力度，开展艾滋病报告管理；开展病人随访管理、配偶检测、结核筛查、CD4检测、抗病毒治疗等工作；开展艾滋病感染者关怀支持活动</w:t>
                  </w:r>
                </w:p>
              </w:tc>
              <w:tc>
                <w:tcPr>
                  <w:tcW w:w="2751" w:type="pct"/>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各</w:t>
                  </w:r>
                  <w:r>
                    <w:rPr>
                      <w:rFonts w:hint="eastAsia" w:ascii="仿宋" w:hAnsi="仿宋" w:eastAsia="仿宋" w:cs="仿宋"/>
                      <w:color w:val="000000"/>
                      <w:sz w:val="21"/>
                      <w:szCs w:val="21"/>
                    </w:rPr>
                    <w:t>部门/乡镇开展艾滋病综合防治工作</w:t>
                  </w:r>
                  <w:r>
                    <w:rPr>
                      <w:rFonts w:hint="eastAsia" w:ascii="仿宋" w:hAnsi="仿宋" w:eastAsia="仿宋" w:cs="仿宋"/>
                      <w:color w:val="000000"/>
                      <w:sz w:val="21"/>
                      <w:szCs w:val="21"/>
                      <w:lang w:val="en-US" w:eastAsia="zh-CN"/>
                    </w:rPr>
                    <w:t>一进步推进</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积极开展</w:t>
                  </w:r>
                  <w:r>
                    <w:rPr>
                      <w:rFonts w:hint="eastAsia" w:ascii="仿宋" w:hAnsi="仿宋" w:eastAsia="仿宋" w:cs="仿宋"/>
                      <w:color w:val="000000"/>
                      <w:sz w:val="21"/>
                      <w:szCs w:val="21"/>
                    </w:rPr>
                    <w:t>艾滋病监测检测，加大感染者发现力度</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规范</w:t>
                  </w:r>
                  <w:r>
                    <w:rPr>
                      <w:rFonts w:hint="eastAsia" w:ascii="仿宋" w:hAnsi="仿宋" w:eastAsia="仿宋" w:cs="仿宋"/>
                      <w:color w:val="000000"/>
                      <w:sz w:val="21"/>
                      <w:szCs w:val="21"/>
                    </w:rPr>
                    <w:t>开展艾滋病报告管理；</w:t>
                  </w:r>
                  <w:r>
                    <w:rPr>
                      <w:rFonts w:hint="eastAsia" w:ascii="仿宋" w:hAnsi="仿宋" w:eastAsia="仿宋" w:cs="仿宋"/>
                      <w:color w:val="000000"/>
                      <w:sz w:val="21"/>
                      <w:szCs w:val="21"/>
                      <w:lang w:val="en-US" w:eastAsia="zh-CN"/>
                    </w:rPr>
                    <w:t>积极</w:t>
                  </w:r>
                  <w:r>
                    <w:rPr>
                      <w:rFonts w:hint="eastAsia" w:ascii="仿宋" w:hAnsi="仿宋" w:eastAsia="仿宋" w:cs="仿宋"/>
                      <w:color w:val="000000"/>
                      <w:sz w:val="21"/>
                      <w:szCs w:val="21"/>
                    </w:rPr>
                    <w:t>开展</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病人随访管理、配偶检测、结核筛查、CD4检测、抗病毒治疗等工作；</w:t>
                  </w:r>
                  <w:r>
                    <w:rPr>
                      <w:rFonts w:hint="eastAsia" w:ascii="仿宋" w:hAnsi="仿宋" w:eastAsia="仿宋" w:cs="仿宋"/>
                      <w:color w:val="000000"/>
                      <w:sz w:val="21"/>
                      <w:szCs w:val="21"/>
                      <w:lang w:val="en-US" w:eastAsia="zh-CN"/>
                    </w:rPr>
                    <w:t>结合工作实际、积极</w:t>
                  </w:r>
                  <w:r>
                    <w:rPr>
                      <w:rFonts w:hint="eastAsia" w:ascii="仿宋" w:hAnsi="仿宋" w:eastAsia="仿宋" w:cs="仿宋"/>
                      <w:color w:val="000000"/>
                      <w:sz w:val="21"/>
                      <w:szCs w:val="21"/>
                    </w:rPr>
                    <w:t>开展</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艾滋病感染者关怀支持活动</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年终各项工作指标经上级考核优良。</w:t>
                  </w:r>
                </w:p>
              </w:tc>
            </w:tr>
            <w:tr>
              <w:tblPrEx>
                <w:tblCellMar>
                  <w:top w:w="0" w:type="dxa"/>
                  <w:left w:w="108" w:type="dxa"/>
                  <w:bottom w:w="0" w:type="dxa"/>
                  <w:right w:w="108" w:type="dxa"/>
                </w:tblCellMar>
              </w:tblPrEx>
              <w:trPr>
                <w:gridAfter w:val="1"/>
                <w:wAfter w:w="116" w:type="pct"/>
                <w:trHeight w:val="738" w:hRule="atLeast"/>
              </w:trPr>
              <w:tc>
                <w:tcPr>
                  <w:tcW w:w="53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416"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w:t>
                  </w:r>
                  <w:bookmarkStart w:id="0" w:name="_GoBack"/>
                  <w:bookmarkEnd w:id="0"/>
                  <w:r>
                    <w:rPr>
                      <w:color w:val="000000"/>
                      <w:kern w:val="0"/>
                      <w:sz w:val="28"/>
                      <w:szCs w:val="28"/>
                      <w:lang w:bidi="ar"/>
                    </w:rPr>
                    <w:t>指标值</w:t>
                  </w:r>
                </w:p>
              </w:tc>
            </w:tr>
            <w:tr>
              <w:tblPrEx>
                <w:tblCellMar>
                  <w:top w:w="0" w:type="dxa"/>
                  <w:left w:w="108" w:type="dxa"/>
                  <w:bottom w:w="0" w:type="dxa"/>
                  <w:right w:w="108" w:type="dxa"/>
                </w:tblCellMar>
              </w:tblPrEx>
              <w:trPr>
                <w:gridAfter w:val="1"/>
                <w:wAfter w:w="116" w:type="pct"/>
                <w:trHeight w:val="1020"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完成</w:t>
                  </w:r>
                </w:p>
                <w:p>
                  <w:pPr>
                    <w:widowControl/>
                    <w:spacing w:line="320" w:lineRule="exact"/>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指标</w:t>
                  </w:r>
                </w:p>
              </w:tc>
              <w:tc>
                <w:tcPr>
                  <w:tcW w:w="571"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数量指标</w:t>
                  </w:r>
                </w:p>
                <w:p>
                  <w:pPr>
                    <w:widowControl/>
                    <w:spacing w:line="320" w:lineRule="exact"/>
                    <w:jc w:val="both"/>
                    <w:textAlignment w:val="bottom"/>
                    <w:rPr>
                      <w:rFonts w:hint="eastAsia" w:ascii="仿宋" w:hAnsi="仿宋" w:eastAsia="仿宋" w:cs="仿宋"/>
                      <w:color w:val="000000"/>
                      <w:kern w:val="0"/>
                      <w:sz w:val="21"/>
                      <w:szCs w:val="21"/>
                      <w:lang w:bidi="ar"/>
                    </w:rPr>
                  </w:pPr>
                </w:p>
              </w:tc>
              <w:tc>
                <w:tcPr>
                  <w:tcW w:w="609"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吸毒人员美沙酮维持治疗</w:t>
                  </w:r>
                </w:p>
              </w:tc>
              <w:tc>
                <w:tcPr>
                  <w:tcW w:w="1358"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3万人次以上</w:t>
                  </w:r>
                </w:p>
              </w:tc>
              <w:tc>
                <w:tcPr>
                  <w:tcW w:w="1393"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在组治疗60人，日均治疗50人次，全年1.8387万人次</w:t>
                  </w:r>
                </w:p>
              </w:tc>
            </w:tr>
            <w:tr>
              <w:tblPrEx>
                <w:tblCellMar>
                  <w:top w:w="0" w:type="dxa"/>
                  <w:left w:w="108" w:type="dxa"/>
                  <w:bottom w:w="0" w:type="dxa"/>
                  <w:right w:w="108" w:type="dxa"/>
                </w:tblCellMar>
              </w:tblPrEx>
              <w:trPr>
                <w:gridAfter w:val="1"/>
                <w:wAfter w:w="116" w:type="pct"/>
                <w:trHeight w:val="570"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571"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60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落实各项防控措施</w:t>
                  </w:r>
                </w:p>
              </w:tc>
              <w:tc>
                <w:tcPr>
                  <w:tcW w:w="135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继续扩大艾滋病抗体检测，全年开展艾滋病抗体检测达到8.4万人次以上，随访艾滋病感染者850人以上，开展CD4检测800人次，配偶告知及检测达90%，抗病毒治疗800人以上</w:t>
                  </w:r>
                </w:p>
              </w:tc>
              <w:tc>
                <w:tcPr>
                  <w:tcW w:w="139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全年开展艾滋病抗体检测达到</w:t>
                  </w:r>
                  <w:r>
                    <w:rPr>
                      <w:rFonts w:hint="eastAsia" w:ascii="仿宋" w:hAnsi="仿宋" w:eastAsia="仿宋" w:cs="仿宋"/>
                      <w:color w:val="000000"/>
                      <w:sz w:val="21"/>
                      <w:szCs w:val="21"/>
                      <w:lang w:val="en-US" w:eastAsia="zh-CN"/>
                    </w:rPr>
                    <w:t>9.9万</w:t>
                  </w:r>
                  <w:r>
                    <w:rPr>
                      <w:rFonts w:hint="eastAsia" w:ascii="仿宋" w:hAnsi="仿宋" w:eastAsia="仿宋" w:cs="仿宋"/>
                      <w:color w:val="000000"/>
                      <w:sz w:val="21"/>
                      <w:szCs w:val="21"/>
                    </w:rPr>
                    <w:t>人次</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随访艾滋病感染者</w:t>
                  </w:r>
                  <w:r>
                    <w:rPr>
                      <w:rFonts w:hint="eastAsia" w:ascii="仿宋" w:hAnsi="仿宋" w:eastAsia="仿宋" w:cs="仿宋"/>
                      <w:color w:val="000000"/>
                      <w:sz w:val="21"/>
                      <w:szCs w:val="21"/>
                      <w:lang w:val="en-US" w:eastAsia="zh-CN"/>
                    </w:rPr>
                    <w:t>822</w:t>
                  </w:r>
                  <w:r>
                    <w:rPr>
                      <w:rFonts w:hint="eastAsia" w:ascii="仿宋" w:hAnsi="仿宋" w:eastAsia="仿宋" w:cs="仿宋"/>
                      <w:color w:val="000000"/>
                      <w:sz w:val="21"/>
                      <w:szCs w:val="21"/>
                    </w:rPr>
                    <w:t>人，开展CD4检测</w:t>
                  </w:r>
                  <w:r>
                    <w:rPr>
                      <w:rFonts w:hint="eastAsia" w:ascii="仿宋" w:hAnsi="仿宋" w:eastAsia="仿宋" w:cs="仿宋"/>
                      <w:color w:val="000000"/>
                      <w:sz w:val="21"/>
                      <w:szCs w:val="21"/>
                      <w:lang w:val="en-US" w:eastAsia="zh-CN"/>
                    </w:rPr>
                    <w:t>788</w:t>
                  </w:r>
                  <w:r>
                    <w:rPr>
                      <w:rFonts w:hint="eastAsia" w:ascii="仿宋" w:hAnsi="仿宋" w:eastAsia="仿宋" w:cs="仿宋"/>
                      <w:color w:val="000000"/>
                      <w:sz w:val="21"/>
                      <w:szCs w:val="21"/>
                    </w:rPr>
                    <w:t>人次，配偶告知及检测达9</w:t>
                  </w:r>
                  <w:r>
                    <w:rPr>
                      <w:rFonts w:hint="eastAsia" w:ascii="仿宋" w:hAnsi="仿宋" w:eastAsia="仿宋" w:cs="仿宋"/>
                      <w:color w:val="000000"/>
                      <w:sz w:val="21"/>
                      <w:szCs w:val="21"/>
                      <w:lang w:val="en-US" w:eastAsia="zh-CN"/>
                    </w:rPr>
                    <w:t>3.6</w:t>
                  </w:r>
                  <w:r>
                    <w:rPr>
                      <w:rFonts w:hint="eastAsia" w:ascii="仿宋" w:hAnsi="仿宋" w:eastAsia="仿宋" w:cs="仿宋"/>
                      <w:color w:val="000000"/>
                      <w:sz w:val="21"/>
                      <w:szCs w:val="21"/>
                    </w:rPr>
                    <w:t>%，抗病毒治疗</w:t>
                  </w:r>
                  <w:r>
                    <w:rPr>
                      <w:rFonts w:hint="eastAsia" w:ascii="仿宋" w:hAnsi="仿宋" w:eastAsia="仿宋" w:cs="仿宋"/>
                      <w:color w:val="000000"/>
                      <w:sz w:val="21"/>
                      <w:szCs w:val="21"/>
                      <w:lang w:val="en-US" w:eastAsia="zh-CN"/>
                    </w:rPr>
                    <w:t>795</w:t>
                  </w:r>
                  <w:r>
                    <w:rPr>
                      <w:rFonts w:hint="eastAsia" w:ascii="仿宋" w:hAnsi="仿宋" w:eastAsia="仿宋" w:cs="仿宋"/>
                      <w:color w:val="000000"/>
                      <w:sz w:val="21"/>
                      <w:szCs w:val="21"/>
                    </w:rPr>
                    <w:t>人</w:t>
                  </w:r>
                  <w:r>
                    <w:rPr>
                      <w:rFonts w:hint="eastAsia" w:ascii="仿宋" w:hAnsi="仿宋" w:eastAsia="仿宋" w:cs="仿宋"/>
                      <w:color w:val="000000"/>
                      <w:sz w:val="21"/>
                      <w:szCs w:val="21"/>
                      <w:lang w:eastAsia="zh-CN"/>
                    </w:rPr>
                    <w:t>。</w:t>
                  </w:r>
                </w:p>
              </w:tc>
            </w:tr>
            <w:tr>
              <w:tblPrEx>
                <w:tblCellMar>
                  <w:top w:w="0" w:type="dxa"/>
                  <w:left w:w="108" w:type="dxa"/>
                  <w:bottom w:w="0" w:type="dxa"/>
                  <w:right w:w="108" w:type="dxa"/>
                </w:tblCellMar>
              </w:tblPrEx>
              <w:trPr>
                <w:gridAfter w:val="1"/>
                <w:wAfter w:w="116" w:type="pct"/>
                <w:trHeight w:val="2475"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 w:hAnsi="仿宋" w:eastAsia="仿宋" w:cs="仿宋"/>
                      <w:color w:val="000000"/>
                      <w:kern w:val="0"/>
                      <w:sz w:val="21"/>
                      <w:szCs w:val="21"/>
                      <w:lang w:bidi="ar"/>
                    </w:rPr>
                  </w:pPr>
                </w:p>
              </w:tc>
              <w:tc>
                <w:tcPr>
                  <w:tcW w:w="57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60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部门、乡镇/街办参与艾滋病防治</w:t>
                  </w:r>
                </w:p>
              </w:tc>
              <w:tc>
                <w:tcPr>
                  <w:tcW w:w="135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开展宣传，干预，动员检测，追踪失访及未治疗感染者参与治疗，掌握</w:t>
                  </w:r>
                  <w:r>
                    <w:rPr>
                      <w:rFonts w:hint="eastAsia" w:ascii="仿宋" w:hAnsi="仿宋" w:eastAsia="仿宋" w:cs="仿宋"/>
                      <w:color w:val="000000"/>
                      <w:sz w:val="21"/>
                      <w:szCs w:val="21"/>
                      <w:lang w:val="en-US" w:eastAsia="zh-CN"/>
                    </w:rPr>
                    <w:t>感染</w:t>
                  </w:r>
                  <w:r>
                    <w:rPr>
                      <w:rFonts w:hint="eastAsia" w:ascii="仿宋" w:hAnsi="仿宋" w:eastAsia="仿宋" w:cs="仿宋"/>
                      <w:color w:val="000000"/>
                      <w:sz w:val="21"/>
                      <w:szCs w:val="21"/>
                    </w:rPr>
                    <w:t>育龄妇女信息，随访管理、督导服药等</w:t>
                  </w:r>
                </w:p>
              </w:tc>
              <w:tc>
                <w:tcPr>
                  <w:tcW w:w="13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全年</w:t>
                  </w:r>
                  <w:r>
                    <w:rPr>
                      <w:rFonts w:hint="eastAsia" w:ascii="仿宋" w:hAnsi="仿宋" w:eastAsia="仿宋" w:cs="仿宋"/>
                      <w:color w:val="000000"/>
                      <w:sz w:val="21"/>
                      <w:szCs w:val="21"/>
                    </w:rPr>
                    <w:t>开展宣传，干预，动员检测</w:t>
                  </w:r>
                  <w:r>
                    <w:rPr>
                      <w:rFonts w:hint="eastAsia" w:ascii="仿宋" w:hAnsi="仿宋" w:eastAsia="仿宋" w:cs="仿宋"/>
                      <w:color w:val="000000"/>
                      <w:sz w:val="21"/>
                      <w:szCs w:val="21"/>
                      <w:lang w:val="en-US" w:eastAsia="zh-CN"/>
                    </w:rPr>
                    <w:t>等中大型活动13次</w:t>
                  </w:r>
                  <w:r>
                    <w:rPr>
                      <w:rFonts w:hint="eastAsia" w:ascii="仿宋" w:hAnsi="仿宋" w:eastAsia="仿宋" w:cs="仿宋"/>
                      <w:color w:val="000000"/>
                      <w:sz w:val="21"/>
                      <w:szCs w:val="21"/>
                    </w:rPr>
                    <w:t>，追踪失访及未治疗感染者参与治疗</w:t>
                  </w:r>
                  <w:r>
                    <w:rPr>
                      <w:rFonts w:hint="eastAsia" w:ascii="仿宋" w:hAnsi="仿宋" w:eastAsia="仿宋" w:cs="仿宋"/>
                      <w:color w:val="000000"/>
                      <w:sz w:val="21"/>
                      <w:szCs w:val="21"/>
                      <w:lang w:val="en-US" w:eastAsia="zh-CN"/>
                    </w:rPr>
                    <w:t>382人次</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及时</w:t>
                  </w:r>
                  <w:r>
                    <w:rPr>
                      <w:rFonts w:hint="eastAsia" w:ascii="仿宋" w:hAnsi="仿宋" w:eastAsia="仿宋" w:cs="仿宋"/>
                      <w:color w:val="000000"/>
                      <w:sz w:val="21"/>
                      <w:szCs w:val="21"/>
                    </w:rPr>
                    <w:t>掌握</w:t>
                  </w:r>
                  <w:r>
                    <w:rPr>
                      <w:rFonts w:hint="eastAsia" w:ascii="仿宋" w:hAnsi="仿宋" w:eastAsia="仿宋" w:cs="仿宋"/>
                      <w:color w:val="000000"/>
                      <w:sz w:val="21"/>
                      <w:szCs w:val="21"/>
                      <w:lang w:val="en-US" w:eastAsia="zh-CN"/>
                    </w:rPr>
                    <w:t>感染</w:t>
                  </w:r>
                  <w:r>
                    <w:rPr>
                      <w:rFonts w:hint="eastAsia" w:ascii="仿宋" w:hAnsi="仿宋" w:eastAsia="仿宋" w:cs="仿宋"/>
                      <w:color w:val="000000"/>
                      <w:sz w:val="21"/>
                      <w:szCs w:val="21"/>
                    </w:rPr>
                    <w:t>育龄妇女信息</w:t>
                  </w:r>
                  <w:r>
                    <w:rPr>
                      <w:rFonts w:hint="eastAsia" w:ascii="仿宋" w:hAnsi="仿宋" w:eastAsia="仿宋" w:cs="仿宋"/>
                      <w:color w:val="000000"/>
                      <w:sz w:val="21"/>
                      <w:szCs w:val="21"/>
                      <w:lang w:val="en-US" w:eastAsia="zh-CN"/>
                    </w:rPr>
                    <w:t>8人</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经动员终止妊娠8人，规范</w:t>
                  </w:r>
                  <w:r>
                    <w:rPr>
                      <w:rFonts w:hint="eastAsia" w:ascii="仿宋" w:hAnsi="仿宋" w:eastAsia="仿宋" w:cs="仿宋"/>
                      <w:color w:val="000000"/>
                      <w:sz w:val="21"/>
                      <w:szCs w:val="21"/>
                    </w:rPr>
                    <w:t>随访管理、督导服药</w:t>
                  </w:r>
                  <w:r>
                    <w:rPr>
                      <w:rFonts w:hint="eastAsia" w:ascii="仿宋" w:hAnsi="仿宋" w:eastAsia="仿宋" w:cs="仿宋"/>
                      <w:color w:val="000000"/>
                      <w:sz w:val="21"/>
                      <w:szCs w:val="21"/>
                      <w:lang w:val="en-US" w:eastAsia="zh-CN"/>
                    </w:rPr>
                    <w:t>5人</w:t>
                  </w:r>
                  <w:r>
                    <w:rPr>
                      <w:rFonts w:hint="eastAsia" w:ascii="仿宋" w:hAnsi="仿宋" w:eastAsia="仿宋" w:cs="仿宋"/>
                      <w:color w:val="000000"/>
                      <w:sz w:val="21"/>
                      <w:szCs w:val="21"/>
                    </w:rPr>
                    <w:t>。</w:t>
                  </w:r>
                </w:p>
              </w:tc>
            </w:tr>
            <w:tr>
              <w:tblPrEx>
                <w:tblCellMar>
                  <w:top w:w="0" w:type="dxa"/>
                  <w:left w:w="108" w:type="dxa"/>
                  <w:bottom w:w="0" w:type="dxa"/>
                  <w:right w:w="108" w:type="dxa"/>
                </w:tblCellMar>
              </w:tblPrEx>
              <w:trPr>
                <w:gridAfter w:val="1"/>
                <w:wAfter w:w="116" w:type="pct"/>
                <w:trHeight w:val="1325"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571"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质量指标</w:t>
                  </w:r>
                </w:p>
                <w:p>
                  <w:pPr>
                    <w:widowControl/>
                    <w:spacing w:line="320" w:lineRule="exact"/>
                    <w:jc w:val="both"/>
                    <w:textAlignment w:val="bottom"/>
                    <w:rPr>
                      <w:rFonts w:hint="eastAsia" w:ascii="仿宋" w:hAnsi="仿宋" w:eastAsia="仿宋" w:cs="仿宋"/>
                      <w:color w:val="000000"/>
                      <w:kern w:val="0"/>
                      <w:sz w:val="21"/>
                      <w:szCs w:val="21"/>
                      <w:lang w:bidi="ar"/>
                    </w:rPr>
                  </w:pPr>
                </w:p>
              </w:tc>
              <w:tc>
                <w:tcPr>
                  <w:tcW w:w="60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吸毒人员美沙酮维持治疗</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p>
              </w:tc>
              <w:tc>
                <w:tcPr>
                  <w:tcW w:w="135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全年维持治疗率80%以上</w:t>
                  </w:r>
                </w:p>
              </w:tc>
              <w:tc>
                <w:tcPr>
                  <w:tcW w:w="139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全年维持治疗率</w:t>
                  </w:r>
                  <w:r>
                    <w:rPr>
                      <w:rFonts w:hint="eastAsia" w:ascii="仿宋" w:hAnsi="仿宋" w:eastAsia="仿宋" w:cs="仿宋"/>
                      <w:color w:val="000000"/>
                      <w:sz w:val="21"/>
                      <w:szCs w:val="21"/>
                      <w:lang w:val="en-US" w:eastAsia="zh-CN"/>
                    </w:rPr>
                    <w:t>87.72%</w:t>
                  </w:r>
                </w:p>
              </w:tc>
            </w:tr>
            <w:tr>
              <w:tblPrEx>
                <w:tblCellMar>
                  <w:top w:w="0" w:type="dxa"/>
                  <w:left w:w="108" w:type="dxa"/>
                  <w:bottom w:w="0" w:type="dxa"/>
                  <w:right w:w="108" w:type="dxa"/>
                </w:tblCellMar>
              </w:tblPrEx>
              <w:trPr>
                <w:gridAfter w:val="1"/>
                <w:wAfter w:w="116" w:type="pct"/>
                <w:trHeight w:val="690"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571" w:type="pct"/>
                  <w:vMerge w:val="continue"/>
                  <w:tcBorders>
                    <w:left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60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落实各项防控措施</w:t>
                  </w:r>
                </w:p>
              </w:tc>
              <w:tc>
                <w:tcPr>
                  <w:tcW w:w="135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扩大检测新发现艾滋病感染者/病人不低于90例，随访检测比例、配偶检测率、结核筛查率达到上级考核要，通过实施患者随访管理、动员，使艾滋病患者抗病毒治疗率达到95%以上，治疗有效率达到94%</w:t>
                  </w:r>
                </w:p>
              </w:tc>
              <w:tc>
                <w:tcPr>
                  <w:tcW w:w="139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扩大检测新发现艾滋病感染者/病人</w:t>
                  </w:r>
                  <w:r>
                    <w:rPr>
                      <w:rFonts w:hint="eastAsia" w:ascii="仿宋" w:hAnsi="仿宋" w:eastAsia="仿宋" w:cs="仿宋"/>
                      <w:color w:val="000000"/>
                      <w:sz w:val="21"/>
                      <w:szCs w:val="21"/>
                      <w:lang w:val="en-US" w:eastAsia="zh-CN"/>
                    </w:rPr>
                    <w:t>86</w:t>
                  </w:r>
                  <w:r>
                    <w:rPr>
                      <w:rFonts w:hint="eastAsia" w:ascii="仿宋" w:hAnsi="仿宋" w:eastAsia="仿宋" w:cs="仿宋"/>
                      <w:color w:val="000000"/>
                      <w:sz w:val="21"/>
                      <w:szCs w:val="21"/>
                    </w:rPr>
                    <w:t>例</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随访检测比例、配偶检测率、结核筛查率</w:t>
                  </w:r>
                  <w:r>
                    <w:rPr>
                      <w:rFonts w:hint="eastAsia" w:ascii="仿宋" w:hAnsi="仿宋" w:eastAsia="仿宋" w:cs="仿宋"/>
                      <w:color w:val="000000"/>
                      <w:sz w:val="21"/>
                      <w:szCs w:val="21"/>
                      <w:lang w:val="en-US" w:eastAsia="zh-CN"/>
                    </w:rPr>
                    <w:t>全面</w:t>
                  </w:r>
                  <w:r>
                    <w:rPr>
                      <w:rFonts w:hint="eastAsia" w:ascii="仿宋" w:hAnsi="仿宋" w:eastAsia="仿宋" w:cs="仿宋"/>
                      <w:color w:val="000000"/>
                      <w:sz w:val="21"/>
                      <w:szCs w:val="21"/>
                    </w:rPr>
                    <w:t>达到上级考核要</w:t>
                  </w:r>
                  <w:r>
                    <w:rPr>
                      <w:rFonts w:hint="eastAsia" w:ascii="仿宋" w:hAnsi="仿宋" w:eastAsia="仿宋" w:cs="仿宋"/>
                      <w:color w:val="000000"/>
                      <w:sz w:val="21"/>
                      <w:szCs w:val="21"/>
                      <w:lang w:val="en-US" w:eastAsia="zh-CN"/>
                    </w:rPr>
                    <w:t>求</w:t>
                  </w:r>
                  <w:r>
                    <w:rPr>
                      <w:rFonts w:hint="eastAsia" w:ascii="仿宋" w:hAnsi="仿宋" w:eastAsia="仿宋" w:cs="仿宋"/>
                      <w:color w:val="000000"/>
                      <w:sz w:val="21"/>
                      <w:szCs w:val="21"/>
                    </w:rPr>
                    <w:t>，通过实施患者随访管理、动员，使艾滋病患者抗病毒治疗率达到9</w:t>
                  </w:r>
                  <w:r>
                    <w:rPr>
                      <w:rFonts w:hint="eastAsia" w:ascii="仿宋" w:hAnsi="仿宋" w:eastAsia="仿宋" w:cs="仿宋"/>
                      <w:color w:val="000000"/>
                      <w:sz w:val="21"/>
                      <w:szCs w:val="21"/>
                      <w:lang w:val="en-US" w:eastAsia="zh-CN"/>
                    </w:rPr>
                    <w:t>6.13</w:t>
                  </w:r>
                  <w:r>
                    <w:rPr>
                      <w:rFonts w:hint="eastAsia" w:ascii="仿宋" w:hAnsi="仿宋" w:eastAsia="仿宋" w:cs="仿宋"/>
                      <w:color w:val="000000"/>
                      <w:sz w:val="21"/>
                      <w:szCs w:val="21"/>
                    </w:rPr>
                    <w:t>%，治疗有效率达到9</w:t>
                  </w:r>
                  <w:r>
                    <w:rPr>
                      <w:rFonts w:hint="eastAsia" w:ascii="仿宋" w:hAnsi="仿宋" w:eastAsia="仿宋" w:cs="仿宋"/>
                      <w:color w:val="000000"/>
                      <w:sz w:val="21"/>
                      <w:szCs w:val="21"/>
                      <w:lang w:val="en-US" w:eastAsia="zh-CN"/>
                    </w:rPr>
                    <w:t>6.88</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w:t>
                  </w:r>
                </w:p>
              </w:tc>
            </w:tr>
            <w:tr>
              <w:tblPrEx>
                <w:tblCellMar>
                  <w:top w:w="0" w:type="dxa"/>
                  <w:left w:w="108" w:type="dxa"/>
                  <w:bottom w:w="0" w:type="dxa"/>
                  <w:right w:w="108" w:type="dxa"/>
                </w:tblCellMar>
              </w:tblPrEx>
              <w:trPr>
                <w:gridAfter w:val="1"/>
                <w:wAfter w:w="116" w:type="pct"/>
                <w:trHeight w:val="756"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57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kern w:val="0"/>
                      <w:sz w:val="21"/>
                      <w:szCs w:val="21"/>
                      <w:lang w:bidi="ar"/>
                    </w:rPr>
                  </w:pPr>
                </w:p>
              </w:tc>
              <w:tc>
                <w:tcPr>
                  <w:tcW w:w="60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部门、乡镇/街办参与艾滋病防治</w:t>
                  </w:r>
                </w:p>
              </w:tc>
              <w:tc>
                <w:tcPr>
                  <w:tcW w:w="135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艾滋病防治知识知晓率90%以上，常住人口HIV筛查率25%以上，治疗覆盖率90%以上。</w:t>
                  </w:r>
                </w:p>
              </w:tc>
              <w:tc>
                <w:tcPr>
                  <w:tcW w:w="139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艾滋病防治知识知晓率9</w:t>
                  </w:r>
                  <w:r>
                    <w:rPr>
                      <w:rFonts w:hint="eastAsia" w:ascii="仿宋" w:hAnsi="仿宋" w:eastAsia="仿宋" w:cs="仿宋"/>
                      <w:color w:val="000000"/>
                      <w:sz w:val="21"/>
                      <w:szCs w:val="21"/>
                      <w:lang w:val="en-US" w:eastAsia="zh-CN"/>
                    </w:rPr>
                    <w:t>4.3</w:t>
                  </w:r>
                  <w:r>
                    <w:rPr>
                      <w:rFonts w:hint="eastAsia" w:ascii="仿宋" w:hAnsi="仿宋" w:eastAsia="仿宋" w:cs="仿宋"/>
                      <w:color w:val="000000"/>
                      <w:sz w:val="21"/>
                      <w:szCs w:val="21"/>
                    </w:rPr>
                    <w:t>%以上，常住人口HIV筛查率</w:t>
                  </w:r>
                  <w:r>
                    <w:rPr>
                      <w:rFonts w:hint="eastAsia" w:ascii="仿宋" w:hAnsi="仿宋" w:eastAsia="仿宋" w:cs="仿宋"/>
                      <w:color w:val="000000"/>
                      <w:sz w:val="21"/>
                      <w:szCs w:val="21"/>
                      <w:lang w:val="en-US" w:eastAsia="zh-CN"/>
                    </w:rPr>
                    <w:t>37.28</w:t>
                  </w:r>
                  <w:r>
                    <w:rPr>
                      <w:rFonts w:hint="eastAsia" w:ascii="仿宋" w:hAnsi="仿宋" w:eastAsia="仿宋" w:cs="仿宋"/>
                      <w:color w:val="000000"/>
                      <w:sz w:val="21"/>
                      <w:szCs w:val="21"/>
                    </w:rPr>
                    <w:t>%，治疗覆盖率9</w:t>
                  </w:r>
                  <w:r>
                    <w:rPr>
                      <w:rFonts w:hint="eastAsia" w:ascii="仿宋" w:hAnsi="仿宋" w:eastAsia="仿宋" w:cs="仿宋"/>
                      <w:color w:val="000000"/>
                      <w:sz w:val="21"/>
                      <w:szCs w:val="21"/>
                      <w:lang w:val="en-US" w:eastAsia="zh-CN"/>
                    </w:rPr>
                    <w:t>6.13</w:t>
                  </w:r>
                  <w:r>
                    <w:rPr>
                      <w:rFonts w:hint="eastAsia" w:ascii="仿宋" w:hAnsi="仿宋" w:eastAsia="仿宋" w:cs="仿宋"/>
                      <w:color w:val="000000"/>
                      <w:sz w:val="21"/>
                      <w:szCs w:val="21"/>
                    </w:rPr>
                    <w:t>%。</w:t>
                  </w:r>
                </w:p>
              </w:tc>
            </w:tr>
            <w:tr>
              <w:tblPrEx>
                <w:tblCellMar>
                  <w:top w:w="0" w:type="dxa"/>
                  <w:left w:w="108" w:type="dxa"/>
                  <w:bottom w:w="0" w:type="dxa"/>
                  <w:right w:w="108" w:type="dxa"/>
                </w:tblCellMar>
              </w:tblPrEx>
              <w:trPr>
                <w:gridAfter w:val="1"/>
                <w:wAfter w:w="116" w:type="pct"/>
                <w:trHeight w:val="480"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时效指标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按照2022年艾滋病综合防治工作计划开展工作</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02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年1月至202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年12月落实工作措施，12月底各项考核指标任务达到上级要求</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12月底各项考核指标任务</w:t>
                  </w:r>
                  <w:r>
                    <w:rPr>
                      <w:rFonts w:hint="eastAsia" w:ascii="仿宋" w:hAnsi="仿宋" w:eastAsia="仿宋" w:cs="仿宋"/>
                      <w:color w:val="000000"/>
                      <w:sz w:val="21"/>
                      <w:szCs w:val="21"/>
                      <w:lang w:val="en-US" w:eastAsia="zh-CN"/>
                    </w:rPr>
                    <w:t>全面</w:t>
                  </w:r>
                  <w:r>
                    <w:rPr>
                      <w:rFonts w:hint="eastAsia" w:ascii="仿宋" w:hAnsi="仿宋" w:eastAsia="仿宋" w:cs="仿宋"/>
                      <w:color w:val="000000"/>
                      <w:sz w:val="21"/>
                      <w:szCs w:val="21"/>
                    </w:rPr>
                    <w:t>达到上级要求</w:t>
                  </w:r>
                </w:p>
              </w:tc>
            </w:tr>
            <w:tr>
              <w:tblPrEx>
                <w:tblCellMar>
                  <w:top w:w="0" w:type="dxa"/>
                  <w:left w:w="108" w:type="dxa"/>
                  <w:bottom w:w="0" w:type="dxa"/>
                  <w:right w:w="108" w:type="dxa"/>
                </w:tblCellMar>
              </w:tblPrEx>
              <w:trPr>
                <w:gridAfter w:val="1"/>
                <w:wAfter w:w="116" w:type="pct"/>
                <w:trHeight w:val="480"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成本指标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吸毒人员美沙酮维持治疗维持艾滋病病人抗病毒治疗</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55.00万</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1.1万元</w:t>
                  </w:r>
                </w:p>
              </w:tc>
            </w:tr>
            <w:tr>
              <w:tblPrEx>
                <w:tblCellMar>
                  <w:top w:w="0" w:type="dxa"/>
                  <w:left w:w="108" w:type="dxa"/>
                  <w:bottom w:w="0" w:type="dxa"/>
                  <w:right w:w="108" w:type="dxa"/>
                </w:tblCellMar>
              </w:tblPrEx>
              <w:trPr>
                <w:gridAfter w:val="1"/>
                <w:wAfter w:w="116" w:type="pct"/>
                <w:trHeight w:val="2815" w:hRule="atLeast"/>
              </w:trPr>
              <w:tc>
                <w:tcPr>
                  <w:tcW w:w="53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 w:hAnsi="仿宋" w:eastAsia="仿宋" w:cs="仿宋"/>
                      <w:color w:val="000000"/>
                      <w:sz w:val="21"/>
                      <w:szCs w:val="21"/>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社会效益指标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遏制艾滋病传播流行，降低社会危害</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通过持续开展工作，遏制艾滋病流行，降低艾滋病社会危害，减少艾滋病流行所致的经济负担、社会负担，提升人民群众健康水平，保持经济社会稳定发展</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rPr>
                    <w:t>通过持续开展工作，艾滋病流行</w:t>
                  </w:r>
                  <w:r>
                    <w:rPr>
                      <w:rFonts w:hint="eastAsia" w:ascii="仿宋" w:hAnsi="仿宋" w:eastAsia="仿宋" w:cs="仿宋"/>
                      <w:color w:val="000000"/>
                      <w:sz w:val="21"/>
                      <w:szCs w:val="21"/>
                      <w:lang w:val="en-US" w:eastAsia="zh-CN"/>
                    </w:rPr>
                    <w:t>得到遏制并处于低流行状态</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我区新发报告感染者较2021年降低27.2%，切实</w:t>
                  </w:r>
                  <w:r>
                    <w:rPr>
                      <w:rFonts w:hint="eastAsia" w:ascii="仿宋" w:hAnsi="仿宋" w:eastAsia="仿宋" w:cs="仿宋"/>
                      <w:color w:val="000000"/>
                      <w:sz w:val="21"/>
                      <w:szCs w:val="21"/>
                    </w:rPr>
                    <w:t>降低艾滋病社会危害，减少艾滋病流行所致的经济负担、社会负担，提升</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人民群众健康水平，保持</w:t>
                  </w:r>
                  <w:r>
                    <w:rPr>
                      <w:rFonts w:hint="eastAsia" w:ascii="仿宋" w:hAnsi="仿宋" w:eastAsia="仿宋" w:cs="仿宋"/>
                      <w:color w:val="000000"/>
                      <w:sz w:val="21"/>
                      <w:szCs w:val="21"/>
                      <w:lang w:val="en-US" w:eastAsia="zh-CN"/>
                    </w:rPr>
                    <w:t>了</w:t>
                  </w:r>
                  <w:r>
                    <w:rPr>
                      <w:rFonts w:hint="eastAsia" w:ascii="仿宋" w:hAnsi="仿宋" w:eastAsia="仿宋" w:cs="仿宋"/>
                      <w:color w:val="000000"/>
                      <w:sz w:val="21"/>
                      <w:szCs w:val="21"/>
                    </w:rPr>
                    <w:t>经济社会稳定发展</w:t>
                  </w:r>
                  <w:r>
                    <w:rPr>
                      <w:rFonts w:hint="eastAsia" w:ascii="仿宋" w:hAnsi="仿宋" w:eastAsia="仿宋" w:cs="仿宋"/>
                      <w:color w:val="000000"/>
                      <w:sz w:val="21"/>
                      <w:szCs w:val="21"/>
                      <w:lang w:eastAsia="zh-CN"/>
                    </w:rPr>
                    <w:t>。</w:t>
                  </w:r>
                </w:p>
              </w:tc>
            </w:tr>
            <w:tr>
              <w:tblPrEx>
                <w:tblCellMar>
                  <w:top w:w="0" w:type="dxa"/>
                  <w:left w:w="108" w:type="dxa"/>
                  <w:bottom w:w="0" w:type="dxa"/>
                  <w:right w:w="108" w:type="dxa"/>
                </w:tblCellMar>
              </w:tblPrEx>
              <w:trPr>
                <w:gridAfter w:val="1"/>
                <w:wAfter w:w="116" w:type="pct"/>
                <w:trHeight w:val="480" w:hRule="atLeast"/>
              </w:trPr>
              <w:tc>
                <w:tcPr>
                  <w:tcW w:w="535"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满意度指标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服务对象满意度指标</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高危人群满意度</w:t>
                  </w:r>
                  <w:r>
                    <w:rPr>
                      <w:rFonts w:hint="eastAsia" w:ascii="仿宋" w:hAnsi="仿宋" w:eastAsia="仿宋" w:cs="仿宋"/>
                      <w:color w:val="000000"/>
                      <w:sz w:val="21"/>
                      <w:szCs w:val="21"/>
                      <w:lang w:val="en-US" w:eastAsia="zh-CN"/>
                    </w:rPr>
                    <w:t>,艾滋病患者满意度</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抽样调查满意度达到85%及以上</w:t>
                  </w: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抽样调查满意度达到</w:t>
                  </w:r>
                  <w:r>
                    <w:rPr>
                      <w:rFonts w:hint="eastAsia" w:ascii="仿宋" w:hAnsi="仿宋" w:eastAsia="仿宋" w:cs="仿宋"/>
                      <w:color w:val="000000"/>
                      <w:sz w:val="21"/>
                      <w:szCs w:val="21"/>
                      <w:lang w:val="en-US" w:eastAsia="zh-CN"/>
                    </w:rPr>
                    <w:t>88.37</w:t>
                  </w:r>
                  <w:r>
                    <w:rPr>
                      <w:rFonts w:hint="eastAsia" w:ascii="仿宋" w:hAnsi="仿宋" w:eastAsia="仿宋" w:cs="仿宋"/>
                      <w:color w:val="000000"/>
                      <w:sz w:val="21"/>
                      <w:szCs w:val="21"/>
                    </w:rPr>
                    <w:t>%</w:t>
                  </w:r>
                </w:p>
              </w:tc>
            </w:tr>
          </w:tbl>
          <w:p>
            <w:pPr>
              <w:widowControl/>
              <w:jc w:val="center"/>
              <w:textAlignment w:val="center"/>
              <w:rPr>
                <w:rFonts w:eastAsia="宋体"/>
                <w:b/>
                <w:color w:val="000000"/>
                <w:szCs w:val="32"/>
              </w:rPr>
            </w:pPr>
          </w:p>
        </w:tc>
        <w:tc>
          <w:tcPr>
            <w:tcW w:w="122"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bl>
    <w:p>
      <w:pPr>
        <w:widowControl/>
        <w:adjustRightInd w:val="0"/>
        <w:snapToGrid w:val="0"/>
        <w:spacing w:line="580" w:lineRule="exact"/>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38EA2"/>
    <w:multiLevelType w:val="singleLevel"/>
    <w:tmpl w:val="2A538EA2"/>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pPr>
        <w:ind w:left="320"/>
      </w:pPr>
      <w:rPr>
        <w:rFonts w:hint="eastAsia"/>
      </w:rPr>
    </w:lvl>
  </w:abstractNum>
  <w:abstractNum w:abstractNumId="2">
    <w:nsid w:val="64A4503C"/>
    <w:multiLevelType w:val="singleLevel"/>
    <w:tmpl w:val="64A4503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3.1.25:80/seeyon/officeservlet"/>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021D56"/>
    <w:rsid w:val="02683C4F"/>
    <w:rsid w:val="075C27D2"/>
    <w:rsid w:val="076A180B"/>
    <w:rsid w:val="0897370A"/>
    <w:rsid w:val="0A334088"/>
    <w:rsid w:val="0DC31556"/>
    <w:rsid w:val="1609741D"/>
    <w:rsid w:val="16165E11"/>
    <w:rsid w:val="16502B95"/>
    <w:rsid w:val="1A3D6143"/>
    <w:rsid w:val="1C013801"/>
    <w:rsid w:val="1E3733FC"/>
    <w:rsid w:val="1E697C5E"/>
    <w:rsid w:val="206E0B08"/>
    <w:rsid w:val="24C157EA"/>
    <w:rsid w:val="24E772A4"/>
    <w:rsid w:val="2A004862"/>
    <w:rsid w:val="2D016192"/>
    <w:rsid w:val="2D527252"/>
    <w:rsid w:val="2D765922"/>
    <w:rsid w:val="2D8767AF"/>
    <w:rsid w:val="2D8F5EB0"/>
    <w:rsid w:val="2EAE55F2"/>
    <w:rsid w:val="2EDF4302"/>
    <w:rsid w:val="32FE4CFD"/>
    <w:rsid w:val="330C4FCE"/>
    <w:rsid w:val="3AA23548"/>
    <w:rsid w:val="47550EBA"/>
    <w:rsid w:val="4A424663"/>
    <w:rsid w:val="5043693E"/>
    <w:rsid w:val="51E704E1"/>
    <w:rsid w:val="56E061C7"/>
    <w:rsid w:val="57783958"/>
    <w:rsid w:val="59617B7F"/>
    <w:rsid w:val="5DFF3AB3"/>
    <w:rsid w:val="5E67476D"/>
    <w:rsid w:val="60777A2F"/>
    <w:rsid w:val="624925C9"/>
    <w:rsid w:val="6636451A"/>
    <w:rsid w:val="67206B5C"/>
    <w:rsid w:val="6D456AE1"/>
    <w:rsid w:val="6DDC4C43"/>
    <w:rsid w:val="6EF65E9C"/>
    <w:rsid w:val="6FEF2C0C"/>
    <w:rsid w:val="71397E03"/>
    <w:rsid w:val="72A417A5"/>
    <w:rsid w:val="77FFA8F9"/>
    <w:rsid w:val="7A9314AC"/>
    <w:rsid w:val="7C555D6D"/>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qFormat/>
    <w:uiPriority w:val="0"/>
    <w:pPr>
      <w:spacing w:after="120"/>
      <w:ind w:left="200" w:leftChars="200"/>
    </w:pPr>
  </w:style>
  <w:style w:type="paragraph" w:styleId="4">
    <w:name w:val="footer"/>
    <w:basedOn w:val="1"/>
    <w:link w:val="17"/>
    <w:qFormat/>
    <w:uiPriority w:val="99"/>
    <w:pPr>
      <w:tabs>
        <w:tab w:val="center" w:pos="4153"/>
        <w:tab w:val="right" w:pos="8306"/>
      </w:tabs>
      <w:snapToGrid w:val="0"/>
      <w:jc w:val="left"/>
    </w:pPr>
    <w:rPr>
      <w:rFonts w:eastAsia="宋体"/>
      <w:sz w:val="18"/>
      <w:szCs w:val="18"/>
    </w:rPr>
  </w:style>
  <w:style w:type="paragraph" w:styleId="5">
    <w:name w:val="Plain Text"/>
    <w:qFormat/>
    <w:uiPriority w:val="0"/>
    <w:pPr>
      <w:widowControl w:val="0"/>
      <w:jc w:val="both"/>
    </w:pPr>
    <w:rPr>
      <w:rFonts w:ascii="宋体" w:hAnsi="Calibri" w:eastAsia="宋体" w:cs="Courier New"/>
      <w:kern w:val="2"/>
      <w:sz w:val="21"/>
      <w:szCs w:val="21"/>
      <w:lang w:val="en-US" w:eastAsia="zh-CN" w:bidi="ar-SA"/>
    </w:rPr>
  </w:style>
  <w:style w:type="paragraph" w:styleId="6">
    <w:name w:val="Document Map"/>
    <w:basedOn w:val="1"/>
    <w:link w:val="15"/>
    <w:qFormat/>
    <w:uiPriority w:val="0"/>
    <w:rPr>
      <w:rFonts w:ascii="宋体" w:eastAsia="宋体"/>
      <w:sz w:val="18"/>
      <w:szCs w:val="18"/>
    </w:rPr>
  </w:style>
  <w:style w:type="paragraph" w:styleId="7">
    <w:name w:val="Balloon Text"/>
    <w:basedOn w:val="1"/>
    <w:semiHidden/>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四号正文"/>
    <w:basedOn w:val="1"/>
    <w:link w:val="14"/>
    <w:qFormat/>
    <w:uiPriority w:val="0"/>
    <w:pPr>
      <w:spacing w:line="360" w:lineRule="auto"/>
    </w:pPr>
    <w:rPr>
      <w:rFonts w:ascii="??" w:hAnsi="??" w:eastAsia="宋体" w:cs="宋体"/>
      <w:color w:val="000000"/>
      <w:kern w:val="0"/>
      <w:sz w:val="28"/>
      <w:szCs w:val="21"/>
    </w:rPr>
  </w:style>
  <w:style w:type="character" w:customStyle="1" w:styleId="14">
    <w:name w:val="四号正文 Char"/>
    <w:basedOn w:val="11"/>
    <w:link w:val="13"/>
    <w:qFormat/>
    <w:uiPriority w:val="0"/>
    <w:rPr>
      <w:rFonts w:ascii="??" w:hAnsi="??" w:eastAsia="宋体" w:cs="宋体"/>
      <w:color w:val="000000"/>
      <w:sz w:val="28"/>
      <w:szCs w:val="21"/>
      <w:lang w:val="en-US" w:eastAsia="zh-CN" w:bidi="ar-SA"/>
    </w:rPr>
  </w:style>
  <w:style w:type="character" w:customStyle="1" w:styleId="15">
    <w:name w:val="文档结构图 Char"/>
    <w:basedOn w:val="11"/>
    <w:link w:val="6"/>
    <w:qFormat/>
    <w:uiPriority w:val="0"/>
    <w:rPr>
      <w:rFonts w:ascii="宋体"/>
      <w:kern w:val="2"/>
      <w:sz w:val="18"/>
      <w:szCs w:val="18"/>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页脚 Char"/>
    <w:basedOn w:val="11"/>
    <w:link w:val="4"/>
    <w:qFormat/>
    <w:uiPriority w:val="99"/>
    <w:rPr>
      <w:kern w:val="2"/>
      <w:sz w:val="18"/>
      <w:szCs w:val="18"/>
    </w:rPr>
  </w:style>
  <w:style w:type="character" w:customStyle="1" w:styleId="18">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14</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Lenovo</cp:lastModifiedBy>
  <cp:lastPrinted>2022-03-26T08:26:00Z</cp:lastPrinted>
  <dcterms:modified xsi:type="dcterms:W3CDTF">2024-08-01T10:03:05Z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FFD243EDFE5C4C9F83F4E6A96A080889</vt:lpwstr>
  </property>
</Properties>
</file>