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2022年度</w:t>
      </w:r>
    </w:p>
    <w:p>
      <w:pPr>
        <w:spacing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攀枝花市仁和区福田镇中心学校单位决算</w:t>
      </w:r>
    </w:p>
    <w:p>
      <w:pPr>
        <w:keepNext/>
        <w:keepLines/>
        <w:tabs>
          <w:tab w:val="right" w:leader="dot" w:pos="8296"/>
        </w:tabs>
        <w:spacing w:line="576" w:lineRule="exact"/>
        <w:rPr>
          <w:rFonts w:hint="eastAsia" w:ascii="黑体" w:hAnsi="黑体" w:eastAsia="黑体"/>
          <w:b/>
          <w:color w:val="FF0000"/>
          <w:kern w:val="2"/>
          <w:sz w:val="48"/>
          <w:szCs w:val="24"/>
          <w:lang w:val="zh-CN"/>
        </w:rPr>
      </w:pPr>
    </w:p>
    <w:p>
      <w:pPr>
        <w:keepNext/>
        <w:keepLines/>
        <w:tabs>
          <w:tab w:val="right" w:leader="dot" w:pos="8296"/>
        </w:tabs>
        <w:spacing w:line="576" w:lineRule="exact"/>
        <w:rPr>
          <w:rFonts w:hint="eastAsia" w:ascii="黑体" w:hAnsi="黑体" w:eastAsia="黑体"/>
          <w:b/>
          <w:color w:val="FF0000"/>
          <w:kern w:val="2"/>
          <w:sz w:val="48"/>
          <w:szCs w:val="24"/>
          <w:lang w:val="zh-CN"/>
        </w:rPr>
      </w:pPr>
    </w:p>
    <w:p>
      <w:pPr>
        <w:keepNext/>
        <w:keepLines/>
        <w:tabs>
          <w:tab w:val="right" w:leader="dot" w:pos="8296"/>
        </w:tabs>
        <w:spacing w:line="576" w:lineRule="exact"/>
        <w:rPr>
          <w:rFonts w:hint="eastAsia" w:ascii="黑体" w:hAnsi="黑体" w:eastAsia="黑体"/>
          <w:b/>
          <w:color w:val="FF0000"/>
          <w:kern w:val="2"/>
          <w:sz w:val="48"/>
          <w:szCs w:val="24"/>
          <w:lang w:val="zh-CN"/>
        </w:rPr>
      </w:pPr>
    </w:p>
    <w:p>
      <w:pPr>
        <w:keepNext/>
        <w:keepLines/>
        <w:tabs>
          <w:tab w:val="right" w:leader="dot" w:pos="8296"/>
        </w:tabs>
        <w:spacing w:line="576" w:lineRule="exact"/>
        <w:rPr>
          <w:rFonts w:hint="eastAsia" w:ascii="黑体" w:hAnsi="黑体" w:eastAsia="黑体"/>
          <w:b/>
          <w:color w:val="FF0000"/>
          <w:kern w:val="2"/>
          <w:sz w:val="48"/>
          <w:szCs w:val="24"/>
          <w:lang w:val="zh-CN"/>
        </w:rPr>
      </w:pPr>
    </w:p>
    <w:p>
      <w:pPr>
        <w:jc w:val="both"/>
        <w:rPr>
          <w:rFonts w:hint="eastAsia" w:ascii="黑体" w:hAnsi="黑体" w:eastAsia="黑体"/>
          <w:color w:val="auto"/>
          <w:kern w:val="2"/>
          <w:sz w:val="48"/>
          <w:szCs w:val="24"/>
          <w:lang w:val="zh-CN"/>
        </w:rPr>
      </w:pPr>
    </w:p>
    <w:p>
      <w:pPr>
        <w:jc w:val="center"/>
        <w:rPr>
          <w:rFonts w:hint="eastAsia" w:ascii="黑体" w:hAnsi="黑体" w:eastAsia="黑体"/>
          <w:color w:val="auto"/>
          <w:kern w:val="2"/>
          <w:sz w:val="48"/>
          <w:szCs w:val="24"/>
          <w:lang w:val="zh-CN"/>
        </w:rPr>
      </w:pPr>
    </w:p>
    <w:p>
      <w:pPr>
        <w:jc w:val="center"/>
        <w:rPr>
          <w:rFonts w:hint="eastAsia" w:ascii="黑体" w:hAnsi="黑体" w:eastAsia="黑体"/>
          <w:color w:val="auto"/>
          <w:kern w:val="2"/>
          <w:sz w:val="28"/>
          <w:szCs w:val="24"/>
          <w:lang w:val="zh-CN"/>
        </w:rPr>
      </w:pPr>
    </w:p>
    <w:p>
      <w:pPr>
        <w:tabs>
          <w:tab w:val="right" w:leader="dot" w:pos="8296"/>
        </w:tabs>
        <w:spacing w:before="93"/>
        <w:jc w:val="center"/>
        <w:rPr>
          <w:rFonts w:hint="eastAsia" w:ascii="仿宋" w:hAnsi="仿宋" w:eastAsia="仿宋"/>
          <w:color w:val="auto"/>
          <w:kern w:val="2"/>
          <w:sz w:val="28"/>
          <w:szCs w:val="24"/>
          <w:lang w:val="zh-CN"/>
        </w:rPr>
      </w:pPr>
      <w:r>
        <w:rPr>
          <w:rFonts w:hint="eastAsia" w:ascii="仿宋" w:hAnsi="仿宋" w:eastAsia="仿宋"/>
          <w:color w:val="auto"/>
          <w:kern w:val="2"/>
          <w:sz w:val="28"/>
          <w:szCs w:val="24"/>
          <w:lang w:val="zh-CN"/>
        </w:rPr>
        <w:t>公开时间：2023年</w:t>
      </w:r>
      <w:r>
        <w:rPr>
          <w:rFonts w:hint="eastAsia" w:ascii="仿宋" w:hAnsi="仿宋" w:eastAsia="仿宋"/>
          <w:color w:val="auto"/>
          <w:kern w:val="2"/>
          <w:sz w:val="28"/>
          <w:szCs w:val="24"/>
          <w:lang w:val="en-US" w:eastAsia="zh-CN"/>
        </w:rPr>
        <w:t>9</w:t>
      </w:r>
      <w:r>
        <w:rPr>
          <w:rFonts w:hint="eastAsia" w:ascii="仿宋" w:hAnsi="仿宋" w:eastAsia="仿宋"/>
          <w:color w:val="auto"/>
          <w:kern w:val="2"/>
          <w:sz w:val="28"/>
          <w:szCs w:val="24"/>
          <w:lang w:val="zh-CN"/>
        </w:rPr>
        <w:t>月</w:t>
      </w:r>
      <w:r>
        <w:rPr>
          <w:rFonts w:hint="eastAsia" w:ascii="仿宋" w:hAnsi="仿宋" w:eastAsia="仿宋"/>
          <w:color w:val="auto"/>
          <w:kern w:val="2"/>
          <w:sz w:val="28"/>
          <w:szCs w:val="24"/>
          <w:lang w:val="en-US" w:eastAsia="zh-CN"/>
        </w:rPr>
        <w:t>25</w:t>
      </w:r>
      <w:bookmarkStart w:id="24" w:name="_GoBack"/>
      <w:bookmarkEnd w:id="24"/>
      <w:r>
        <w:rPr>
          <w:rFonts w:hint="eastAsia" w:ascii="仿宋" w:hAnsi="仿宋" w:eastAsia="仿宋"/>
          <w:color w:val="auto"/>
          <w:kern w:val="2"/>
          <w:sz w:val="28"/>
          <w:szCs w:val="24"/>
          <w:lang w:val="zh-CN"/>
        </w:rPr>
        <w:t>日</w:t>
      </w:r>
    </w:p>
    <w:p>
      <w:pPr>
        <w:jc w:val="both"/>
        <w:rPr>
          <w:rFonts w:hint="eastAsia" w:ascii="Times New Roman" w:hAnsi="Times New Roman" w:eastAsia="Times New Roman"/>
          <w:color w:val="auto"/>
          <w:kern w:val="2"/>
          <w:sz w:val="21"/>
          <w:szCs w:val="24"/>
          <w:lang w:val="zh-CN"/>
        </w:rPr>
      </w:pPr>
    </w:p>
    <w:p>
      <w:pPr>
        <w:tabs>
          <w:tab w:val="right" w:leader="dot" w:pos="8296"/>
        </w:tabs>
        <w:spacing w:line="440" w:lineRule="exact"/>
        <w:rPr>
          <w:rFonts w:hint="eastAsia" w:ascii="仿宋" w:hAnsi="仿宋" w:eastAsia="仿宋"/>
          <w:color w:val="auto"/>
          <w:kern w:val="2"/>
          <w:sz w:val="24"/>
          <w:szCs w:val="24"/>
          <w:lang w:val="zh-CN"/>
        </w:rPr>
      </w:pPr>
    </w:p>
    <w:p>
      <w:pPr>
        <w:tabs>
          <w:tab w:val="right" w:leader="dot" w:pos="8296"/>
        </w:tabs>
        <w:spacing w:line="440" w:lineRule="exact"/>
        <w:rPr>
          <w:rFonts w:hint="eastAsia" w:ascii="仿宋" w:hAnsi="仿宋" w:eastAsia="仿宋"/>
          <w:color w:val="auto"/>
          <w:kern w:val="2"/>
          <w:sz w:val="24"/>
          <w:szCs w:val="24"/>
          <w:lang w:val="zh-CN"/>
        </w:rPr>
      </w:pPr>
    </w:p>
    <w:p>
      <w:pPr>
        <w:tabs>
          <w:tab w:val="right" w:leader="dot" w:pos="8296"/>
        </w:tabs>
        <w:spacing w:line="440" w:lineRule="exact"/>
        <w:rPr>
          <w:rFonts w:hint="eastAsia" w:ascii="仿宋" w:hAnsi="仿宋" w:eastAsia="仿宋"/>
          <w:color w:val="auto"/>
          <w:kern w:val="2"/>
          <w:sz w:val="24"/>
          <w:szCs w:val="24"/>
          <w:lang w:val="zh-CN"/>
        </w:rPr>
      </w:pPr>
    </w:p>
    <w:p>
      <w:pPr>
        <w:tabs>
          <w:tab w:val="right" w:leader="dot" w:pos="8296"/>
        </w:tabs>
        <w:spacing w:line="440" w:lineRule="exact"/>
        <w:rPr>
          <w:rFonts w:hint="eastAsia" w:ascii="仿宋" w:hAnsi="仿宋" w:eastAsia="仿宋"/>
          <w:color w:val="auto"/>
          <w:kern w:val="2"/>
          <w:sz w:val="24"/>
          <w:szCs w:val="24"/>
          <w:lang w:val="zh-CN"/>
        </w:rPr>
      </w:pPr>
    </w:p>
    <w:p>
      <w:pPr>
        <w:tabs>
          <w:tab w:val="right" w:leader="dot" w:pos="8296"/>
        </w:tabs>
        <w:spacing w:line="440" w:lineRule="exact"/>
        <w:rPr>
          <w:rFonts w:hint="eastAsia" w:ascii="仿宋" w:hAnsi="仿宋" w:eastAsia="仿宋"/>
          <w:color w:val="auto"/>
          <w:kern w:val="2"/>
          <w:sz w:val="24"/>
          <w:szCs w:val="24"/>
          <w:lang w:val="zh-CN"/>
        </w:rPr>
      </w:pPr>
    </w:p>
    <w:p>
      <w:pPr>
        <w:tabs>
          <w:tab w:val="right" w:leader="dot" w:pos="8296"/>
        </w:tabs>
        <w:spacing w:line="440" w:lineRule="exact"/>
        <w:rPr>
          <w:rFonts w:hint="eastAsia" w:ascii="仿宋" w:hAnsi="仿宋" w:eastAsia="仿宋"/>
          <w:color w:val="auto"/>
          <w:kern w:val="2"/>
          <w:sz w:val="24"/>
          <w:szCs w:val="24"/>
          <w:lang w:val="zh-CN"/>
        </w:rPr>
      </w:pPr>
    </w:p>
    <w:p>
      <w:pPr>
        <w:jc w:val="center"/>
        <w:rPr>
          <w:rFonts w:hint="eastAsia" w:ascii="黑体" w:hAnsi="黑体" w:eastAsia="黑体"/>
          <w:color w:val="auto"/>
          <w:kern w:val="2"/>
          <w:sz w:val="48"/>
          <w:szCs w:val="24"/>
          <w:lang w:val="zh-CN"/>
        </w:rPr>
      </w:pPr>
    </w:p>
    <w:p>
      <w:pPr>
        <w:jc w:val="center"/>
        <w:rPr>
          <w:rFonts w:hint="eastAsia" w:ascii="黑体" w:hAnsi="黑体" w:eastAsia="黑体"/>
          <w:color w:val="auto"/>
          <w:kern w:val="2"/>
          <w:sz w:val="48"/>
          <w:szCs w:val="24"/>
          <w:lang w:val="zh-CN"/>
        </w:rPr>
      </w:pPr>
    </w:p>
    <w:p>
      <w:pPr>
        <w:jc w:val="center"/>
        <w:rPr>
          <w:rFonts w:hint="eastAsia" w:ascii="黑体" w:hAnsi="黑体" w:eastAsia="黑体"/>
          <w:color w:val="auto"/>
          <w:kern w:val="2"/>
          <w:sz w:val="48"/>
          <w:szCs w:val="24"/>
          <w:lang w:val="zh-CN"/>
        </w:rPr>
      </w:pPr>
    </w:p>
    <w:p>
      <w:pPr>
        <w:jc w:val="center"/>
        <w:rPr>
          <w:rFonts w:hint="eastAsia" w:ascii="黑体" w:hAnsi="黑体" w:eastAsia="黑体"/>
          <w:color w:val="auto"/>
          <w:kern w:val="2"/>
          <w:sz w:val="48"/>
          <w:szCs w:val="24"/>
          <w:lang w:val="zh-CN"/>
        </w:rPr>
      </w:pPr>
      <w:r>
        <w:rPr>
          <w:rFonts w:hint="eastAsia" w:ascii="黑体" w:hAnsi="黑体" w:eastAsia="黑体"/>
          <w:color w:val="auto"/>
          <w:kern w:val="2"/>
          <w:sz w:val="48"/>
          <w:szCs w:val="24"/>
          <w:lang w:val="zh-CN"/>
        </w:rPr>
        <w:t>目录</w:t>
      </w:r>
    </w:p>
    <w:p>
      <w:pPr>
        <w:jc w:val="center"/>
        <w:rPr>
          <w:rFonts w:hint="eastAsia" w:ascii="黑体" w:hAnsi="黑体" w:eastAsia="黑体"/>
          <w:color w:val="auto"/>
          <w:kern w:val="2"/>
          <w:sz w:val="28"/>
          <w:szCs w:val="24"/>
          <w:lang w:val="zh-CN"/>
        </w:rPr>
      </w:pPr>
    </w:p>
    <w:p>
      <w:pPr>
        <w:jc w:val="both"/>
        <w:rPr>
          <w:rFonts w:hint="default"/>
          <w:sz w:val="24"/>
          <w:szCs w:val="24"/>
        </w:rPr>
      </w:pPr>
    </w:p>
    <w:p>
      <w:pPr>
        <w:pStyle w:val="6"/>
        <w:tabs>
          <w:tab w:val="right" w:leader="dot" w:pos="8640"/>
        </w:tabs>
        <w:rPr>
          <w:rFonts w:hint="default"/>
          <w:sz w:val="24"/>
          <w:szCs w:val="24"/>
        </w:rPr>
      </w:pPr>
      <w:r>
        <w:rPr>
          <w:rFonts w:hint="eastAsia" w:ascii="黑体" w:hAnsi="黑体" w:eastAsia="黑体"/>
          <w:color w:val="auto"/>
          <w:kern w:val="44"/>
          <w:sz w:val="44"/>
          <w:szCs w:val="24"/>
          <w:lang w:val="zh-CN"/>
        </w:rPr>
        <w:fldChar w:fldCharType="begin"/>
      </w:r>
      <w:r>
        <w:rPr>
          <w:rFonts w:hint="eastAsia" w:ascii="黑体" w:hAnsi="黑体" w:eastAsia="黑体"/>
          <w:color w:val="auto"/>
          <w:kern w:val="44"/>
          <w:sz w:val="44"/>
          <w:szCs w:val="24"/>
          <w:lang w:val="zh-CN"/>
        </w:rPr>
        <w:instrText xml:space="preserve">TOC \o "1-2" \h \u </w:instrText>
      </w:r>
      <w:r>
        <w:rPr>
          <w:rFonts w:hint="eastAsia" w:ascii="黑体" w:hAnsi="黑体" w:eastAsia="黑体"/>
          <w:color w:val="auto"/>
          <w:kern w:val="44"/>
          <w:sz w:val="44"/>
          <w:szCs w:val="24"/>
          <w:lang w:val="zh-CN"/>
        </w:rPr>
        <w:fldChar w:fldCharType="separate"/>
      </w:r>
    </w:p>
    <w:p>
      <w:pPr>
        <w:pStyle w:val="6"/>
        <w:tabs>
          <w:tab w:val="right" w:leader="dot" w:pos="8640"/>
        </w:tabs>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_Toc8576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lang w:val="zh-CN"/>
        </w:rPr>
        <w:t>第一部分 单位概况</w:t>
      </w:r>
      <w:r>
        <w:rPr>
          <w:rFonts w:hint="default"/>
          <w:sz w:val="24"/>
          <w:szCs w:val="24"/>
        </w:rPr>
        <w:tab/>
      </w:r>
      <w:r>
        <w:rPr>
          <w:rFonts w:hint="default"/>
          <w:sz w:val="24"/>
          <w:szCs w:val="24"/>
        </w:rPr>
        <w:fldChar w:fldCharType="begin"/>
      </w:r>
      <w:r>
        <w:rPr>
          <w:rFonts w:hint="default"/>
          <w:sz w:val="24"/>
          <w:szCs w:val="24"/>
        </w:rPr>
        <w:instrText xml:space="preserve"> PAGEREF _Toc8576 \h </w:instrText>
      </w:r>
      <w:r>
        <w:rPr>
          <w:rFonts w:hint="default"/>
          <w:sz w:val="24"/>
          <w:szCs w:val="24"/>
        </w:rPr>
        <w:fldChar w:fldCharType="separate"/>
      </w:r>
      <w:r>
        <w:rPr>
          <w:rFonts w:hint="default"/>
          <w:sz w:val="24"/>
          <w:szCs w:val="24"/>
        </w:rPr>
        <w:t>2</w:t>
      </w:r>
      <w:r>
        <w:rPr>
          <w:rFonts w:hint="default"/>
          <w:sz w:val="24"/>
          <w:szCs w:val="24"/>
        </w:rPr>
        <w:fldChar w:fldCharType="end"/>
      </w:r>
      <w:r>
        <w:rPr>
          <w:rFonts w:hint="default"/>
          <w:sz w:val="24"/>
          <w:szCs w:val="24"/>
        </w:rPr>
        <w:fldChar w:fldCharType="end"/>
      </w:r>
    </w:p>
    <w:p>
      <w:pPr>
        <w:pStyle w:val="7"/>
        <w:tabs>
          <w:tab w:val="right" w:leader="dot" w:pos="8640"/>
        </w:tabs>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_Toc28184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一、主要职责</w:t>
      </w:r>
      <w:r>
        <w:rPr>
          <w:rFonts w:hint="default"/>
          <w:sz w:val="24"/>
          <w:szCs w:val="24"/>
        </w:rPr>
        <w:tab/>
      </w:r>
      <w:r>
        <w:rPr>
          <w:rFonts w:hint="default"/>
          <w:sz w:val="24"/>
          <w:szCs w:val="24"/>
        </w:rPr>
        <w:fldChar w:fldCharType="begin"/>
      </w:r>
      <w:r>
        <w:rPr>
          <w:rFonts w:hint="default"/>
          <w:sz w:val="24"/>
          <w:szCs w:val="24"/>
        </w:rPr>
        <w:instrText xml:space="preserve"> PAGEREF _Toc28184 \h </w:instrText>
      </w:r>
      <w:r>
        <w:rPr>
          <w:rFonts w:hint="default"/>
          <w:sz w:val="24"/>
          <w:szCs w:val="24"/>
        </w:rPr>
        <w:fldChar w:fldCharType="separate"/>
      </w:r>
      <w:r>
        <w:rPr>
          <w:rFonts w:hint="default"/>
          <w:sz w:val="24"/>
          <w:szCs w:val="24"/>
        </w:rPr>
        <w:t>2</w:t>
      </w:r>
      <w:r>
        <w:rPr>
          <w:rFonts w:hint="default"/>
          <w:sz w:val="24"/>
          <w:szCs w:val="24"/>
        </w:rPr>
        <w:fldChar w:fldCharType="end"/>
      </w:r>
      <w:r>
        <w:rPr>
          <w:rFonts w:hint="default"/>
          <w:sz w:val="24"/>
          <w:szCs w:val="24"/>
        </w:rPr>
        <w:fldChar w:fldCharType="end"/>
      </w:r>
    </w:p>
    <w:p>
      <w:pPr>
        <w:pStyle w:val="7"/>
        <w:tabs>
          <w:tab w:val="right" w:leader="dot" w:pos="8640"/>
        </w:tabs>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_Toc16181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二、 机构设置</w:t>
      </w:r>
      <w:r>
        <w:rPr>
          <w:rFonts w:hint="default"/>
          <w:sz w:val="24"/>
          <w:szCs w:val="24"/>
        </w:rPr>
        <w:tab/>
      </w:r>
      <w:r>
        <w:rPr>
          <w:rFonts w:hint="default"/>
          <w:sz w:val="24"/>
          <w:szCs w:val="24"/>
        </w:rPr>
        <w:fldChar w:fldCharType="begin"/>
      </w:r>
      <w:r>
        <w:rPr>
          <w:rFonts w:hint="default"/>
          <w:sz w:val="24"/>
          <w:szCs w:val="24"/>
        </w:rPr>
        <w:instrText xml:space="preserve"> PAGEREF _Toc16181 \h </w:instrText>
      </w:r>
      <w:r>
        <w:rPr>
          <w:rFonts w:hint="default"/>
          <w:sz w:val="24"/>
          <w:szCs w:val="24"/>
        </w:rPr>
        <w:fldChar w:fldCharType="separate"/>
      </w:r>
      <w:r>
        <w:rPr>
          <w:rFonts w:hint="default"/>
          <w:sz w:val="24"/>
          <w:szCs w:val="24"/>
        </w:rPr>
        <w:t>2</w:t>
      </w:r>
      <w:r>
        <w:rPr>
          <w:rFonts w:hint="default"/>
          <w:sz w:val="24"/>
          <w:szCs w:val="24"/>
        </w:rPr>
        <w:fldChar w:fldCharType="end"/>
      </w:r>
      <w:r>
        <w:rPr>
          <w:rFonts w:hint="default"/>
          <w:sz w:val="24"/>
          <w:szCs w:val="24"/>
        </w:rPr>
        <w:fldChar w:fldCharType="end"/>
      </w:r>
    </w:p>
    <w:p>
      <w:pPr>
        <w:pStyle w:val="6"/>
        <w:tabs>
          <w:tab w:val="right" w:leader="dot" w:pos="8640"/>
        </w:tabs>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_Toc2139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lang w:val="zh-CN"/>
        </w:rPr>
        <w:t>第二部分 2022年度单位决算情况说明</w:t>
      </w:r>
      <w:r>
        <w:rPr>
          <w:rFonts w:hint="default"/>
          <w:sz w:val="24"/>
          <w:szCs w:val="24"/>
        </w:rPr>
        <w:tab/>
      </w:r>
      <w:r>
        <w:rPr>
          <w:rFonts w:hint="default"/>
          <w:sz w:val="24"/>
          <w:szCs w:val="24"/>
        </w:rPr>
        <w:fldChar w:fldCharType="begin"/>
      </w:r>
      <w:r>
        <w:rPr>
          <w:rFonts w:hint="default"/>
          <w:sz w:val="24"/>
          <w:szCs w:val="24"/>
        </w:rPr>
        <w:instrText xml:space="preserve"> PAGEREF _Toc2139 \h </w:instrText>
      </w:r>
      <w:r>
        <w:rPr>
          <w:rFonts w:hint="default"/>
          <w:sz w:val="24"/>
          <w:szCs w:val="24"/>
        </w:rPr>
        <w:fldChar w:fldCharType="separate"/>
      </w:r>
      <w:r>
        <w:rPr>
          <w:rFonts w:hint="default"/>
          <w:sz w:val="24"/>
          <w:szCs w:val="24"/>
        </w:rPr>
        <w:t>3</w:t>
      </w:r>
      <w:r>
        <w:rPr>
          <w:rFonts w:hint="default"/>
          <w:sz w:val="24"/>
          <w:szCs w:val="24"/>
        </w:rPr>
        <w:fldChar w:fldCharType="end"/>
      </w:r>
      <w:r>
        <w:rPr>
          <w:rFonts w:hint="default"/>
          <w:sz w:val="24"/>
          <w:szCs w:val="24"/>
        </w:rPr>
        <w:fldChar w:fldCharType="end"/>
      </w:r>
    </w:p>
    <w:p>
      <w:pPr>
        <w:pStyle w:val="7"/>
        <w:tabs>
          <w:tab w:val="right" w:leader="dot" w:pos="8640"/>
        </w:tabs>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_Toc5093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一、收入支出决算总体情况说明</w:t>
      </w:r>
      <w:r>
        <w:rPr>
          <w:rFonts w:hint="default"/>
          <w:sz w:val="24"/>
          <w:szCs w:val="24"/>
        </w:rPr>
        <w:tab/>
      </w:r>
      <w:r>
        <w:rPr>
          <w:rFonts w:hint="default"/>
          <w:sz w:val="24"/>
          <w:szCs w:val="24"/>
        </w:rPr>
        <w:fldChar w:fldCharType="begin"/>
      </w:r>
      <w:r>
        <w:rPr>
          <w:rFonts w:hint="default"/>
          <w:sz w:val="24"/>
          <w:szCs w:val="24"/>
        </w:rPr>
        <w:instrText xml:space="preserve"> PAGEREF _Toc5093 \h </w:instrText>
      </w:r>
      <w:r>
        <w:rPr>
          <w:rFonts w:hint="default"/>
          <w:sz w:val="24"/>
          <w:szCs w:val="24"/>
        </w:rPr>
        <w:fldChar w:fldCharType="separate"/>
      </w:r>
      <w:r>
        <w:rPr>
          <w:rFonts w:hint="default"/>
          <w:sz w:val="24"/>
          <w:szCs w:val="24"/>
        </w:rPr>
        <w:t>3</w:t>
      </w:r>
      <w:r>
        <w:rPr>
          <w:rFonts w:hint="default"/>
          <w:sz w:val="24"/>
          <w:szCs w:val="24"/>
        </w:rPr>
        <w:fldChar w:fldCharType="end"/>
      </w:r>
      <w:r>
        <w:rPr>
          <w:rFonts w:hint="default"/>
          <w:sz w:val="24"/>
          <w:szCs w:val="24"/>
        </w:rPr>
        <w:fldChar w:fldCharType="end"/>
      </w:r>
    </w:p>
    <w:p>
      <w:pPr>
        <w:pStyle w:val="7"/>
        <w:tabs>
          <w:tab w:val="right" w:leader="dot" w:pos="8640"/>
        </w:tabs>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_Toc9991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二、收入决算情况说明</w:t>
      </w:r>
      <w:r>
        <w:rPr>
          <w:rFonts w:hint="default"/>
          <w:sz w:val="24"/>
          <w:szCs w:val="24"/>
        </w:rPr>
        <w:tab/>
      </w:r>
      <w:r>
        <w:rPr>
          <w:rFonts w:hint="default"/>
          <w:sz w:val="24"/>
          <w:szCs w:val="24"/>
        </w:rPr>
        <w:fldChar w:fldCharType="begin"/>
      </w:r>
      <w:r>
        <w:rPr>
          <w:rFonts w:hint="default"/>
          <w:sz w:val="24"/>
          <w:szCs w:val="24"/>
        </w:rPr>
        <w:instrText xml:space="preserve"> PAGEREF _Toc9991 \h </w:instrText>
      </w:r>
      <w:r>
        <w:rPr>
          <w:rFonts w:hint="default"/>
          <w:sz w:val="24"/>
          <w:szCs w:val="24"/>
        </w:rPr>
        <w:fldChar w:fldCharType="separate"/>
      </w:r>
      <w:r>
        <w:rPr>
          <w:rFonts w:hint="default"/>
          <w:sz w:val="24"/>
          <w:szCs w:val="24"/>
        </w:rPr>
        <w:t>3</w:t>
      </w:r>
      <w:r>
        <w:rPr>
          <w:rFonts w:hint="default"/>
          <w:sz w:val="24"/>
          <w:szCs w:val="24"/>
        </w:rPr>
        <w:fldChar w:fldCharType="end"/>
      </w:r>
      <w:r>
        <w:rPr>
          <w:rFonts w:hint="default"/>
          <w:sz w:val="24"/>
          <w:szCs w:val="24"/>
        </w:rPr>
        <w:fldChar w:fldCharType="end"/>
      </w:r>
    </w:p>
    <w:p>
      <w:pPr>
        <w:pStyle w:val="7"/>
        <w:tabs>
          <w:tab w:val="right" w:leader="dot" w:pos="8640"/>
        </w:tabs>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_Toc19538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三、支出决算情况说明</w:t>
      </w:r>
      <w:r>
        <w:rPr>
          <w:rFonts w:hint="default"/>
          <w:sz w:val="24"/>
          <w:szCs w:val="24"/>
        </w:rPr>
        <w:tab/>
      </w:r>
      <w:r>
        <w:rPr>
          <w:rFonts w:hint="default"/>
          <w:sz w:val="24"/>
          <w:szCs w:val="24"/>
        </w:rPr>
        <w:fldChar w:fldCharType="begin"/>
      </w:r>
      <w:r>
        <w:rPr>
          <w:rFonts w:hint="default"/>
          <w:sz w:val="24"/>
          <w:szCs w:val="24"/>
        </w:rPr>
        <w:instrText xml:space="preserve"> PAGEREF _Toc19538 \h </w:instrText>
      </w:r>
      <w:r>
        <w:rPr>
          <w:rFonts w:hint="default"/>
          <w:sz w:val="24"/>
          <w:szCs w:val="24"/>
        </w:rPr>
        <w:fldChar w:fldCharType="separate"/>
      </w:r>
      <w:r>
        <w:rPr>
          <w:rFonts w:hint="default"/>
          <w:sz w:val="24"/>
          <w:szCs w:val="24"/>
        </w:rPr>
        <w:t>3</w:t>
      </w:r>
      <w:r>
        <w:rPr>
          <w:rFonts w:hint="default"/>
          <w:sz w:val="24"/>
          <w:szCs w:val="24"/>
        </w:rPr>
        <w:fldChar w:fldCharType="end"/>
      </w:r>
      <w:r>
        <w:rPr>
          <w:rFonts w:hint="default"/>
          <w:sz w:val="24"/>
          <w:szCs w:val="24"/>
        </w:rPr>
        <w:fldChar w:fldCharType="end"/>
      </w:r>
    </w:p>
    <w:p>
      <w:pPr>
        <w:pStyle w:val="7"/>
        <w:tabs>
          <w:tab w:val="right" w:leader="dot" w:pos="8640"/>
        </w:tabs>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_Toc139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四、财政拨款收入支出决算总体情况说明</w:t>
      </w:r>
      <w:r>
        <w:rPr>
          <w:rFonts w:hint="default"/>
          <w:sz w:val="24"/>
          <w:szCs w:val="24"/>
        </w:rPr>
        <w:tab/>
      </w:r>
      <w:r>
        <w:rPr>
          <w:rFonts w:hint="default"/>
          <w:sz w:val="24"/>
          <w:szCs w:val="24"/>
        </w:rPr>
        <w:fldChar w:fldCharType="begin"/>
      </w:r>
      <w:r>
        <w:rPr>
          <w:rFonts w:hint="default"/>
          <w:sz w:val="24"/>
          <w:szCs w:val="24"/>
        </w:rPr>
        <w:instrText xml:space="preserve"> PAGEREF _Toc139 \h </w:instrText>
      </w:r>
      <w:r>
        <w:rPr>
          <w:rFonts w:hint="default"/>
          <w:sz w:val="24"/>
          <w:szCs w:val="24"/>
        </w:rPr>
        <w:fldChar w:fldCharType="separate"/>
      </w:r>
      <w:r>
        <w:rPr>
          <w:rFonts w:hint="default"/>
          <w:sz w:val="24"/>
          <w:szCs w:val="24"/>
        </w:rPr>
        <w:t>3</w:t>
      </w:r>
      <w:r>
        <w:rPr>
          <w:rFonts w:hint="default"/>
          <w:sz w:val="24"/>
          <w:szCs w:val="24"/>
        </w:rPr>
        <w:fldChar w:fldCharType="end"/>
      </w:r>
      <w:r>
        <w:rPr>
          <w:rFonts w:hint="default"/>
          <w:sz w:val="24"/>
          <w:szCs w:val="24"/>
        </w:rPr>
        <w:fldChar w:fldCharType="end"/>
      </w:r>
    </w:p>
    <w:p>
      <w:pPr>
        <w:pStyle w:val="7"/>
        <w:tabs>
          <w:tab w:val="right" w:leader="dot" w:pos="8640"/>
        </w:tabs>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_Toc30468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五、一般公共预算财政拨款支出决算情况说明</w:t>
      </w:r>
      <w:r>
        <w:rPr>
          <w:rFonts w:hint="default"/>
          <w:sz w:val="24"/>
          <w:szCs w:val="24"/>
        </w:rPr>
        <w:tab/>
      </w:r>
      <w:r>
        <w:rPr>
          <w:rFonts w:hint="default"/>
          <w:sz w:val="24"/>
          <w:szCs w:val="24"/>
        </w:rPr>
        <w:fldChar w:fldCharType="begin"/>
      </w:r>
      <w:r>
        <w:rPr>
          <w:rFonts w:hint="default"/>
          <w:sz w:val="24"/>
          <w:szCs w:val="24"/>
        </w:rPr>
        <w:instrText xml:space="preserve"> PAGEREF _Toc30468 \h </w:instrText>
      </w:r>
      <w:r>
        <w:rPr>
          <w:rFonts w:hint="default"/>
          <w:sz w:val="24"/>
          <w:szCs w:val="24"/>
        </w:rPr>
        <w:fldChar w:fldCharType="separate"/>
      </w:r>
      <w:r>
        <w:rPr>
          <w:rFonts w:hint="default"/>
          <w:sz w:val="24"/>
          <w:szCs w:val="24"/>
        </w:rPr>
        <w:t>3</w:t>
      </w:r>
      <w:r>
        <w:rPr>
          <w:rFonts w:hint="default"/>
          <w:sz w:val="24"/>
          <w:szCs w:val="24"/>
        </w:rPr>
        <w:fldChar w:fldCharType="end"/>
      </w:r>
      <w:r>
        <w:rPr>
          <w:rFonts w:hint="default"/>
          <w:sz w:val="24"/>
          <w:szCs w:val="24"/>
        </w:rPr>
        <w:fldChar w:fldCharType="end"/>
      </w:r>
    </w:p>
    <w:p>
      <w:pPr>
        <w:pStyle w:val="7"/>
        <w:tabs>
          <w:tab w:val="right" w:leader="dot" w:pos="8640"/>
        </w:tabs>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_Toc7131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六、一般公共预算财政拨款基本支出决算情况说明</w:t>
      </w:r>
      <w:r>
        <w:rPr>
          <w:rFonts w:hint="default"/>
          <w:sz w:val="24"/>
          <w:szCs w:val="24"/>
        </w:rPr>
        <w:tab/>
      </w:r>
      <w:r>
        <w:rPr>
          <w:rFonts w:hint="default"/>
          <w:sz w:val="24"/>
          <w:szCs w:val="24"/>
        </w:rPr>
        <w:fldChar w:fldCharType="begin"/>
      </w:r>
      <w:r>
        <w:rPr>
          <w:rFonts w:hint="default"/>
          <w:sz w:val="24"/>
          <w:szCs w:val="24"/>
        </w:rPr>
        <w:instrText xml:space="preserve"> PAGEREF _Toc7131 \h </w:instrText>
      </w:r>
      <w:r>
        <w:rPr>
          <w:rFonts w:hint="default"/>
          <w:sz w:val="24"/>
          <w:szCs w:val="24"/>
        </w:rPr>
        <w:fldChar w:fldCharType="separate"/>
      </w:r>
      <w:r>
        <w:rPr>
          <w:rFonts w:hint="default"/>
          <w:sz w:val="24"/>
          <w:szCs w:val="24"/>
        </w:rPr>
        <w:t>4</w:t>
      </w:r>
      <w:r>
        <w:rPr>
          <w:rFonts w:hint="default"/>
          <w:sz w:val="24"/>
          <w:szCs w:val="24"/>
        </w:rPr>
        <w:fldChar w:fldCharType="end"/>
      </w:r>
      <w:r>
        <w:rPr>
          <w:rFonts w:hint="default"/>
          <w:sz w:val="24"/>
          <w:szCs w:val="24"/>
        </w:rPr>
        <w:fldChar w:fldCharType="end"/>
      </w:r>
    </w:p>
    <w:p>
      <w:pPr>
        <w:pStyle w:val="7"/>
        <w:tabs>
          <w:tab w:val="right" w:leader="dot" w:pos="8640"/>
        </w:tabs>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_Toc3967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七、“三公”经费财政拨款支出决算情况说明</w:t>
      </w:r>
      <w:r>
        <w:rPr>
          <w:rFonts w:hint="default"/>
          <w:sz w:val="24"/>
          <w:szCs w:val="24"/>
        </w:rPr>
        <w:tab/>
      </w:r>
      <w:r>
        <w:rPr>
          <w:rFonts w:hint="default"/>
          <w:sz w:val="24"/>
          <w:szCs w:val="24"/>
        </w:rPr>
        <w:fldChar w:fldCharType="begin"/>
      </w:r>
      <w:r>
        <w:rPr>
          <w:rFonts w:hint="default"/>
          <w:sz w:val="24"/>
          <w:szCs w:val="24"/>
        </w:rPr>
        <w:instrText xml:space="preserve"> PAGEREF _Toc3967 \h </w:instrText>
      </w:r>
      <w:r>
        <w:rPr>
          <w:rFonts w:hint="default"/>
          <w:sz w:val="24"/>
          <w:szCs w:val="24"/>
        </w:rPr>
        <w:fldChar w:fldCharType="separate"/>
      </w:r>
      <w:r>
        <w:rPr>
          <w:rFonts w:hint="default"/>
          <w:sz w:val="24"/>
          <w:szCs w:val="24"/>
        </w:rPr>
        <w:t>5</w:t>
      </w:r>
      <w:r>
        <w:rPr>
          <w:rFonts w:hint="default"/>
          <w:sz w:val="24"/>
          <w:szCs w:val="24"/>
        </w:rPr>
        <w:fldChar w:fldCharType="end"/>
      </w:r>
      <w:r>
        <w:rPr>
          <w:rFonts w:hint="default"/>
          <w:sz w:val="24"/>
          <w:szCs w:val="24"/>
        </w:rPr>
        <w:fldChar w:fldCharType="end"/>
      </w:r>
    </w:p>
    <w:p>
      <w:pPr>
        <w:pStyle w:val="7"/>
        <w:tabs>
          <w:tab w:val="right" w:leader="dot" w:pos="8640"/>
        </w:tabs>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_Toc23879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八、政府性基金预算支出决算情况说明</w:t>
      </w:r>
      <w:r>
        <w:rPr>
          <w:rFonts w:hint="default"/>
          <w:sz w:val="24"/>
          <w:szCs w:val="24"/>
        </w:rPr>
        <w:tab/>
      </w:r>
      <w:r>
        <w:rPr>
          <w:rFonts w:hint="default"/>
          <w:sz w:val="24"/>
          <w:szCs w:val="24"/>
        </w:rPr>
        <w:fldChar w:fldCharType="begin"/>
      </w:r>
      <w:r>
        <w:rPr>
          <w:rFonts w:hint="default"/>
          <w:sz w:val="24"/>
          <w:szCs w:val="24"/>
        </w:rPr>
        <w:instrText xml:space="preserve"> PAGEREF _Toc23879 \h </w:instrText>
      </w:r>
      <w:r>
        <w:rPr>
          <w:rFonts w:hint="default"/>
          <w:sz w:val="24"/>
          <w:szCs w:val="24"/>
        </w:rPr>
        <w:fldChar w:fldCharType="separate"/>
      </w:r>
      <w:r>
        <w:rPr>
          <w:rFonts w:hint="default"/>
          <w:sz w:val="24"/>
          <w:szCs w:val="24"/>
        </w:rPr>
        <w:t>6</w:t>
      </w:r>
      <w:r>
        <w:rPr>
          <w:rFonts w:hint="default"/>
          <w:sz w:val="24"/>
          <w:szCs w:val="24"/>
        </w:rPr>
        <w:fldChar w:fldCharType="end"/>
      </w:r>
      <w:r>
        <w:rPr>
          <w:rFonts w:hint="default"/>
          <w:sz w:val="24"/>
          <w:szCs w:val="24"/>
        </w:rPr>
        <w:fldChar w:fldCharType="end"/>
      </w:r>
    </w:p>
    <w:p>
      <w:pPr>
        <w:pStyle w:val="7"/>
        <w:tabs>
          <w:tab w:val="right" w:leader="dot" w:pos="8640"/>
        </w:tabs>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_Toc19530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九、国有资本经营预算支出决算情况说明</w:t>
      </w:r>
      <w:r>
        <w:rPr>
          <w:rFonts w:hint="default"/>
          <w:sz w:val="24"/>
          <w:szCs w:val="24"/>
        </w:rPr>
        <w:tab/>
      </w:r>
      <w:r>
        <w:rPr>
          <w:rFonts w:hint="default"/>
          <w:sz w:val="24"/>
          <w:szCs w:val="24"/>
        </w:rPr>
        <w:fldChar w:fldCharType="begin"/>
      </w:r>
      <w:r>
        <w:rPr>
          <w:rFonts w:hint="default"/>
          <w:sz w:val="24"/>
          <w:szCs w:val="24"/>
        </w:rPr>
        <w:instrText xml:space="preserve"> PAGEREF _Toc19530 \h </w:instrText>
      </w:r>
      <w:r>
        <w:rPr>
          <w:rFonts w:hint="default"/>
          <w:sz w:val="24"/>
          <w:szCs w:val="24"/>
        </w:rPr>
        <w:fldChar w:fldCharType="separate"/>
      </w:r>
      <w:r>
        <w:rPr>
          <w:rFonts w:hint="default"/>
          <w:sz w:val="24"/>
          <w:szCs w:val="24"/>
        </w:rPr>
        <w:t>6</w:t>
      </w:r>
      <w:r>
        <w:rPr>
          <w:rFonts w:hint="default"/>
          <w:sz w:val="24"/>
          <w:szCs w:val="24"/>
        </w:rPr>
        <w:fldChar w:fldCharType="end"/>
      </w:r>
      <w:r>
        <w:rPr>
          <w:rFonts w:hint="default"/>
          <w:sz w:val="24"/>
          <w:szCs w:val="24"/>
        </w:rPr>
        <w:fldChar w:fldCharType="end"/>
      </w:r>
    </w:p>
    <w:p>
      <w:pPr>
        <w:pStyle w:val="7"/>
        <w:tabs>
          <w:tab w:val="right" w:leader="dot" w:pos="8640"/>
        </w:tabs>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_Toc16096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十、其他重要事项的情况说明</w:t>
      </w:r>
      <w:r>
        <w:rPr>
          <w:rFonts w:hint="default"/>
          <w:sz w:val="24"/>
          <w:szCs w:val="24"/>
        </w:rPr>
        <w:tab/>
      </w:r>
      <w:r>
        <w:rPr>
          <w:rFonts w:hint="default"/>
          <w:sz w:val="24"/>
          <w:szCs w:val="24"/>
        </w:rPr>
        <w:fldChar w:fldCharType="begin"/>
      </w:r>
      <w:r>
        <w:rPr>
          <w:rFonts w:hint="default"/>
          <w:sz w:val="24"/>
          <w:szCs w:val="24"/>
        </w:rPr>
        <w:instrText xml:space="preserve"> PAGEREF _Toc16096 \h </w:instrText>
      </w:r>
      <w:r>
        <w:rPr>
          <w:rFonts w:hint="default"/>
          <w:sz w:val="24"/>
          <w:szCs w:val="24"/>
        </w:rPr>
        <w:fldChar w:fldCharType="separate"/>
      </w:r>
      <w:r>
        <w:rPr>
          <w:rFonts w:hint="default"/>
          <w:sz w:val="24"/>
          <w:szCs w:val="24"/>
        </w:rPr>
        <w:t>7</w:t>
      </w:r>
      <w:r>
        <w:rPr>
          <w:rFonts w:hint="default"/>
          <w:sz w:val="24"/>
          <w:szCs w:val="24"/>
        </w:rPr>
        <w:fldChar w:fldCharType="end"/>
      </w:r>
      <w:r>
        <w:rPr>
          <w:rFonts w:hint="default"/>
          <w:sz w:val="24"/>
          <w:szCs w:val="24"/>
        </w:rPr>
        <w:fldChar w:fldCharType="end"/>
      </w:r>
    </w:p>
    <w:p>
      <w:pPr>
        <w:pStyle w:val="6"/>
        <w:tabs>
          <w:tab w:val="right" w:leader="dot" w:pos="8640"/>
        </w:tabs>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_Toc3628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lang w:val="zh-CN"/>
        </w:rPr>
        <w:t xml:space="preserve">第三部分 </w:t>
      </w:r>
      <w:r>
        <w:rPr>
          <w:rFonts w:hint="eastAsia" w:ascii="黑体" w:hAnsi="黑体" w:eastAsia="黑体"/>
          <w:kern w:val="2"/>
          <w:sz w:val="24"/>
          <w:szCs w:val="24"/>
          <w:lang w:val="zh-CN"/>
        </w:rPr>
        <w:t>名</w:t>
      </w:r>
      <w:r>
        <w:rPr>
          <w:rFonts w:hint="eastAsia" w:ascii="黑体" w:hAnsi="黑体" w:eastAsia="黑体"/>
          <w:kern w:val="44"/>
          <w:sz w:val="24"/>
          <w:szCs w:val="24"/>
          <w:lang w:val="zh-CN"/>
        </w:rPr>
        <w:t>词解释</w:t>
      </w:r>
      <w:r>
        <w:rPr>
          <w:rFonts w:hint="default"/>
          <w:sz w:val="24"/>
          <w:szCs w:val="24"/>
        </w:rPr>
        <w:tab/>
      </w:r>
      <w:r>
        <w:rPr>
          <w:rFonts w:hint="default"/>
          <w:sz w:val="24"/>
          <w:szCs w:val="24"/>
        </w:rPr>
        <w:fldChar w:fldCharType="begin"/>
      </w:r>
      <w:r>
        <w:rPr>
          <w:rFonts w:hint="default"/>
          <w:sz w:val="24"/>
          <w:szCs w:val="24"/>
        </w:rPr>
        <w:instrText xml:space="preserve"> PAGEREF _Toc3628 \h </w:instrText>
      </w:r>
      <w:r>
        <w:rPr>
          <w:rFonts w:hint="default"/>
          <w:sz w:val="24"/>
          <w:szCs w:val="24"/>
        </w:rPr>
        <w:fldChar w:fldCharType="separate"/>
      </w:r>
      <w:r>
        <w:rPr>
          <w:rFonts w:hint="default"/>
          <w:sz w:val="24"/>
          <w:szCs w:val="24"/>
        </w:rPr>
        <w:t>8</w:t>
      </w:r>
      <w:r>
        <w:rPr>
          <w:rFonts w:hint="default"/>
          <w:sz w:val="24"/>
          <w:szCs w:val="24"/>
        </w:rPr>
        <w:fldChar w:fldCharType="end"/>
      </w:r>
      <w:r>
        <w:rPr>
          <w:rFonts w:hint="default"/>
          <w:sz w:val="24"/>
          <w:szCs w:val="24"/>
        </w:rPr>
        <w:fldChar w:fldCharType="end"/>
      </w:r>
    </w:p>
    <w:p>
      <w:pPr>
        <w:pStyle w:val="6"/>
        <w:tabs>
          <w:tab w:val="right" w:leader="dot" w:pos="8640"/>
        </w:tabs>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_Toc14671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lang w:val="en-US"/>
        </w:rPr>
        <w:t>第四部分 附件</w:t>
      </w:r>
      <w:r>
        <w:rPr>
          <w:rFonts w:hint="default"/>
          <w:sz w:val="24"/>
          <w:szCs w:val="24"/>
        </w:rPr>
        <w:tab/>
      </w:r>
      <w:r>
        <w:rPr>
          <w:rFonts w:hint="default"/>
          <w:sz w:val="24"/>
          <w:szCs w:val="24"/>
        </w:rPr>
        <w:fldChar w:fldCharType="begin"/>
      </w:r>
      <w:r>
        <w:rPr>
          <w:rFonts w:hint="default"/>
          <w:sz w:val="24"/>
          <w:szCs w:val="24"/>
        </w:rPr>
        <w:instrText xml:space="preserve"> PAGEREF _Toc14671 \h </w:instrText>
      </w:r>
      <w:r>
        <w:rPr>
          <w:rFonts w:hint="default"/>
          <w:sz w:val="24"/>
          <w:szCs w:val="24"/>
        </w:rPr>
        <w:fldChar w:fldCharType="separate"/>
      </w:r>
      <w:r>
        <w:rPr>
          <w:rFonts w:hint="default"/>
          <w:sz w:val="24"/>
          <w:szCs w:val="24"/>
        </w:rPr>
        <w:t>12</w:t>
      </w:r>
      <w:r>
        <w:rPr>
          <w:rFonts w:hint="default"/>
          <w:sz w:val="24"/>
          <w:szCs w:val="24"/>
        </w:rPr>
        <w:fldChar w:fldCharType="end"/>
      </w:r>
      <w:r>
        <w:rPr>
          <w:rFonts w:hint="default"/>
          <w:sz w:val="24"/>
          <w:szCs w:val="24"/>
        </w:rPr>
        <w:fldChar w:fldCharType="end"/>
      </w:r>
    </w:p>
    <w:p>
      <w:pPr>
        <w:pStyle w:val="6"/>
        <w:tabs>
          <w:tab w:val="right" w:leader="dot" w:pos="8640"/>
        </w:tabs>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_Toc579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lang w:val="en-US"/>
        </w:rPr>
        <w:t>第五部分 附表</w:t>
      </w:r>
      <w:r>
        <w:rPr>
          <w:rFonts w:hint="default"/>
          <w:sz w:val="24"/>
          <w:szCs w:val="24"/>
        </w:rPr>
        <w:tab/>
      </w:r>
      <w:r>
        <w:rPr>
          <w:rFonts w:hint="default"/>
          <w:sz w:val="24"/>
          <w:szCs w:val="24"/>
        </w:rPr>
        <w:fldChar w:fldCharType="begin"/>
      </w:r>
      <w:r>
        <w:rPr>
          <w:rFonts w:hint="default"/>
          <w:sz w:val="24"/>
          <w:szCs w:val="24"/>
        </w:rPr>
        <w:instrText xml:space="preserve"> PAGEREF _Toc579 \h </w:instrText>
      </w:r>
      <w:r>
        <w:rPr>
          <w:rFonts w:hint="default"/>
          <w:sz w:val="24"/>
          <w:szCs w:val="24"/>
        </w:rPr>
        <w:fldChar w:fldCharType="separate"/>
      </w:r>
      <w:r>
        <w:rPr>
          <w:rFonts w:hint="default"/>
          <w:sz w:val="24"/>
          <w:szCs w:val="24"/>
        </w:rPr>
        <w:t>16</w:t>
      </w:r>
      <w:r>
        <w:rPr>
          <w:rFonts w:hint="default"/>
          <w:sz w:val="24"/>
          <w:szCs w:val="24"/>
        </w:rPr>
        <w:fldChar w:fldCharType="end"/>
      </w:r>
      <w:r>
        <w:rPr>
          <w:rFonts w:hint="default"/>
          <w:sz w:val="24"/>
          <w:szCs w:val="24"/>
        </w:rPr>
        <w:fldChar w:fldCharType="end"/>
      </w:r>
    </w:p>
    <w:p>
      <w:pPr>
        <w:pStyle w:val="7"/>
        <w:tabs>
          <w:tab w:val="right" w:leader="dot" w:pos="8640"/>
        </w:tabs>
        <w:rPr>
          <w:rFonts w:hint="eastAsia" w:ascii="黑体" w:hAnsi="黑体" w:eastAsia="黑体" w:cs="Times New Roman"/>
          <w:color w:val="auto"/>
          <w:kern w:val="44"/>
          <w:sz w:val="24"/>
          <w:szCs w:val="24"/>
          <w:lang w:val="zh-CN"/>
        </w:rPr>
      </w:pP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HYPERLINK \l _Toc18434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en-US" w:eastAsia="zh-CN"/>
        </w:rPr>
        <w:t>一、</w:t>
      </w:r>
      <w:r>
        <w:rPr>
          <w:rFonts w:hint="eastAsia" w:ascii="黑体" w:hAnsi="黑体" w:eastAsia="黑体" w:cs="Times New Roman"/>
          <w:color w:val="auto"/>
          <w:kern w:val="44"/>
          <w:sz w:val="24"/>
          <w:szCs w:val="24"/>
          <w:lang w:val="en-US"/>
        </w:rPr>
        <w:t>收入支出决算总表</w:t>
      </w:r>
      <w:r>
        <w:rPr>
          <w:rFonts w:hint="eastAsia" w:ascii="黑体" w:hAnsi="黑体" w:eastAsia="黑体" w:cs="Times New Roman"/>
          <w:color w:val="auto"/>
          <w:kern w:val="44"/>
          <w:sz w:val="24"/>
          <w:szCs w:val="24"/>
          <w:lang w:val="zh-CN"/>
        </w:rPr>
        <w:tab/>
      </w: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PAGEREF _Toc18434 \h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zh-CN"/>
        </w:rPr>
        <w:t>16</w:t>
      </w:r>
      <w:r>
        <w:rPr>
          <w:rFonts w:hint="eastAsia" w:ascii="黑体" w:hAnsi="黑体" w:eastAsia="黑体" w:cs="Times New Roman"/>
          <w:color w:val="auto"/>
          <w:kern w:val="44"/>
          <w:sz w:val="24"/>
          <w:szCs w:val="24"/>
          <w:lang w:val="zh-CN"/>
        </w:rPr>
        <w:fldChar w:fldCharType="end"/>
      </w:r>
      <w:r>
        <w:rPr>
          <w:rFonts w:hint="eastAsia" w:ascii="黑体" w:hAnsi="黑体" w:eastAsia="黑体" w:cs="Times New Roman"/>
          <w:color w:val="auto"/>
          <w:kern w:val="44"/>
          <w:sz w:val="24"/>
          <w:szCs w:val="24"/>
          <w:lang w:val="zh-CN"/>
        </w:rPr>
        <w:fldChar w:fldCharType="end"/>
      </w:r>
    </w:p>
    <w:p>
      <w:pPr>
        <w:pStyle w:val="7"/>
        <w:tabs>
          <w:tab w:val="right" w:leader="dot" w:pos="8640"/>
        </w:tabs>
        <w:rPr>
          <w:rFonts w:hint="eastAsia" w:ascii="黑体" w:hAnsi="黑体" w:eastAsia="黑体" w:cs="Times New Roman"/>
          <w:color w:val="auto"/>
          <w:kern w:val="44"/>
          <w:sz w:val="24"/>
          <w:szCs w:val="24"/>
          <w:lang w:val="zh-CN"/>
        </w:rPr>
      </w:pP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HYPERLINK \l _Toc21986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en-US"/>
        </w:rPr>
        <w:t>二、收入决算表</w:t>
      </w:r>
      <w:r>
        <w:rPr>
          <w:rFonts w:hint="eastAsia" w:ascii="黑体" w:hAnsi="黑体" w:eastAsia="黑体" w:cs="Times New Roman"/>
          <w:color w:val="auto"/>
          <w:kern w:val="44"/>
          <w:sz w:val="24"/>
          <w:szCs w:val="24"/>
          <w:lang w:val="zh-CN"/>
        </w:rPr>
        <w:tab/>
      </w: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PAGEREF _Toc21986 \h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zh-CN"/>
        </w:rPr>
        <w:t>16</w:t>
      </w:r>
      <w:r>
        <w:rPr>
          <w:rFonts w:hint="eastAsia" w:ascii="黑体" w:hAnsi="黑体" w:eastAsia="黑体" w:cs="Times New Roman"/>
          <w:color w:val="auto"/>
          <w:kern w:val="44"/>
          <w:sz w:val="24"/>
          <w:szCs w:val="24"/>
          <w:lang w:val="zh-CN"/>
        </w:rPr>
        <w:fldChar w:fldCharType="end"/>
      </w:r>
      <w:r>
        <w:rPr>
          <w:rFonts w:hint="eastAsia" w:ascii="黑体" w:hAnsi="黑体" w:eastAsia="黑体" w:cs="Times New Roman"/>
          <w:color w:val="auto"/>
          <w:kern w:val="44"/>
          <w:sz w:val="24"/>
          <w:szCs w:val="24"/>
          <w:lang w:val="zh-CN"/>
        </w:rPr>
        <w:fldChar w:fldCharType="end"/>
      </w:r>
    </w:p>
    <w:p>
      <w:pPr>
        <w:pStyle w:val="7"/>
        <w:tabs>
          <w:tab w:val="right" w:leader="dot" w:pos="8640"/>
        </w:tabs>
        <w:rPr>
          <w:rFonts w:hint="eastAsia" w:ascii="黑体" w:hAnsi="黑体" w:eastAsia="黑体" w:cs="Times New Roman"/>
          <w:color w:val="auto"/>
          <w:kern w:val="44"/>
          <w:sz w:val="24"/>
          <w:szCs w:val="24"/>
          <w:lang w:val="zh-CN"/>
        </w:rPr>
      </w:pP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HYPERLINK \l _Toc3097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en-US" w:eastAsia="zh-CN"/>
        </w:rPr>
        <w:t>三、</w:t>
      </w:r>
      <w:r>
        <w:rPr>
          <w:rFonts w:hint="eastAsia" w:ascii="黑体" w:hAnsi="黑体" w:eastAsia="黑体" w:cs="Times New Roman"/>
          <w:color w:val="auto"/>
          <w:kern w:val="44"/>
          <w:sz w:val="24"/>
          <w:szCs w:val="24"/>
          <w:lang w:val="en-US"/>
        </w:rPr>
        <w:t>支出决算表</w:t>
      </w:r>
      <w:r>
        <w:rPr>
          <w:rFonts w:hint="eastAsia" w:ascii="黑体" w:hAnsi="黑体" w:eastAsia="黑体" w:cs="Times New Roman"/>
          <w:color w:val="auto"/>
          <w:kern w:val="44"/>
          <w:sz w:val="24"/>
          <w:szCs w:val="24"/>
          <w:lang w:val="zh-CN"/>
        </w:rPr>
        <w:tab/>
      </w: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PAGEREF _Toc3097 \h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zh-CN"/>
        </w:rPr>
        <w:t>16</w:t>
      </w:r>
      <w:r>
        <w:rPr>
          <w:rFonts w:hint="eastAsia" w:ascii="黑体" w:hAnsi="黑体" w:eastAsia="黑体" w:cs="Times New Roman"/>
          <w:color w:val="auto"/>
          <w:kern w:val="44"/>
          <w:sz w:val="24"/>
          <w:szCs w:val="24"/>
          <w:lang w:val="zh-CN"/>
        </w:rPr>
        <w:fldChar w:fldCharType="end"/>
      </w:r>
      <w:r>
        <w:rPr>
          <w:rFonts w:hint="eastAsia" w:ascii="黑体" w:hAnsi="黑体" w:eastAsia="黑体" w:cs="Times New Roman"/>
          <w:color w:val="auto"/>
          <w:kern w:val="44"/>
          <w:sz w:val="24"/>
          <w:szCs w:val="24"/>
          <w:lang w:val="zh-CN"/>
        </w:rPr>
        <w:fldChar w:fldCharType="end"/>
      </w:r>
    </w:p>
    <w:p>
      <w:pPr>
        <w:pStyle w:val="7"/>
        <w:tabs>
          <w:tab w:val="right" w:leader="dot" w:pos="8640"/>
        </w:tabs>
        <w:rPr>
          <w:rFonts w:hint="eastAsia" w:ascii="黑体" w:hAnsi="黑体" w:eastAsia="黑体" w:cs="Times New Roman"/>
          <w:color w:val="auto"/>
          <w:kern w:val="44"/>
          <w:sz w:val="24"/>
          <w:szCs w:val="24"/>
          <w:lang w:val="zh-CN"/>
        </w:rPr>
      </w:pP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HYPERLINK \l _Toc4701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en-US" w:eastAsia="zh-CN"/>
        </w:rPr>
        <w:t>四、</w:t>
      </w:r>
      <w:r>
        <w:rPr>
          <w:rFonts w:hint="eastAsia" w:ascii="黑体" w:hAnsi="黑体" w:eastAsia="黑体" w:cs="Times New Roman"/>
          <w:color w:val="auto"/>
          <w:kern w:val="44"/>
          <w:sz w:val="24"/>
          <w:szCs w:val="24"/>
          <w:lang w:val="en-US"/>
        </w:rPr>
        <w:t>财政拨款收入支出决算总表</w:t>
      </w:r>
      <w:r>
        <w:rPr>
          <w:rFonts w:hint="eastAsia" w:ascii="黑体" w:hAnsi="黑体" w:eastAsia="黑体" w:cs="Times New Roman"/>
          <w:color w:val="auto"/>
          <w:kern w:val="44"/>
          <w:sz w:val="24"/>
          <w:szCs w:val="24"/>
          <w:lang w:val="zh-CN"/>
        </w:rPr>
        <w:tab/>
      </w: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PAGEREF _Toc4701 \h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zh-CN"/>
        </w:rPr>
        <w:t>16</w:t>
      </w:r>
      <w:r>
        <w:rPr>
          <w:rFonts w:hint="eastAsia" w:ascii="黑体" w:hAnsi="黑体" w:eastAsia="黑体" w:cs="Times New Roman"/>
          <w:color w:val="auto"/>
          <w:kern w:val="44"/>
          <w:sz w:val="24"/>
          <w:szCs w:val="24"/>
          <w:lang w:val="zh-CN"/>
        </w:rPr>
        <w:fldChar w:fldCharType="end"/>
      </w:r>
      <w:r>
        <w:rPr>
          <w:rFonts w:hint="eastAsia" w:ascii="黑体" w:hAnsi="黑体" w:eastAsia="黑体" w:cs="Times New Roman"/>
          <w:color w:val="auto"/>
          <w:kern w:val="44"/>
          <w:sz w:val="24"/>
          <w:szCs w:val="24"/>
          <w:lang w:val="zh-CN"/>
        </w:rPr>
        <w:fldChar w:fldCharType="end"/>
      </w:r>
    </w:p>
    <w:p>
      <w:pPr>
        <w:pStyle w:val="7"/>
        <w:tabs>
          <w:tab w:val="right" w:leader="dot" w:pos="8640"/>
        </w:tabs>
        <w:rPr>
          <w:rFonts w:hint="eastAsia" w:ascii="黑体" w:hAnsi="黑体" w:eastAsia="黑体" w:cs="Times New Roman"/>
          <w:color w:val="auto"/>
          <w:kern w:val="44"/>
          <w:sz w:val="24"/>
          <w:szCs w:val="24"/>
          <w:lang w:val="zh-CN"/>
        </w:rPr>
      </w:pP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HYPERLINK \l _Toc27525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en-US" w:eastAsia="zh-CN"/>
        </w:rPr>
        <w:t>五、</w:t>
      </w:r>
      <w:r>
        <w:rPr>
          <w:rFonts w:hint="eastAsia" w:ascii="黑体" w:hAnsi="黑体" w:eastAsia="黑体" w:cs="Times New Roman"/>
          <w:color w:val="auto"/>
          <w:kern w:val="44"/>
          <w:sz w:val="24"/>
          <w:szCs w:val="24"/>
          <w:lang w:val="en-US"/>
        </w:rPr>
        <w:t>财政拨款支出决算明细表</w:t>
      </w:r>
      <w:r>
        <w:rPr>
          <w:rFonts w:hint="eastAsia" w:ascii="黑体" w:hAnsi="黑体" w:eastAsia="黑体" w:cs="Times New Roman"/>
          <w:color w:val="auto"/>
          <w:kern w:val="44"/>
          <w:sz w:val="24"/>
          <w:szCs w:val="24"/>
          <w:lang w:val="zh-CN"/>
        </w:rPr>
        <w:tab/>
      </w: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PAGEREF _Toc27525 \h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zh-CN"/>
        </w:rPr>
        <w:t>16</w:t>
      </w:r>
      <w:r>
        <w:rPr>
          <w:rFonts w:hint="eastAsia" w:ascii="黑体" w:hAnsi="黑体" w:eastAsia="黑体" w:cs="Times New Roman"/>
          <w:color w:val="auto"/>
          <w:kern w:val="44"/>
          <w:sz w:val="24"/>
          <w:szCs w:val="24"/>
          <w:lang w:val="zh-CN"/>
        </w:rPr>
        <w:fldChar w:fldCharType="end"/>
      </w:r>
      <w:r>
        <w:rPr>
          <w:rFonts w:hint="eastAsia" w:ascii="黑体" w:hAnsi="黑体" w:eastAsia="黑体" w:cs="Times New Roman"/>
          <w:color w:val="auto"/>
          <w:kern w:val="44"/>
          <w:sz w:val="24"/>
          <w:szCs w:val="24"/>
          <w:lang w:val="zh-CN"/>
        </w:rPr>
        <w:fldChar w:fldCharType="end"/>
      </w:r>
    </w:p>
    <w:p>
      <w:pPr>
        <w:pStyle w:val="7"/>
        <w:tabs>
          <w:tab w:val="right" w:leader="dot" w:pos="8640"/>
        </w:tabs>
        <w:rPr>
          <w:rFonts w:hint="eastAsia" w:ascii="黑体" w:hAnsi="黑体" w:eastAsia="黑体" w:cs="Times New Roman"/>
          <w:color w:val="auto"/>
          <w:kern w:val="44"/>
          <w:sz w:val="24"/>
          <w:szCs w:val="24"/>
          <w:lang w:val="zh-CN"/>
        </w:rPr>
      </w:pP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HYPERLINK \l _Toc10279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en-US" w:eastAsia="zh-CN"/>
        </w:rPr>
        <w:t>六、</w:t>
      </w:r>
      <w:r>
        <w:rPr>
          <w:rFonts w:hint="eastAsia" w:ascii="黑体" w:hAnsi="黑体" w:eastAsia="黑体" w:cs="Times New Roman"/>
          <w:color w:val="auto"/>
          <w:kern w:val="44"/>
          <w:sz w:val="24"/>
          <w:szCs w:val="24"/>
          <w:lang w:val="en-US"/>
        </w:rPr>
        <w:t>一般公共预算财政拨款支出决算表</w:t>
      </w:r>
      <w:r>
        <w:rPr>
          <w:rFonts w:hint="eastAsia" w:ascii="黑体" w:hAnsi="黑体" w:eastAsia="黑体" w:cs="Times New Roman"/>
          <w:color w:val="auto"/>
          <w:kern w:val="44"/>
          <w:sz w:val="24"/>
          <w:szCs w:val="24"/>
          <w:lang w:val="zh-CN"/>
        </w:rPr>
        <w:tab/>
      </w: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PAGEREF _Toc10279 \h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zh-CN"/>
        </w:rPr>
        <w:t>16</w:t>
      </w:r>
      <w:r>
        <w:rPr>
          <w:rFonts w:hint="eastAsia" w:ascii="黑体" w:hAnsi="黑体" w:eastAsia="黑体" w:cs="Times New Roman"/>
          <w:color w:val="auto"/>
          <w:kern w:val="44"/>
          <w:sz w:val="24"/>
          <w:szCs w:val="24"/>
          <w:lang w:val="zh-CN"/>
        </w:rPr>
        <w:fldChar w:fldCharType="end"/>
      </w:r>
      <w:r>
        <w:rPr>
          <w:rFonts w:hint="eastAsia" w:ascii="黑体" w:hAnsi="黑体" w:eastAsia="黑体" w:cs="Times New Roman"/>
          <w:color w:val="auto"/>
          <w:kern w:val="44"/>
          <w:sz w:val="24"/>
          <w:szCs w:val="24"/>
          <w:lang w:val="zh-CN"/>
        </w:rPr>
        <w:fldChar w:fldCharType="end"/>
      </w:r>
    </w:p>
    <w:p>
      <w:pPr>
        <w:pStyle w:val="7"/>
        <w:tabs>
          <w:tab w:val="right" w:leader="dot" w:pos="8640"/>
        </w:tabs>
        <w:rPr>
          <w:rFonts w:hint="eastAsia" w:ascii="黑体" w:hAnsi="黑体" w:eastAsia="黑体" w:cs="Times New Roman"/>
          <w:color w:val="auto"/>
          <w:kern w:val="44"/>
          <w:sz w:val="24"/>
          <w:szCs w:val="24"/>
          <w:lang w:val="zh-CN"/>
        </w:rPr>
      </w:pP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HYPERLINK \l _Toc13861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en-US" w:eastAsia="zh-CN"/>
        </w:rPr>
        <w:t>七、</w:t>
      </w:r>
      <w:r>
        <w:rPr>
          <w:rFonts w:hint="eastAsia" w:ascii="黑体" w:hAnsi="黑体" w:eastAsia="黑体" w:cs="Times New Roman"/>
          <w:color w:val="auto"/>
          <w:kern w:val="44"/>
          <w:sz w:val="24"/>
          <w:szCs w:val="24"/>
          <w:lang w:val="en-US"/>
        </w:rPr>
        <w:t>一般公共预算财政拨款支出决算明细表</w:t>
      </w:r>
      <w:r>
        <w:rPr>
          <w:rFonts w:hint="eastAsia" w:ascii="黑体" w:hAnsi="黑体" w:eastAsia="黑体" w:cs="Times New Roman"/>
          <w:color w:val="auto"/>
          <w:kern w:val="44"/>
          <w:sz w:val="24"/>
          <w:szCs w:val="24"/>
          <w:lang w:val="zh-CN"/>
        </w:rPr>
        <w:tab/>
      </w: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PAGEREF _Toc13861 \h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zh-CN"/>
        </w:rPr>
        <w:t>16</w:t>
      </w:r>
      <w:r>
        <w:rPr>
          <w:rFonts w:hint="eastAsia" w:ascii="黑体" w:hAnsi="黑体" w:eastAsia="黑体" w:cs="Times New Roman"/>
          <w:color w:val="auto"/>
          <w:kern w:val="44"/>
          <w:sz w:val="24"/>
          <w:szCs w:val="24"/>
          <w:lang w:val="zh-CN"/>
        </w:rPr>
        <w:fldChar w:fldCharType="end"/>
      </w:r>
      <w:r>
        <w:rPr>
          <w:rFonts w:hint="eastAsia" w:ascii="黑体" w:hAnsi="黑体" w:eastAsia="黑体" w:cs="Times New Roman"/>
          <w:color w:val="auto"/>
          <w:kern w:val="44"/>
          <w:sz w:val="24"/>
          <w:szCs w:val="24"/>
          <w:lang w:val="zh-CN"/>
        </w:rPr>
        <w:fldChar w:fldCharType="end"/>
      </w:r>
    </w:p>
    <w:p>
      <w:pPr>
        <w:pStyle w:val="7"/>
        <w:tabs>
          <w:tab w:val="right" w:leader="dot" w:pos="8640"/>
        </w:tabs>
        <w:rPr>
          <w:rFonts w:hint="eastAsia" w:ascii="黑体" w:hAnsi="黑体" w:eastAsia="黑体" w:cs="Times New Roman"/>
          <w:color w:val="auto"/>
          <w:kern w:val="44"/>
          <w:sz w:val="24"/>
          <w:szCs w:val="24"/>
          <w:lang w:val="zh-CN"/>
        </w:rPr>
      </w:pP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HYPERLINK \l _Toc11247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en-US" w:eastAsia="zh-CN"/>
        </w:rPr>
        <w:t>八、</w:t>
      </w:r>
      <w:r>
        <w:rPr>
          <w:rFonts w:hint="eastAsia" w:ascii="黑体" w:hAnsi="黑体" w:eastAsia="黑体" w:cs="Times New Roman"/>
          <w:color w:val="auto"/>
          <w:kern w:val="44"/>
          <w:sz w:val="24"/>
          <w:szCs w:val="24"/>
          <w:lang w:val="en-US"/>
        </w:rPr>
        <w:t>一般公共预算财政拨款基本支出决算表</w:t>
      </w:r>
      <w:r>
        <w:rPr>
          <w:rFonts w:hint="eastAsia" w:ascii="黑体" w:hAnsi="黑体" w:eastAsia="黑体" w:cs="Times New Roman"/>
          <w:color w:val="auto"/>
          <w:kern w:val="44"/>
          <w:sz w:val="24"/>
          <w:szCs w:val="24"/>
          <w:lang w:val="zh-CN"/>
        </w:rPr>
        <w:tab/>
      </w: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PAGEREF _Toc11247 \h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zh-CN"/>
        </w:rPr>
        <w:t>16</w:t>
      </w:r>
      <w:r>
        <w:rPr>
          <w:rFonts w:hint="eastAsia" w:ascii="黑体" w:hAnsi="黑体" w:eastAsia="黑体" w:cs="Times New Roman"/>
          <w:color w:val="auto"/>
          <w:kern w:val="44"/>
          <w:sz w:val="24"/>
          <w:szCs w:val="24"/>
          <w:lang w:val="zh-CN"/>
        </w:rPr>
        <w:fldChar w:fldCharType="end"/>
      </w:r>
      <w:r>
        <w:rPr>
          <w:rFonts w:hint="eastAsia" w:ascii="黑体" w:hAnsi="黑体" w:eastAsia="黑体" w:cs="Times New Roman"/>
          <w:color w:val="auto"/>
          <w:kern w:val="44"/>
          <w:sz w:val="24"/>
          <w:szCs w:val="24"/>
          <w:lang w:val="zh-CN"/>
        </w:rPr>
        <w:fldChar w:fldCharType="end"/>
      </w:r>
    </w:p>
    <w:p>
      <w:pPr>
        <w:pStyle w:val="7"/>
        <w:tabs>
          <w:tab w:val="right" w:leader="dot" w:pos="8640"/>
        </w:tabs>
        <w:rPr>
          <w:rFonts w:hint="eastAsia" w:ascii="黑体" w:hAnsi="黑体" w:eastAsia="黑体" w:cs="Times New Roman"/>
          <w:color w:val="auto"/>
          <w:kern w:val="44"/>
          <w:sz w:val="24"/>
          <w:szCs w:val="24"/>
          <w:lang w:val="zh-CN"/>
        </w:rPr>
      </w:pP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HYPERLINK \l _Toc26870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en-US" w:eastAsia="zh-CN"/>
        </w:rPr>
        <w:t>九、</w:t>
      </w:r>
      <w:r>
        <w:rPr>
          <w:rFonts w:hint="eastAsia" w:ascii="黑体" w:hAnsi="黑体" w:eastAsia="黑体" w:cs="Times New Roman"/>
          <w:color w:val="auto"/>
          <w:kern w:val="44"/>
          <w:sz w:val="24"/>
          <w:szCs w:val="24"/>
          <w:lang w:val="en-US"/>
        </w:rPr>
        <w:t>一般公共预算财政拨款项目支出决算表</w:t>
      </w:r>
      <w:r>
        <w:rPr>
          <w:rFonts w:hint="eastAsia" w:ascii="黑体" w:hAnsi="黑体" w:eastAsia="黑体" w:cs="Times New Roman"/>
          <w:color w:val="auto"/>
          <w:kern w:val="44"/>
          <w:sz w:val="24"/>
          <w:szCs w:val="24"/>
          <w:lang w:val="zh-CN"/>
        </w:rPr>
        <w:tab/>
      </w: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PAGEREF _Toc26870 \h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zh-CN"/>
        </w:rPr>
        <w:t>16</w:t>
      </w:r>
      <w:r>
        <w:rPr>
          <w:rFonts w:hint="eastAsia" w:ascii="黑体" w:hAnsi="黑体" w:eastAsia="黑体" w:cs="Times New Roman"/>
          <w:color w:val="auto"/>
          <w:kern w:val="44"/>
          <w:sz w:val="24"/>
          <w:szCs w:val="24"/>
          <w:lang w:val="zh-CN"/>
        </w:rPr>
        <w:fldChar w:fldCharType="end"/>
      </w:r>
      <w:r>
        <w:rPr>
          <w:rFonts w:hint="eastAsia" w:ascii="黑体" w:hAnsi="黑体" w:eastAsia="黑体" w:cs="Times New Roman"/>
          <w:color w:val="auto"/>
          <w:kern w:val="44"/>
          <w:sz w:val="24"/>
          <w:szCs w:val="24"/>
          <w:lang w:val="zh-CN"/>
        </w:rPr>
        <w:fldChar w:fldCharType="end"/>
      </w:r>
    </w:p>
    <w:p>
      <w:pPr>
        <w:pStyle w:val="7"/>
        <w:tabs>
          <w:tab w:val="right" w:leader="dot" w:pos="8640"/>
        </w:tabs>
        <w:rPr>
          <w:rFonts w:hint="eastAsia" w:ascii="黑体" w:hAnsi="黑体" w:eastAsia="黑体" w:cs="Times New Roman"/>
          <w:color w:val="auto"/>
          <w:kern w:val="44"/>
          <w:sz w:val="24"/>
          <w:szCs w:val="24"/>
          <w:lang w:val="zh-CN"/>
        </w:rPr>
      </w:pP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HYPERLINK \l _Toc7586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en-US" w:eastAsia="zh-CN"/>
        </w:rPr>
        <w:t>十、</w:t>
      </w:r>
      <w:r>
        <w:rPr>
          <w:rFonts w:hint="eastAsia" w:ascii="黑体" w:hAnsi="黑体" w:eastAsia="黑体" w:cs="Times New Roman"/>
          <w:color w:val="auto"/>
          <w:kern w:val="44"/>
          <w:sz w:val="24"/>
          <w:szCs w:val="24"/>
          <w:lang w:val="en-US"/>
        </w:rPr>
        <w:t>政府性基金预算财政拨款收入支出决算表</w:t>
      </w:r>
      <w:r>
        <w:rPr>
          <w:rFonts w:hint="eastAsia" w:ascii="黑体" w:hAnsi="黑体" w:eastAsia="黑体" w:cs="Times New Roman"/>
          <w:color w:val="auto"/>
          <w:kern w:val="44"/>
          <w:sz w:val="24"/>
          <w:szCs w:val="24"/>
          <w:lang w:val="zh-CN"/>
        </w:rPr>
        <w:tab/>
      </w: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PAGEREF _Toc7586 \h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zh-CN"/>
        </w:rPr>
        <w:t>16</w:t>
      </w:r>
      <w:r>
        <w:rPr>
          <w:rFonts w:hint="eastAsia" w:ascii="黑体" w:hAnsi="黑体" w:eastAsia="黑体" w:cs="Times New Roman"/>
          <w:color w:val="auto"/>
          <w:kern w:val="44"/>
          <w:sz w:val="24"/>
          <w:szCs w:val="24"/>
          <w:lang w:val="zh-CN"/>
        </w:rPr>
        <w:fldChar w:fldCharType="end"/>
      </w:r>
      <w:r>
        <w:rPr>
          <w:rFonts w:hint="eastAsia" w:ascii="黑体" w:hAnsi="黑体" w:eastAsia="黑体" w:cs="Times New Roman"/>
          <w:color w:val="auto"/>
          <w:kern w:val="44"/>
          <w:sz w:val="24"/>
          <w:szCs w:val="24"/>
          <w:lang w:val="zh-CN"/>
        </w:rPr>
        <w:fldChar w:fldCharType="end"/>
      </w:r>
    </w:p>
    <w:p>
      <w:pPr>
        <w:pStyle w:val="7"/>
        <w:tabs>
          <w:tab w:val="right" w:leader="dot" w:pos="8640"/>
        </w:tabs>
        <w:rPr>
          <w:rFonts w:hint="eastAsia" w:ascii="黑体" w:hAnsi="黑体" w:eastAsia="黑体" w:cs="Times New Roman"/>
          <w:color w:val="auto"/>
          <w:kern w:val="44"/>
          <w:sz w:val="24"/>
          <w:szCs w:val="24"/>
          <w:lang w:val="zh-CN"/>
        </w:rPr>
      </w:pP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HYPERLINK \l _Toc10123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en-US" w:eastAsia="zh-CN"/>
        </w:rPr>
        <w:t>十一、</w:t>
      </w:r>
      <w:r>
        <w:rPr>
          <w:rFonts w:hint="eastAsia" w:ascii="黑体" w:hAnsi="黑体" w:eastAsia="黑体" w:cs="Times New Roman"/>
          <w:color w:val="auto"/>
          <w:kern w:val="44"/>
          <w:sz w:val="24"/>
          <w:szCs w:val="24"/>
          <w:lang w:val="en-US"/>
        </w:rPr>
        <w:t>国有资本经营预算财政拨款收入支出决算表</w:t>
      </w:r>
      <w:r>
        <w:rPr>
          <w:rFonts w:hint="eastAsia" w:ascii="黑体" w:hAnsi="黑体" w:eastAsia="黑体" w:cs="Times New Roman"/>
          <w:color w:val="auto"/>
          <w:kern w:val="44"/>
          <w:sz w:val="24"/>
          <w:szCs w:val="24"/>
          <w:lang w:val="zh-CN"/>
        </w:rPr>
        <w:tab/>
      </w: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PAGEREF _Toc10123 \h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zh-CN"/>
        </w:rPr>
        <w:t>16</w:t>
      </w:r>
      <w:r>
        <w:rPr>
          <w:rFonts w:hint="eastAsia" w:ascii="黑体" w:hAnsi="黑体" w:eastAsia="黑体" w:cs="Times New Roman"/>
          <w:color w:val="auto"/>
          <w:kern w:val="44"/>
          <w:sz w:val="24"/>
          <w:szCs w:val="24"/>
          <w:lang w:val="zh-CN"/>
        </w:rPr>
        <w:fldChar w:fldCharType="end"/>
      </w:r>
      <w:r>
        <w:rPr>
          <w:rFonts w:hint="eastAsia" w:ascii="黑体" w:hAnsi="黑体" w:eastAsia="黑体" w:cs="Times New Roman"/>
          <w:color w:val="auto"/>
          <w:kern w:val="44"/>
          <w:sz w:val="24"/>
          <w:szCs w:val="24"/>
          <w:lang w:val="zh-CN"/>
        </w:rPr>
        <w:fldChar w:fldCharType="end"/>
      </w:r>
    </w:p>
    <w:p>
      <w:pPr>
        <w:pStyle w:val="7"/>
        <w:tabs>
          <w:tab w:val="right" w:leader="dot" w:pos="8640"/>
        </w:tabs>
        <w:rPr>
          <w:rFonts w:hint="eastAsia" w:ascii="黑体" w:hAnsi="黑体" w:eastAsia="黑体" w:cs="Times New Roman"/>
          <w:color w:val="auto"/>
          <w:kern w:val="44"/>
          <w:sz w:val="24"/>
          <w:szCs w:val="24"/>
          <w:lang w:val="zh-CN"/>
        </w:rPr>
      </w:pP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HYPERLINK \l _Toc4217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en-US"/>
        </w:rPr>
        <w:t>十二、国有资本经营预算财政拨款支出决算表</w:t>
      </w:r>
      <w:r>
        <w:rPr>
          <w:rFonts w:hint="eastAsia" w:ascii="黑体" w:hAnsi="黑体" w:eastAsia="黑体" w:cs="Times New Roman"/>
          <w:color w:val="auto"/>
          <w:kern w:val="44"/>
          <w:sz w:val="24"/>
          <w:szCs w:val="24"/>
          <w:lang w:val="zh-CN"/>
        </w:rPr>
        <w:tab/>
      </w: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PAGEREF _Toc4217 \h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zh-CN"/>
        </w:rPr>
        <w:t>16</w:t>
      </w:r>
      <w:r>
        <w:rPr>
          <w:rFonts w:hint="eastAsia" w:ascii="黑体" w:hAnsi="黑体" w:eastAsia="黑体" w:cs="Times New Roman"/>
          <w:color w:val="auto"/>
          <w:kern w:val="44"/>
          <w:sz w:val="24"/>
          <w:szCs w:val="24"/>
          <w:lang w:val="zh-CN"/>
        </w:rPr>
        <w:fldChar w:fldCharType="end"/>
      </w:r>
      <w:r>
        <w:rPr>
          <w:rFonts w:hint="eastAsia" w:ascii="黑体" w:hAnsi="黑体" w:eastAsia="黑体" w:cs="Times New Roman"/>
          <w:color w:val="auto"/>
          <w:kern w:val="44"/>
          <w:sz w:val="24"/>
          <w:szCs w:val="24"/>
          <w:lang w:val="zh-CN"/>
        </w:rPr>
        <w:fldChar w:fldCharType="end"/>
      </w:r>
    </w:p>
    <w:p>
      <w:pPr>
        <w:pStyle w:val="7"/>
        <w:tabs>
          <w:tab w:val="right" w:leader="dot" w:pos="8640"/>
        </w:tabs>
        <w:rPr>
          <w:rFonts w:hint="default"/>
          <w:sz w:val="24"/>
          <w:szCs w:val="24"/>
        </w:rPr>
      </w:pP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HYPERLINK \l _Toc1633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en-US"/>
        </w:rPr>
        <w:t>十三、财政拨款“三公”经费支出决算表</w:t>
      </w:r>
      <w:r>
        <w:rPr>
          <w:rFonts w:hint="eastAsia" w:ascii="黑体" w:hAnsi="黑体" w:eastAsia="黑体" w:cs="Times New Roman"/>
          <w:color w:val="auto"/>
          <w:kern w:val="44"/>
          <w:sz w:val="24"/>
          <w:szCs w:val="24"/>
          <w:lang w:val="zh-CN"/>
        </w:rPr>
        <w:tab/>
      </w:r>
      <w:r>
        <w:rPr>
          <w:rFonts w:hint="eastAsia" w:ascii="黑体" w:hAnsi="黑体" w:eastAsia="黑体" w:cs="Times New Roman"/>
          <w:color w:val="auto"/>
          <w:kern w:val="44"/>
          <w:sz w:val="24"/>
          <w:szCs w:val="24"/>
          <w:lang w:val="zh-CN"/>
        </w:rPr>
        <w:fldChar w:fldCharType="begin"/>
      </w:r>
      <w:r>
        <w:rPr>
          <w:rFonts w:hint="eastAsia" w:ascii="黑体" w:hAnsi="黑体" w:eastAsia="黑体" w:cs="Times New Roman"/>
          <w:color w:val="auto"/>
          <w:kern w:val="44"/>
          <w:sz w:val="24"/>
          <w:szCs w:val="24"/>
          <w:lang w:val="zh-CN"/>
        </w:rPr>
        <w:instrText xml:space="preserve"> PAGEREF _Toc1633 \h </w:instrText>
      </w:r>
      <w:r>
        <w:rPr>
          <w:rFonts w:hint="eastAsia" w:ascii="黑体" w:hAnsi="黑体" w:eastAsia="黑体" w:cs="Times New Roman"/>
          <w:color w:val="auto"/>
          <w:kern w:val="44"/>
          <w:sz w:val="24"/>
          <w:szCs w:val="24"/>
          <w:lang w:val="zh-CN"/>
        </w:rPr>
        <w:fldChar w:fldCharType="separate"/>
      </w:r>
      <w:r>
        <w:rPr>
          <w:rFonts w:hint="eastAsia" w:ascii="黑体" w:hAnsi="黑体" w:eastAsia="黑体" w:cs="Times New Roman"/>
          <w:color w:val="auto"/>
          <w:kern w:val="44"/>
          <w:sz w:val="24"/>
          <w:szCs w:val="24"/>
          <w:lang w:val="zh-CN"/>
        </w:rPr>
        <w:t>16</w:t>
      </w:r>
      <w:r>
        <w:rPr>
          <w:rFonts w:hint="eastAsia" w:ascii="黑体" w:hAnsi="黑体" w:eastAsia="黑体" w:cs="Times New Roman"/>
          <w:color w:val="auto"/>
          <w:kern w:val="44"/>
          <w:sz w:val="24"/>
          <w:szCs w:val="24"/>
          <w:lang w:val="zh-CN"/>
        </w:rPr>
        <w:fldChar w:fldCharType="end"/>
      </w:r>
      <w:r>
        <w:rPr>
          <w:rFonts w:hint="eastAsia" w:ascii="黑体" w:hAnsi="黑体" w:eastAsia="黑体" w:cs="Times New Roman"/>
          <w:color w:val="auto"/>
          <w:kern w:val="44"/>
          <w:sz w:val="24"/>
          <w:szCs w:val="24"/>
          <w:lang w:val="zh-CN"/>
        </w:rPr>
        <w:fldChar w:fldCharType="end"/>
      </w:r>
    </w:p>
    <w:p>
      <w:pPr>
        <w:pStyle w:val="6"/>
        <w:tabs>
          <w:tab w:val="right" w:leader="dot" w:pos="8640"/>
        </w:tabs>
        <w:rPr>
          <w:rFonts w:hint="eastAsia" w:ascii="黑体" w:hAnsi="黑体" w:eastAsia="黑体"/>
          <w:color w:val="auto"/>
          <w:kern w:val="44"/>
          <w:sz w:val="44"/>
          <w:szCs w:val="24"/>
          <w:lang w:val="zh-CN"/>
        </w:rPr>
      </w:pPr>
      <w:r>
        <w:rPr>
          <w:rFonts w:hint="default"/>
          <w:sz w:val="24"/>
          <w:szCs w:val="24"/>
        </w:rPr>
        <w:fldChar w:fldCharType="end"/>
      </w:r>
    </w:p>
    <w:p>
      <w:pPr>
        <w:pStyle w:val="2"/>
        <w:keepNext/>
        <w:keepLines/>
        <w:spacing w:before="340" w:after="330" w:line="576" w:lineRule="auto"/>
        <w:jc w:val="center"/>
        <w:rPr>
          <w:rFonts w:hint="eastAsia" w:ascii="黑体" w:hAnsi="黑体" w:eastAsia="黑体"/>
          <w:color w:val="auto"/>
          <w:kern w:val="44"/>
          <w:sz w:val="44"/>
          <w:szCs w:val="24"/>
          <w:lang w:val="zh-CN"/>
        </w:rPr>
      </w:pPr>
    </w:p>
    <w:p>
      <w:pPr>
        <w:pStyle w:val="2"/>
        <w:keepNext/>
        <w:keepLines/>
        <w:spacing w:before="340" w:after="330" w:line="576" w:lineRule="auto"/>
        <w:jc w:val="center"/>
        <w:rPr>
          <w:rFonts w:hint="eastAsia" w:ascii="黑体" w:hAnsi="黑体" w:eastAsia="黑体"/>
          <w:b/>
          <w:color w:val="auto"/>
          <w:kern w:val="44"/>
          <w:sz w:val="44"/>
          <w:szCs w:val="24"/>
          <w:lang w:val="zh-CN"/>
        </w:rPr>
      </w:pPr>
      <w:r>
        <w:rPr>
          <w:rFonts w:hint="eastAsia" w:ascii="黑体" w:hAnsi="黑体" w:eastAsia="黑体"/>
          <w:color w:val="auto"/>
          <w:kern w:val="44"/>
          <w:sz w:val="44"/>
          <w:szCs w:val="24"/>
          <w:lang w:val="zh-CN"/>
        </w:rPr>
        <w:t>第一部分 单位概况</w:t>
      </w:r>
    </w:p>
    <w:p>
      <w:pPr>
        <w:autoSpaceDE/>
        <w:autoSpaceDN/>
        <w:adjustRightInd/>
        <w:spacing w:line="360" w:lineRule="auto"/>
        <w:ind w:firstLine="640" w:firstLineChars="200"/>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一、主要</w:t>
      </w:r>
      <w:r>
        <w:rPr>
          <w:rFonts w:hint="eastAsia" w:ascii="黑体" w:hAnsi="黑体" w:eastAsia="黑体"/>
          <w:color w:val="auto"/>
          <w:kern w:val="2"/>
          <w:sz w:val="32"/>
          <w:szCs w:val="24"/>
          <w:lang w:val="zh-CN"/>
        </w:rPr>
        <w:t>职责</w:t>
      </w:r>
    </w:p>
    <w:p>
      <w:pPr>
        <w:autoSpaceDE/>
        <w:autoSpaceDN/>
        <w:adjustRightInd/>
        <w:spacing w:line="360" w:lineRule="auto"/>
        <w:ind w:firstLine="640" w:firstLineChars="200"/>
        <w:rPr>
          <w:rFonts w:hint="eastAsia" w:ascii="黑体" w:hAnsi="黑体" w:eastAsia="黑体"/>
          <w:color w:val="auto"/>
          <w:kern w:val="2"/>
          <w:sz w:val="32"/>
          <w:szCs w:val="24"/>
          <w:lang w:val="zh-CN"/>
        </w:rPr>
      </w:pPr>
      <w:r>
        <w:rPr>
          <w:rFonts w:hint="eastAsia" w:ascii="仿宋" w:hAnsi="仿宋" w:eastAsia="仿宋" w:cs="仿宋"/>
          <w:sz w:val="32"/>
          <w:szCs w:val="32"/>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小学阶段学历教育及相关社会服务。</w:t>
      </w:r>
    </w:p>
    <w:p>
      <w:pPr>
        <w:numPr>
          <w:ilvl w:val="0"/>
          <w:numId w:val="1"/>
        </w:numPr>
        <w:autoSpaceDE/>
        <w:autoSpaceDN/>
        <w:adjustRightInd/>
        <w:spacing w:line="360" w:lineRule="auto"/>
        <w:ind w:firstLine="640" w:firstLineChars="200"/>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机</w:t>
      </w:r>
      <w:r>
        <w:rPr>
          <w:rFonts w:hint="eastAsia" w:ascii="黑体" w:hAnsi="黑体" w:eastAsia="黑体"/>
          <w:color w:val="auto"/>
          <w:kern w:val="2"/>
          <w:sz w:val="32"/>
          <w:szCs w:val="24"/>
          <w:lang w:val="zh-CN"/>
        </w:rPr>
        <w:t>构设置</w:t>
      </w:r>
    </w:p>
    <w:p>
      <w:pPr>
        <w:numPr>
          <w:ilvl w:val="0"/>
          <w:numId w:val="0"/>
        </w:numPr>
        <w:autoSpaceDE/>
        <w:autoSpaceDN/>
        <w:adjustRightInd/>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攀枝花市仁和区</w:t>
      </w:r>
      <w:r>
        <w:rPr>
          <w:rFonts w:hint="eastAsia" w:ascii="仿宋" w:hAnsi="仿宋" w:eastAsia="仿宋" w:cs="仿宋"/>
          <w:sz w:val="32"/>
          <w:szCs w:val="32"/>
          <w:lang w:eastAsia="zh-CN"/>
        </w:rPr>
        <w:t>福</w:t>
      </w:r>
      <w:r>
        <w:rPr>
          <w:rFonts w:hint="eastAsia" w:ascii="仿宋" w:hAnsi="仿宋" w:eastAsia="仿宋" w:cs="仿宋"/>
          <w:sz w:val="32"/>
          <w:szCs w:val="32"/>
        </w:rPr>
        <w:t>田镇中心学校为攀枝花市仁和区教育和体育局所属从事公益服务的公益一类事业单位。攀枝花市仁和区</w:t>
      </w:r>
      <w:r>
        <w:rPr>
          <w:rFonts w:hint="eastAsia" w:ascii="仿宋" w:hAnsi="仿宋" w:eastAsia="仿宋" w:cs="仿宋"/>
          <w:sz w:val="32"/>
          <w:szCs w:val="32"/>
          <w:lang w:eastAsia="zh-CN"/>
        </w:rPr>
        <w:t>福</w:t>
      </w:r>
      <w:r>
        <w:rPr>
          <w:rFonts w:hint="eastAsia" w:ascii="仿宋" w:hAnsi="仿宋" w:eastAsia="仿宋" w:cs="仿宋"/>
          <w:sz w:val="32"/>
          <w:szCs w:val="32"/>
        </w:rPr>
        <w:t>田镇中心学校事业编制</w:t>
      </w:r>
      <w:r>
        <w:rPr>
          <w:rFonts w:hint="eastAsia" w:ascii="仿宋" w:hAnsi="仿宋" w:eastAsia="仿宋" w:cs="仿宋"/>
          <w:sz w:val="32"/>
          <w:szCs w:val="32"/>
          <w:lang w:val="en-US" w:eastAsia="zh-CN"/>
        </w:rPr>
        <w:t>24</w:t>
      </w:r>
      <w:r>
        <w:rPr>
          <w:rFonts w:hint="eastAsia" w:ascii="仿宋" w:hAnsi="仿宋" w:eastAsia="仿宋" w:cs="仿宋"/>
          <w:sz w:val="32"/>
          <w:szCs w:val="32"/>
        </w:rPr>
        <w:t>名</w:t>
      </w:r>
      <w:r>
        <w:rPr>
          <w:rFonts w:hint="eastAsia" w:ascii="仿宋" w:hAnsi="仿宋" w:eastAsia="仿宋" w:cs="仿宋"/>
          <w:sz w:val="32"/>
          <w:szCs w:val="32"/>
          <w:lang w:eastAsia="zh-CN"/>
        </w:rPr>
        <w:t>，</w:t>
      </w:r>
      <w:r>
        <w:rPr>
          <w:rFonts w:hint="eastAsia" w:ascii="仿宋" w:hAnsi="仿宋" w:eastAsia="仿宋" w:cs="仿宋"/>
          <w:sz w:val="32"/>
          <w:szCs w:val="32"/>
        </w:rPr>
        <w:t>校级领导职数3名；其中党支部书记、校长 1 名，党支部副书记1名，副校长1名。设3个内设机构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分别是教务处、德育处、总务处，共有在职教师21人。</w:t>
      </w:r>
    </w:p>
    <w:p>
      <w:pPr>
        <w:pStyle w:val="2"/>
        <w:keepNext/>
        <w:keepLines/>
        <w:spacing w:before="340" w:after="330" w:line="576" w:lineRule="exact"/>
        <w:ind w:right="442"/>
        <w:jc w:val="center"/>
        <w:rPr>
          <w:rFonts w:hint="eastAsia" w:ascii="Times New Roman" w:hAnsi="Times New Roman" w:eastAsia="Times New Roman"/>
          <w:b/>
          <w:color w:val="auto"/>
          <w:kern w:val="44"/>
          <w:sz w:val="44"/>
          <w:szCs w:val="24"/>
          <w:lang w:val="zh-CN"/>
        </w:rPr>
      </w:pPr>
      <w:r>
        <w:rPr>
          <w:rFonts w:hint="eastAsia" w:ascii="黑体" w:hAnsi="黑体" w:eastAsia="黑体"/>
          <w:color w:val="000000"/>
          <w:kern w:val="44"/>
          <w:sz w:val="44"/>
          <w:szCs w:val="24"/>
          <w:lang w:val="zh-CN"/>
        </w:rPr>
        <w:t>第二部分</w:t>
      </w:r>
      <w:r>
        <w:rPr>
          <w:rFonts w:hint="eastAsia" w:ascii="黑体" w:hAnsi="黑体" w:eastAsia="黑体"/>
          <w:b/>
          <w:color w:val="000000"/>
          <w:kern w:val="44"/>
          <w:sz w:val="44"/>
          <w:szCs w:val="24"/>
          <w:lang w:val="zh-CN"/>
        </w:rPr>
        <w:t xml:space="preserve"> </w:t>
      </w:r>
      <w:r>
        <w:rPr>
          <w:rFonts w:hint="eastAsia" w:ascii="黑体" w:hAnsi="黑体" w:eastAsia="黑体"/>
          <w:color w:val="auto"/>
          <w:kern w:val="44"/>
          <w:sz w:val="44"/>
          <w:szCs w:val="24"/>
          <w:lang w:val="zh-CN"/>
        </w:rPr>
        <w:t>2022年度单位决算情况说明</w:t>
      </w:r>
    </w:p>
    <w:p>
      <w:pPr>
        <w:keepNext/>
        <w:keepLines/>
        <w:spacing w:line="576" w:lineRule="exact"/>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 xml:space="preserve">    一、收</w:t>
      </w:r>
      <w:r>
        <w:rPr>
          <w:rFonts w:hint="eastAsia" w:ascii="黑体" w:hAnsi="黑体" w:eastAsia="黑体"/>
          <w:color w:val="auto"/>
          <w:kern w:val="2"/>
          <w:sz w:val="32"/>
          <w:szCs w:val="24"/>
          <w:lang w:val="zh-CN"/>
        </w:rPr>
        <w:t>入支出决算总体情况说明</w:t>
      </w:r>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2022年度收、支总计456.14万元。与2021年相比，收、支总计各增加13.31万元，增长3%。主要变动原因是人员增加，人员经费增加。</w:t>
      </w:r>
    </w:p>
    <w:p>
      <w:pPr>
        <w:keepNext/>
        <w:keepLines/>
        <w:spacing w:line="576" w:lineRule="exact"/>
        <w:ind w:firstLine="640"/>
        <w:jc w:val="both"/>
        <w:rPr>
          <w:rFonts w:hint="eastAsia" w:ascii="仿宋_GB2312" w:hAnsi="仿宋_GB2312" w:eastAsia="仿宋_GB2312"/>
          <w:color w:val="000000"/>
          <w:kern w:val="2"/>
          <w:sz w:val="32"/>
          <w:szCs w:val="24"/>
          <w:lang w:val="zh-CN"/>
        </w:rPr>
      </w:pPr>
    </w:p>
    <w:p>
      <w:pPr>
        <w:keepNext/>
        <w:keepLines/>
        <w:spacing w:line="576" w:lineRule="exact"/>
        <w:ind w:firstLine="640"/>
        <w:jc w:val="both"/>
        <w:rPr>
          <w:rFonts w:hint="eastAsia" w:ascii="仿宋_GB2312" w:hAnsi="仿宋_GB2312" w:eastAsia="仿宋_GB2312"/>
          <w:color w:val="000000"/>
          <w:kern w:val="2"/>
          <w:sz w:val="32"/>
          <w:szCs w:val="24"/>
          <w:lang w:val="zh-CN"/>
        </w:rPr>
      </w:pPr>
    </w:p>
    <w:p>
      <w:pPr>
        <w:keepNext/>
        <w:keepLines/>
        <w:spacing w:line="576" w:lineRule="exact"/>
        <w:ind w:firstLine="640"/>
        <w:jc w:val="both"/>
        <w:rPr>
          <w:rFonts w:hint="eastAsia" w:ascii="仿宋_GB2312" w:hAnsi="仿宋_GB2312" w:eastAsia="仿宋_GB2312"/>
          <w:color w:val="000000"/>
          <w:kern w:val="2"/>
          <w:sz w:val="32"/>
          <w:szCs w:val="24"/>
          <w:lang w:val="zh-CN"/>
        </w:rPr>
      </w:pPr>
    </w:p>
    <w:p>
      <w:pPr>
        <w:keepNext/>
        <w:keepLines/>
        <w:spacing w:line="576" w:lineRule="exact"/>
        <w:ind w:firstLine="640"/>
        <w:jc w:val="both"/>
        <w:rPr>
          <w:rFonts w:hint="eastAsia" w:ascii="仿宋_GB2312" w:hAnsi="仿宋_GB2312" w:eastAsia="仿宋_GB2312"/>
          <w:color w:val="000000"/>
          <w:kern w:val="2"/>
          <w:sz w:val="32"/>
          <w:szCs w:val="24"/>
          <w:lang w:val="zh-CN"/>
        </w:rPr>
      </w:pPr>
    </w:p>
    <w:p>
      <w:pPr>
        <w:keepNext/>
        <w:keepLines/>
        <w:spacing w:line="576" w:lineRule="exact"/>
        <w:ind w:firstLine="640"/>
        <w:jc w:val="both"/>
        <w:rPr>
          <w:rFonts w:hint="eastAsia" w:ascii="仿宋_GB2312" w:hAnsi="仿宋_GB2312" w:eastAsia="仿宋_GB2312"/>
          <w:color w:val="000000"/>
          <w:kern w:val="2"/>
          <w:sz w:val="32"/>
          <w:szCs w:val="24"/>
          <w:lang w:val="zh-CN"/>
        </w:rPr>
      </w:pPr>
    </w:p>
    <w:p>
      <w:pPr>
        <w:keepNext/>
        <w:keepLines/>
        <w:spacing w:line="576" w:lineRule="exact"/>
        <w:ind w:firstLine="640"/>
        <w:jc w:val="both"/>
        <w:rPr>
          <w:rFonts w:hint="eastAsia" w:ascii="仿宋_GB2312" w:hAnsi="仿宋_GB2312" w:eastAsia="仿宋_GB2312"/>
          <w:color w:val="000000"/>
          <w:kern w:val="2"/>
          <w:sz w:val="32"/>
          <w:szCs w:val="24"/>
          <w:lang w:val="zh-CN"/>
        </w:rPr>
      </w:pPr>
    </w:p>
    <w:p>
      <w:pPr>
        <w:keepNext/>
        <w:keepLines/>
        <w:spacing w:line="576" w:lineRule="exact"/>
        <w:ind w:firstLine="640"/>
        <w:jc w:val="both"/>
        <w:rPr>
          <w:rFonts w:hint="eastAsia" w:ascii="仿宋_GB2312" w:hAnsi="仿宋_GB2312" w:eastAsia="仿宋_GB2312"/>
          <w:color w:val="000000"/>
          <w:kern w:val="2"/>
          <w:sz w:val="32"/>
          <w:szCs w:val="24"/>
          <w:lang w:val="zh-CN"/>
        </w:rPr>
      </w:pPr>
    </w:p>
    <w:p>
      <w:pPr>
        <w:keepNext/>
        <w:keepLines/>
        <w:spacing w:line="576" w:lineRule="exact"/>
        <w:ind w:firstLine="640"/>
        <w:jc w:val="both"/>
        <w:rPr>
          <w:rFonts w:hint="eastAsia" w:ascii="仿宋_GB2312" w:hAnsi="仿宋_GB2312" w:eastAsia="仿宋_GB2312"/>
          <w:color w:val="000000"/>
          <w:kern w:val="2"/>
          <w:sz w:val="32"/>
          <w:szCs w:val="24"/>
          <w:lang w:val="zh-CN"/>
        </w:rPr>
      </w:pPr>
    </w:p>
    <w:p>
      <w:pPr>
        <w:keepNext/>
        <w:keepLines/>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drawing>
          <wp:anchor distT="0" distB="0" distL="114300" distR="114300" simplePos="0" relativeHeight="251661312" behindDoc="0" locked="0" layoutInCell="1" allowOverlap="1">
            <wp:simplePos x="0" y="0"/>
            <wp:positionH relativeFrom="column">
              <wp:posOffset>411480</wp:posOffset>
            </wp:positionH>
            <wp:positionV relativeFrom="paragraph">
              <wp:posOffset>-2705100</wp:posOffset>
            </wp:positionV>
            <wp:extent cx="5256530" cy="2988310"/>
            <wp:effectExtent l="5080" t="4445" r="11430" b="952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keepNext/>
        <w:keepLines/>
        <w:spacing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二、收</w:t>
      </w:r>
      <w:r>
        <w:rPr>
          <w:rFonts w:hint="eastAsia" w:ascii="黑体" w:hAnsi="黑体" w:eastAsia="黑体"/>
          <w:color w:val="auto"/>
          <w:kern w:val="2"/>
          <w:sz w:val="32"/>
          <w:szCs w:val="24"/>
          <w:lang w:val="zh-CN"/>
        </w:rPr>
        <w:t>入决算情况说明</w:t>
      </w:r>
    </w:p>
    <w:p>
      <w:pPr>
        <w:spacing w:line="600" w:lineRule="exact"/>
        <w:ind w:firstLine="640"/>
        <w:jc w:val="both"/>
        <w:rPr>
          <w:rFonts w:hint="eastAsia" w:ascii="仿宋" w:hAnsi="仿宋" w:eastAsia="仿宋"/>
          <w:color w:val="auto"/>
          <w:kern w:val="2"/>
          <w:sz w:val="32"/>
          <w:szCs w:val="24"/>
          <w:lang w:val="en-US"/>
        </w:rPr>
      </w:pPr>
      <w:r>
        <w:rPr>
          <w:rFonts w:hint="eastAsia" w:ascii="仿宋_GB2312" w:hAnsi="仿宋_GB2312" w:eastAsia="仿宋_GB2312"/>
          <w:color w:val="000000"/>
          <w:kern w:val="2"/>
          <w:sz w:val="32"/>
          <w:szCs w:val="24"/>
          <w:lang w:val="zh-CN"/>
        </w:rPr>
        <w:t>2022年本年收入合计456.14万元，其中：一般公共预算财政拨款收入456.14万元，占100%；</w:t>
      </w:r>
    </w:p>
    <w:p>
      <w:pPr>
        <w:keepNext/>
        <w:keepLines/>
        <w:spacing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三、支</w:t>
      </w:r>
      <w:r>
        <w:rPr>
          <w:rFonts w:hint="eastAsia" w:ascii="黑体" w:hAnsi="黑体" w:eastAsia="黑体"/>
          <w:color w:val="auto"/>
          <w:kern w:val="2"/>
          <w:sz w:val="32"/>
          <w:szCs w:val="24"/>
          <w:lang w:val="zh-CN"/>
        </w:rPr>
        <w:t>出决算情况说明</w:t>
      </w:r>
    </w:p>
    <w:p>
      <w:pPr>
        <w:spacing w:line="600"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2022年本年支出合计456.14万元，其中：基本支出437.84万元，占96%；项目支出18.29万元，占4%。</w:t>
      </w:r>
    </w:p>
    <w:p>
      <w:pPr>
        <w:spacing w:line="600" w:lineRule="exact"/>
        <w:jc w:val="both"/>
        <w:rPr>
          <w:rFonts w:hint="eastAsia" w:ascii="仿宋_GB2312" w:hAnsi="仿宋_GB2312" w:eastAsia="仿宋_GB2312"/>
          <w:color w:val="000000"/>
          <w:kern w:val="2"/>
          <w:sz w:val="32"/>
          <w:szCs w:val="24"/>
          <w:lang w:val="zh-CN"/>
        </w:rPr>
      </w:pPr>
    </w:p>
    <w:p>
      <w:pPr>
        <w:spacing w:line="600" w:lineRule="exact"/>
        <w:ind w:firstLine="640"/>
        <w:jc w:val="both"/>
        <w:rPr>
          <w:rFonts w:hint="eastAsia" w:ascii="仿宋_GB2312" w:hAnsi="仿宋_GB2312" w:eastAsia="仿宋_GB2312"/>
          <w:color w:val="000000"/>
          <w:kern w:val="2"/>
          <w:sz w:val="32"/>
          <w:szCs w:val="24"/>
          <w:lang w:val="zh-CN"/>
        </w:rPr>
      </w:pPr>
    </w:p>
    <w:p>
      <w:pPr>
        <w:spacing w:line="600" w:lineRule="exact"/>
        <w:ind w:firstLine="640"/>
        <w:jc w:val="both"/>
        <w:rPr>
          <w:rFonts w:hint="eastAsia" w:ascii="仿宋_GB2312" w:hAnsi="仿宋_GB2312" w:eastAsia="仿宋_GB2312"/>
          <w:color w:val="000000"/>
          <w:kern w:val="2"/>
          <w:sz w:val="32"/>
          <w:szCs w:val="24"/>
          <w:lang w:val="zh-CN"/>
        </w:rPr>
      </w:pPr>
    </w:p>
    <w:p>
      <w:pPr>
        <w:spacing w:line="600" w:lineRule="exact"/>
        <w:ind w:firstLine="640"/>
        <w:jc w:val="both"/>
        <w:rPr>
          <w:rFonts w:hint="eastAsia" w:ascii="仿宋_GB2312" w:hAnsi="仿宋_GB2312" w:eastAsia="仿宋_GB2312"/>
          <w:color w:val="000000"/>
          <w:kern w:val="2"/>
          <w:sz w:val="32"/>
          <w:szCs w:val="24"/>
          <w:lang w:val="zh-CN"/>
        </w:rPr>
      </w:pPr>
    </w:p>
    <w:p>
      <w:pPr>
        <w:spacing w:line="600" w:lineRule="exact"/>
        <w:ind w:firstLine="640"/>
        <w:jc w:val="both"/>
        <w:rPr>
          <w:rFonts w:hint="eastAsia" w:ascii="仿宋_GB2312" w:hAnsi="仿宋_GB2312" w:eastAsia="仿宋_GB2312"/>
          <w:color w:val="000000"/>
          <w:kern w:val="2"/>
          <w:sz w:val="32"/>
          <w:szCs w:val="24"/>
          <w:lang w:val="zh-CN"/>
        </w:rPr>
      </w:pPr>
    </w:p>
    <w:p>
      <w:pPr>
        <w:spacing w:line="600" w:lineRule="exact"/>
        <w:ind w:firstLine="640"/>
        <w:jc w:val="both"/>
        <w:rPr>
          <w:rFonts w:hint="eastAsia" w:ascii="仿宋_GB2312" w:hAnsi="仿宋_GB2312" w:eastAsia="仿宋_GB2312"/>
          <w:color w:val="000000"/>
          <w:kern w:val="2"/>
          <w:sz w:val="32"/>
          <w:szCs w:val="24"/>
          <w:lang w:val="zh-CN"/>
        </w:rPr>
      </w:pPr>
    </w:p>
    <w:p>
      <w:pPr>
        <w:spacing w:line="600" w:lineRule="exact"/>
        <w:ind w:firstLine="640"/>
        <w:jc w:val="both"/>
        <w:rPr>
          <w:rFonts w:hint="eastAsia" w:ascii="仿宋_GB2312" w:hAnsi="仿宋_GB2312" w:eastAsia="仿宋_GB2312"/>
          <w:color w:val="000000"/>
          <w:kern w:val="2"/>
          <w:sz w:val="32"/>
          <w:szCs w:val="24"/>
          <w:lang w:val="zh-CN"/>
        </w:rPr>
      </w:pPr>
    </w:p>
    <w:p>
      <w:pPr>
        <w:spacing w:line="600" w:lineRule="exact"/>
        <w:ind w:firstLine="640"/>
        <w:jc w:val="both"/>
        <w:rPr>
          <w:rFonts w:hint="eastAsia" w:ascii="仿宋_GB2312" w:hAnsi="仿宋_GB2312" w:eastAsia="仿宋_GB2312"/>
          <w:color w:val="000000"/>
          <w:kern w:val="2"/>
          <w:sz w:val="32"/>
          <w:szCs w:val="24"/>
          <w:lang w:val="zh-CN"/>
        </w:rPr>
      </w:pPr>
    </w:p>
    <w:p>
      <w:pPr>
        <w:spacing w:line="600"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drawing>
          <wp:anchor distT="0" distB="0" distL="114300" distR="114300" simplePos="0" relativeHeight="251660288" behindDoc="0" locked="0" layoutInCell="1" allowOverlap="1">
            <wp:simplePos x="0" y="0"/>
            <wp:positionH relativeFrom="column">
              <wp:posOffset>411480</wp:posOffset>
            </wp:positionH>
            <wp:positionV relativeFrom="paragraph">
              <wp:posOffset>-2693035</wp:posOffset>
            </wp:positionV>
            <wp:extent cx="5256530" cy="2988310"/>
            <wp:effectExtent l="5080" t="4445" r="11430" b="952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keepNext/>
        <w:keepLines/>
        <w:spacing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四、财</w:t>
      </w:r>
      <w:r>
        <w:rPr>
          <w:rFonts w:hint="eastAsia" w:ascii="黑体" w:hAnsi="黑体" w:eastAsia="黑体"/>
          <w:color w:val="auto"/>
          <w:kern w:val="2"/>
          <w:sz w:val="32"/>
          <w:szCs w:val="24"/>
          <w:lang w:val="zh-CN"/>
        </w:rPr>
        <w:t>政拨款收入支出决算总体情况说明</w:t>
      </w:r>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2022年财政拨款收、支总计456.14万元。与2021年相比，财政拨款收、支总计各增加13.31万元，增长3%。主要变动原因是人员增加，人员经费增加。</w:t>
      </w:r>
    </w:p>
    <w:p>
      <w:pPr>
        <w:numPr>
          <w:ilvl w:val="0"/>
          <w:numId w:val="2"/>
        </w:numPr>
        <w:spacing w:line="576" w:lineRule="exact"/>
        <w:ind w:firstLine="640"/>
        <w:jc w:val="both"/>
        <w:rPr>
          <w:rFonts w:hint="eastAsia" w:ascii="黑体" w:hAnsi="黑体" w:eastAsia="黑体"/>
          <w:color w:val="auto"/>
          <w:kern w:val="2"/>
          <w:sz w:val="32"/>
          <w:szCs w:val="24"/>
          <w:lang w:val="zh-CN"/>
        </w:rPr>
      </w:pP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般公共预算财政拨款支出决算情况说明</w:t>
      </w:r>
    </w:p>
    <w:p>
      <w:pPr>
        <w:numPr>
          <w:ilvl w:val="0"/>
          <w:numId w:val="3"/>
        </w:numPr>
        <w:spacing w:line="576" w:lineRule="exact"/>
        <w:ind w:firstLine="643" w:firstLineChars="20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一般公共预算财政拨款支出决算总体情况。</w:t>
      </w:r>
    </w:p>
    <w:p>
      <w:pPr>
        <w:numPr>
          <w:ilvl w:val="0"/>
          <w:numId w:val="0"/>
        </w:numPr>
        <w:spacing w:line="576" w:lineRule="exact"/>
        <w:ind w:firstLine="960" w:firstLineChars="300"/>
        <w:jc w:val="both"/>
        <w:rPr>
          <w:rFonts w:hint="eastAsia" w:ascii="仿宋" w:hAnsi="仿宋" w:eastAsia="仿宋"/>
          <w:color w:val="auto"/>
          <w:kern w:val="2"/>
          <w:sz w:val="32"/>
          <w:szCs w:val="24"/>
          <w:lang w:val="en-US"/>
        </w:rPr>
      </w:pPr>
      <w:r>
        <w:rPr>
          <w:rFonts w:hint="eastAsia" w:ascii="仿宋_GB2312" w:hAnsi="仿宋_GB2312" w:eastAsia="仿宋_GB2312"/>
          <w:color w:val="000000"/>
          <w:kern w:val="2"/>
          <w:sz w:val="32"/>
          <w:szCs w:val="24"/>
          <w:lang w:val="zh-CN"/>
        </w:rPr>
        <w:t>2022年一般公共预算财政拨款支出456.14万元，占本年支出合计的100%。与2021年相比，一般公共预算财政拨款支出增加13.31万元，增长3%。主要变动原因是人员增加，人员经费增加。</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（二）一般公共预算财政拨款支出决算结构情况。</w:t>
      </w:r>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2022年一般公共预算财政拨款支出456.14万元，主要用于以下方面: 教育支出363.87万元，占79.8%；社会保障和就业支出43.32万元，占9.5%；卫生健康支出21.1</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万元，占4.6%；住房保障支出27.85万元，占6.1%；</w:t>
      </w:r>
    </w:p>
    <w:p>
      <w:pPr>
        <w:keepNext/>
        <w:keepLines/>
        <w:spacing w:line="576" w:lineRule="exact"/>
        <w:ind w:firstLine="640"/>
        <w:jc w:val="both"/>
        <w:rPr>
          <w:rFonts w:hint="eastAsia" w:ascii="仿宋_GB2312" w:hAnsi="仿宋_GB2312" w:eastAsia="仿宋_GB2312"/>
          <w:color w:val="000000"/>
          <w:kern w:val="2"/>
          <w:sz w:val="32"/>
          <w:szCs w:val="24"/>
          <w:lang w:val="zh-CN"/>
        </w:rPr>
      </w:pPr>
    </w:p>
    <w:p>
      <w:pPr>
        <w:keepNext/>
        <w:keepLines/>
        <w:spacing w:line="576" w:lineRule="exact"/>
        <w:ind w:firstLine="640"/>
        <w:jc w:val="both"/>
        <w:rPr>
          <w:rFonts w:hint="eastAsia" w:ascii="仿宋_GB2312" w:hAnsi="仿宋_GB2312" w:eastAsia="仿宋_GB2312"/>
          <w:color w:val="000000"/>
          <w:kern w:val="2"/>
          <w:sz w:val="32"/>
          <w:szCs w:val="24"/>
          <w:lang w:val="zh-CN"/>
        </w:rPr>
      </w:pPr>
    </w:p>
    <w:p>
      <w:pPr>
        <w:keepNext/>
        <w:keepLines/>
        <w:spacing w:line="576" w:lineRule="exact"/>
        <w:ind w:firstLine="640"/>
        <w:jc w:val="both"/>
        <w:rPr>
          <w:rFonts w:hint="eastAsia" w:ascii="仿宋_GB2312" w:hAnsi="仿宋_GB2312" w:eastAsia="仿宋_GB2312"/>
          <w:color w:val="000000"/>
          <w:kern w:val="2"/>
          <w:sz w:val="32"/>
          <w:szCs w:val="24"/>
          <w:lang w:val="zh-CN"/>
        </w:rPr>
      </w:pPr>
    </w:p>
    <w:p>
      <w:pPr>
        <w:keepNext/>
        <w:keepLines/>
        <w:spacing w:line="576" w:lineRule="exact"/>
        <w:ind w:firstLine="640"/>
        <w:jc w:val="both"/>
        <w:rPr>
          <w:rFonts w:hint="eastAsia" w:ascii="仿宋_GB2312" w:hAnsi="仿宋_GB2312" w:eastAsia="仿宋_GB2312"/>
          <w:color w:val="000000"/>
          <w:kern w:val="2"/>
          <w:sz w:val="32"/>
          <w:szCs w:val="24"/>
          <w:lang w:val="zh-CN"/>
        </w:rPr>
      </w:pPr>
    </w:p>
    <w:p>
      <w:pPr>
        <w:keepNext/>
        <w:keepLines/>
        <w:spacing w:line="576" w:lineRule="exact"/>
        <w:ind w:firstLine="640"/>
        <w:jc w:val="both"/>
        <w:rPr>
          <w:rFonts w:hint="eastAsia" w:ascii="仿宋_GB2312" w:hAnsi="仿宋_GB2312" w:eastAsia="仿宋_GB2312"/>
          <w:color w:val="000000"/>
          <w:kern w:val="2"/>
          <w:sz w:val="32"/>
          <w:szCs w:val="24"/>
          <w:lang w:val="zh-CN"/>
        </w:rPr>
      </w:pPr>
    </w:p>
    <w:p>
      <w:pPr>
        <w:keepNext/>
        <w:keepLines/>
        <w:spacing w:line="576" w:lineRule="exact"/>
        <w:ind w:firstLine="640"/>
        <w:jc w:val="both"/>
        <w:rPr>
          <w:rFonts w:hint="eastAsia" w:ascii="仿宋_GB2312" w:hAnsi="仿宋_GB2312" w:eastAsia="仿宋_GB2312"/>
          <w:color w:val="000000"/>
          <w:kern w:val="2"/>
          <w:sz w:val="32"/>
          <w:szCs w:val="24"/>
          <w:lang w:val="zh-CN"/>
        </w:rPr>
      </w:pPr>
    </w:p>
    <w:p>
      <w:pPr>
        <w:keepNext/>
        <w:keepLines/>
        <w:spacing w:line="576" w:lineRule="exact"/>
        <w:ind w:firstLine="640"/>
        <w:jc w:val="both"/>
        <w:rPr>
          <w:rFonts w:hint="eastAsia" w:ascii="仿宋_GB2312" w:hAnsi="仿宋_GB2312" w:eastAsia="仿宋_GB2312"/>
          <w:color w:val="000000"/>
          <w:kern w:val="2"/>
          <w:sz w:val="32"/>
          <w:szCs w:val="24"/>
          <w:lang w:val="zh-CN"/>
        </w:rPr>
      </w:pPr>
    </w:p>
    <w:p>
      <w:pPr>
        <w:keepNext/>
        <w:keepLines/>
        <w:spacing w:line="576" w:lineRule="exact"/>
        <w:ind w:firstLine="640"/>
        <w:jc w:val="both"/>
        <w:rPr>
          <w:rFonts w:hint="eastAsia" w:ascii="仿宋_GB2312" w:hAnsi="仿宋_GB2312" w:eastAsia="仿宋_GB2312"/>
          <w:color w:val="000000"/>
          <w:kern w:val="2"/>
          <w:sz w:val="32"/>
          <w:szCs w:val="24"/>
          <w:lang w:val="zh-CN"/>
        </w:rPr>
      </w:pPr>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drawing>
          <wp:anchor distT="0" distB="0" distL="114300" distR="114300" simplePos="0" relativeHeight="251662336" behindDoc="0" locked="0" layoutInCell="1" allowOverlap="1">
            <wp:simplePos x="0" y="0"/>
            <wp:positionH relativeFrom="column">
              <wp:posOffset>411480</wp:posOffset>
            </wp:positionH>
            <wp:positionV relativeFrom="paragraph">
              <wp:posOffset>-2705100</wp:posOffset>
            </wp:positionV>
            <wp:extent cx="5256530" cy="2988310"/>
            <wp:effectExtent l="5080" t="4445" r="11430" b="952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（三）一般公共预算财政拨款支出决算具体情况。</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2022年一般公共预算支出决算数为456.14万元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完成预算100%。其中：</w:t>
      </w:r>
    </w:p>
    <w:p>
      <w:pPr>
        <w:keepNext/>
        <w:keepLines/>
        <w:spacing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eastAsia="zh-CN"/>
        </w:rPr>
        <w:t>1</w:t>
      </w:r>
      <w:r>
        <w:rPr>
          <w:rFonts w:hint="eastAsia" w:ascii="仿宋_GB2312" w:hAnsi="仿宋_GB2312" w:eastAsia="仿宋_GB2312"/>
          <w:b/>
          <w:color w:val="000000"/>
          <w:kern w:val="2"/>
          <w:sz w:val="32"/>
          <w:szCs w:val="24"/>
          <w:lang w:val="en-US"/>
        </w:rPr>
        <w:t>.教育支出</w:t>
      </w:r>
      <w:r>
        <w:rPr>
          <w:rFonts w:hint="eastAsia" w:ascii="仿宋_GB2312" w:hAnsi="仿宋_GB2312" w:eastAsia="仿宋_GB2312"/>
          <w:b/>
          <w:color w:val="000000"/>
          <w:kern w:val="2"/>
          <w:sz w:val="32"/>
          <w:szCs w:val="24"/>
          <w:lang w:val="en-US" w:eastAsia="zh-CN"/>
        </w:rPr>
        <w:t>205</w:t>
      </w:r>
      <w:r>
        <w:rPr>
          <w:rFonts w:hint="eastAsia" w:ascii="仿宋_GB2312" w:hAnsi="仿宋_GB2312" w:eastAsia="仿宋_GB2312"/>
          <w:b/>
          <w:color w:val="000000"/>
          <w:kern w:val="2"/>
          <w:sz w:val="32"/>
          <w:szCs w:val="24"/>
          <w:lang w:val="en-US"/>
        </w:rPr>
        <w:t>:</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363.87</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eastAsia="zh-CN"/>
        </w:rPr>
        <w:t>2</w:t>
      </w:r>
      <w:r>
        <w:rPr>
          <w:rFonts w:hint="eastAsia" w:ascii="仿宋_GB2312" w:hAnsi="仿宋_GB2312" w:eastAsia="仿宋_GB2312"/>
          <w:b/>
          <w:color w:val="000000"/>
          <w:kern w:val="2"/>
          <w:sz w:val="32"/>
          <w:szCs w:val="24"/>
          <w:lang w:val="en-US"/>
        </w:rPr>
        <w:t>.社会保障和就业支出</w:t>
      </w:r>
      <w:r>
        <w:rPr>
          <w:rFonts w:hint="eastAsia" w:ascii="仿宋_GB2312" w:hAnsi="仿宋_GB2312" w:eastAsia="仿宋_GB2312"/>
          <w:b/>
          <w:color w:val="000000"/>
          <w:kern w:val="2"/>
          <w:sz w:val="32"/>
          <w:szCs w:val="24"/>
          <w:lang w:val="en-US" w:eastAsia="zh-CN"/>
        </w:rPr>
        <w:t>208</w:t>
      </w:r>
      <w:r>
        <w:rPr>
          <w:rFonts w:hint="eastAsia" w:ascii="仿宋_GB2312" w:hAnsi="仿宋_GB2312" w:eastAsia="仿宋_GB2312"/>
          <w:b/>
          <w:color w:val="000000"/>
          <w:kern w:val="2"/>
          <w:sz w:val="32"/>
          <w:szCs w:val="24"/>
          <w:lang w:val="en-US"/>
        </w:rPr>
        <w:t>:</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43.32</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eastAsia="zh-CN"/>
        </w:rPr>
        <w:t>3</w:t>
      </w:r>
      <w:r>
        <w:rPr>
          <w:rFonts w:hint="eastAsia" w:ascii="仿宋_GB2312" w:hAnsi="仿宋_GB2312" w:eastAsia="仿宋_GB2312"/>
          <w:b/>
          <w:color w:val="000000"/>
          <w:kern w:val="2"/>
          <w:sz w:val="32"/>
          <w:szCs w:val="24"/>
          <w:lang w:val="en-US"/>
        </w:rPr>
        <w:t>.卫生健康支出</w:t>
      </w:r>
      <w:r>
        <w:rPr>
          <w:rFonts w:hint="eastAsia" w:ascii="仿宋_GB2312" w:hAnsi="仿宋_GB2312" w:eastAsia="仿宋_GB2312"/>
          <w:b/>
          <w:color w:val="000000"/>
          <w:kern w:val="2"/>
          <w:sz w:val="32"/>
          <w:szCs w:val="24"/>
          <w:lang w:val="en-US" w:eastAsia="zh-CN"/>
        </w:rPr>
        <w:t>210</w:t>
      </w:r>
      <w:r>
        <w:rPr>
          <w:rFonts w:hint="eastAsia" w:ascii="仿宋_GB2312" w:hAnsi="仿宋_GB2312" w:eastAsia="仿宋_GB2312"/>
          <w:b/>
          <w:color w:val="000000"/>
          <w:kern w:val="2"/>
          <w:sz w:val="32"/>
          <w:szCs w:val="24"/>
          <w:lang w:val="en-US"/>
        </w:rPr>
        <w:t>:</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21.10</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line="576" w:lineRule="exact"/>
        <w:ind w:firstLine="643"/>
        <w:jc w:val="both"/>
        <w:rPr>
          <w:rFonts w:hint="eastAsia" w:ascii="仿宋_GB2312" w:hAnsi="仿宋_GB2312" w:eastAsia="仿宋_GB2312"/>
          <w:b/>
          <w:color w:val="000000"/>
          <w:kern w:val="2"/>
          <w:sz w:val="32"/>
          <w:szCs w:val="24"/>
          <w:lang w:val="en-US"/>
        </w:rPr>
      </w:pPr>
      <w:r>
        <w:rPr>
          <w:rFonts w:hint="eastAsia" w:ascii="仿宋" w:hAnsi="仿宋" w:eastAsia="仿宋"/>
          <w:b/>
          <w:color w:val="auto"/>
          <w:kern w:val="2"/>
          <w:sz w:val="32"/>
          <w:szCs w:val="24"/>
          <w:lang w:val="en-US" w:eastAsia="zh-CN"/>
        </w:rPr>
        <w:t>4.</w:t>
      </w:r>
      <w:r>
        <w:rPr>
          <w:rStyle w:val="10"/>
          <w:rFonts w:hint="eastAsia" w:ascii="仿宋" w:hAnsi="仿宋" w:eastAsia="仿宋"/>
          <w:color w:val="000000"/>
          <w:sz w:val="32"/>
          <w:szCs w:val="24"/>
        </w:rPr>
        <w:t>住房保障支出221</w:t>
      </w:r>
      <w:r>
        <w:rPr>
          <w:rStyle w:val="10"/>
          <w:rFonts w:hint="eastAsia" w:ascii="仿宋" w:hAnsi="仿宋" w:eastAsia="仿宋"/>
          <w:b w:val="0"/>
          <w:color w:val="000000"/>
          <w:sz w:val="32"/>
          <w:szCs w:val="24"/>
        </w:rPr>
        <w:t>:</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27.85</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tabs>
          <w:tab w:val="right" w:pos="8306"/>
        </w:tabs>
        <w:spacing w:line="576" w:lineRule="exact"/>
        <w:ind w:firstLine="640"/>
        <w:jc w:val="both"/>
        <w:rPr>
          <w:rFonts w:hint="default" w:ascii="Cambria" w:hAnsi="Cambria" w:eastAsia="Cambria"/>
          <w:b/>
          <w:color w:val="auto"/>
          <w:kern w:val="2"/>
          <w:sz w:val="32"/>
          <w:szCs w:val="24"/>
          <w:lang w:val="zh-CN"/>
        </w:rPr>
      </w:pPr>
      <w:r>
        <w:rPr>
          <w:rFonts w:hint="eastAsia" w:ascii="黑体" w:hAnsi="黑体" w:eastAsia="黑体"/>
          <w:color w:val="000000"/>
          <w:kern w:val="2"/>
          <w:sz w:val="32"/>
          <w:szCs w:val="24"/>
          <w:lang w:val="zh-CN"/>
        </w:rPr>
        <w:t>六</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般公共预算财政拨款基本支出决算情况说明</w:t>
      </w:r>
      <w:r>
        <w:rPr>
          <w:rFonts w:hint="eastAsia" w:ascii="黑体" w:hAnsi="黑体" w:eastAsia="黑体"/>
          <w:color w:val="auto"/>
          <w:kern w:val="2"/>
          <w:sz w:val="32"/>
          <w:szCs w:val="24"/>
          <w:lang w:val="zh-CN"/>
        </w:rPr>
        <w:tab/>
      </w:r>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2022年一般公共预算财政拨款基本支出437.84万元，其中：</w:t>
      </w:r>
    </w:p>
    <w:p>
      <w:pPr>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zh-CN"/>
        </w:rPr>
        <w:t>433.59万元，主要包括：</w:t>
      </w:r>
      <w:r>
        <w:rPr>
          <w:rFonts w:hint="eastAsia" w:ascii="仿宋" w:hAnsi="仿宋" w:eastAsia="仿宋"/>
          <w:color w:val="auto"/>
          <w:kern w:val="2"/>
          <w:sz w:val="32"/>
          <w:szCs w:val="24"/>
          <w:lang w:val="en-US"/>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olor w:val="000000"/>
          <w:kern w:val="2"/>
          <w:sz w:val="32"/>
          <w:szCs w:val="24"/>
          <w:lang w:val="zh-CN"/>
        </w:rPr>
        <w:t>。</w:t>
      </w:r>
    </w:p>
    <w:p>
      <w:pPr>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lang w:val="zh-CN"/>
        </w:rPr>
        <w:t>4.25万元，主要包括：</w:t>
      </w:r>
      <w:r>
        <w:rPr>
          <w:rFonts w:hint="eastAsia" w:ascii="仿宋" w:hAnsi="仿宋" w:eastAsia="仿宋"/>
          <w:color w:val="auto"/>
          <w:kern w:val="2"/>
          <w:sz w:val="32"/>
          <w:szCs w:val="24"/>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_GB2312" w:hAnsi="仿宋_GB2312" w:eastAsia="仿宋_GB2312"/>
          <w:color w:val="000000"/>
          <w:kern w:val="2"/>
          <w:sz w:val="32"/>
          <w:szCs w:val="24"/>
          <w:lang w:val="zh-CN"/>
        </w:rPr>
        <w:t>。</w:t>
      </w:r>
    </w:p>
    <w:p>
      <w:pPr>
        <w:numPr>
          <w:ilvl w:val="0"/>
          <w:numId w:val="2"/>
        </w:numPr>
        <w:spacing w:line="576" w:lineRule="exact"/>
        <w:ind w:firstLine="640"/>
        <w:jc w:val="both"/>
        <w:rPr>
          <w:rFonts w:hint="eastAsia" w:ascii="黑体" w:hAnsi="黑体" w:eastAsia="黑体"/>
          <w:color w:val="auto"/>
          <w:kern w:val="2"/>
          <w:sz w:val="32"/>
          <w:szCs w:val="24"/>
          <w:lang w:val="zh-CN"/>
        </w:rPr>
      </w:pP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三公”经费财政拨款支出决算情况说明</w:t>
      </w:r>
    </w:p>
    <w:p>
      <w:pPr>
        <w:numPr>
          <w:ilvl w:val="0"/>
          <w:numId w:val="4"/>
        </w:numPr>
        <w:spacing w:line="576" w:lineRule="exact"/>
        <w:ind w:left="32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“三公”经费财政拨款支出决算总体情况说明</w:t>
      </w:r>
      <w:r>
        <w:rPr>
          <w:rFonts w:hint="eastAsia" w:ascii="仿宋_GB2312" w:hAnsi="仿宋_GB2312" w:eastAsia="仿宋_GB2312"/>
          <w:color w:val="000000"/>
          <w:kern w:val="2"/>
          <w:sz w:val="32"/>
          <w:szCs w:val="24"/>
          <w:lang w:val="zh-CN"/>
        </w:rPr>
        <w:t>2022年“三公”经费财政拨款支出决算为0.08万元，完成预算100%；较上年减少0.55万元，下降87.3%。决算数小于预算数的主要原因是公务车使用减少。</w:t>
      </w:r>
    </w:p>
    <w:p>
      <w:pPr>
        <w:numPr>
          <w:ilvl w:val="0"/>
          <w:numId w:val="4"/>
        </w:numPr>
        <w:spacing w:line="576" w:lineRule="exact"/>
        <w:ind w:left="32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“三公”经费财政拨款支出决算具体情况说明</w:t>
      </w:r>
      <w:r>
        <w:rPr>
          <w:rFonts w:hint="eastAsia" w:ascii="仿宋_GB2312" w:hAnsi="仿宋_GB2312" w:eastAsia="仿宋_GB2312"/>
          <w:color w:val="000000"/>
          <w:kern w:val="2"/>
          <w:sz w:val="32"/>
          <w:szCs w:val="24"/>
          <w:lang w:val="zh-CN"/>
        </w:rPr>
        <w:t>2022年“三公”经费财政拨款支出决算中，因公出国（境）费支出决算0万元，占0%；公务用车购置及运行维护费支出决算0.08万元，占100%；公务接待费支出决算0万元，占0%。具体情况如下：</w:t>
      </w:r>
    </w:p>
    <w:p>
      <w:pPr>
        <w:numPr>
          <w:ilvl w:val="0"/>
          <w:numId w:val="5"/>
        </w:numPr>
        <w:spacing w:line="576" w:lineRule="exact"/>
        <w:ind w:left="32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因公出国（境）经费</w:t>
      </w:r>
      <w:r>
        <w:rPr>
          <w:rFonts w:hint="eastAsia" w:ascii="仿宋_GB2312" w:hAnsi="仿宋_GB2312" w:eastAsia="仿宋_GB2312"/>
          <w:color w:val="000000"/>
          <w:kern w:val="2"/>
          <w:sz w:val="32"/>
          <w:szCs w:val="24"/>
          <w:lang w:val="zh-CN"/>
        </w:rPr>
        <w:t>支出0万元，完成预算0%。全年安排因公出国（境）团组0个，出国（境）0人。因公出国（境）支出决算比2021年持平。</w:t>
      </w:r>
    </w:p>
    <w:p>
      <w:pPr>
        <w:numPr>
          <w:ilvl w:val="0"/>
          <w:numId w:val="0"/>
        </w:numPr>
        <w:spacing w:line="576" w:lineRule="exact"/>
        <w:ind w:left="319" w:leftChars="13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2.公务用车购置及运行维护费</w:t>
      </w:r>
      <w:r>
        <w:rPr>
          <w:rFonts w:hint="eastAsia" w:ascii="仿宋_GB2312" w:hAnsi="仿宋_GB2312" w:eastAsia="仿宋_GB2312"/>
          <w:color w:val="000000"/>
          <w:kern w:val="2"/>
          <w:sz w:val="32"/>
          <w:szCs w:val="24"/>
          <w:lang w:val="zh-CN"/>
        </w:rPr>
        <w:t>支出0.0</w:t>
      </w:r>
      <w:r>
        <w:rPr>
          <w:rFonts w:hint="eastAsia" w:ascii="仿宋_GB2312" w:hAnsi="仿宋_GB2312" w:eastAsia="仿宋_GB2312"/>
          <w:color w:val="000000"/>
          <w:kern w:val="2"/>
          <w:sz w:val="32"/>
          <w:szCs w:val="24"/>
          <w:lang w:val="en-US" w:eastAsia="zh-CN"/>
        </w:rPr>
        <w:t>8</w:t>
      </w:r>
      <w:r>
        <w:rPr>
          <w:rFonts w:hint="eastAsia" w:ascii="仿宋_GB2312" w:hAnsi="仿宋_GB2312" w:eastAsia="仿宋_GB2312"/>
          <w:color w:val="000000"/>
          <w:kern w:val="2"/>
          <w:sz w:val="32"/>
          <w:szCs w:val="24"/>
          <w:lang w:val="zh-CN"/>
        </w:rPr>
        <w:t>万元，完成预算100%。公务用车购置及运行维护费支出决算比2021年减少0.</w:t>
      </w:r>
      <w:r>
        <w:rPr>
          <w:rFonts w:hint="eastAsia" w:ascii="仿宋_GB2312" w:hAnsi="仿宋_GB2312" w:eastAsia="仿宋_GB2312"/>
          <w:color w:val="000000"/>
          <w:kern w:val="2"/>
          <w:sz w:val="32"/>
          <w:szCs w:val="24"/>
          <w:lang w:val="en-US" w:eastAsia="zh-CN"/>
        </w:rPr>
        <w:t>0.55</w:t>
      </w:r>
      <w:r>
        <w:rPr>
          <w:rFonts w:hint="eastAsia" w:ascii="仿宋_GB2312" w:hAnsi="仿宋_GB2312" w:eastAsia="仿宋_GB2312"/>
          <w:color w:val="000000"/>
          <w:kern w:val="2"/>
          <w:sz w:val="32"/>
          <w:szCs w:val="24"/>
          <w:lang w:val="zh-CN"/>
        </w:rPr>
        <w:t>万元，下降</w:t>
      </w:r>
      <w:r>
        <w:rPr>
          <w:rFonts w:hint="eastAsia" w:ascii="仿宋_GB2312" w:hAnsi="仿宋_GB2312" w:eastAsia="仿宋_GB2312"/>
          <w:color w:val="000000"/>
          <w:kern w:val="2"/>
          <w:sz w:val="32"/>
          <w:szCs w:val="24"/>
          <w:lang w:val="en-US" w:eastAsia="zh-CN"/>
        </w:rPr>
        <w:t>87.30</w:t>
      </w:r>
      <w:r>
        <w:rPr>
          <w:rFonts w:hint="eastAsia" w:ascii="仿宋_GB2312" w:hAnsi="仿宋_GB2312" w:eastAsia="仿宋_GB2312"/>
          <w:color w:val="000000"/>
          <w:kern w:val="2"/>
          <w:sz w:val="32"/>
          <w:szCs w:val="24"/>
          <w:lang w:val="zh-CN"/>
        </w:rPr>
        <w:t>%。主要原因是</w:t>
      </w:r>
      <w:r>
        <w:rPr>
          <w:rFonts w:hint="eastAsia" w:ascii="仿宋_GB2312" w:hAnsi="仿宋_GB2312" w:eastAsia="仿宋_GB2312"/>
          <w:color w:val="000000"/>
          <w:kern w:val="2"/>
          <w:sz w:val="32"/>
          <w:szCs w:val="24"/>
          <w:lang w:val="en-US" w:eastAsia="zh-CN"/>
        </w:rPr>
        <w:t>公务使用减少</w:t>
      </w:r>
      <w:r>
        <w:rPr>
          <w:rFonts w:hint="eastAsia" w:ascii="仿宋_GB2312" w:hAnsi="仿宋_GB2312" w:eastAsia="仿宋_GB2312"/>
          <w:color w:val="000000"/>
          <w:kern w:val="2"/>
          <w:sz w:val="32"/>
          <w:szCs w:val="24"/>
          <w:lang w:val="zh-CN"/>
        </w:rPr>
        <w:t>。其中：</w:t>
      </w:r>
      <w:r>
        <w:rPr>
          <w:rFonts w:hint="eastAsia" w:ascii="仿宋_GB2312" w:hAnsi="仿宋_GB2312" w:eastAsia="仿宋_GB2312"/>
          <w:b/>
          <w:color w:val="000000"/>
          <w:kern w:val="2"/>
          <w:sz w:val="32"/>
          <w:szCs w:val="24"/>
          <w:lang w:val="zh-CN"/>
        </w:rPr>
        <w:t>公务用车购置费</w:t>
      </w:r>
      <w:r>
        <w:rPr>
          <w:rFonts w:hint="eastAsia" w:ascii="仿宋_GB2312" w:hAnsi="仿宋_GB2312" w:eastAsia="仿宋_GB2312"/>
          <w:color w:val="000000"/>
          <w:kern w:val="2"/>
          <w:sz w:val="32"/>
          <w:szCs w:val="24"/>
          <w:lang w:val="zh-CN"/>
        </w:rPr>
        <w:t>支出0万元。全年按规定更新购置公务用车0辆，其中：轿车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万元，越野车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万元，小型载客汽车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万元，大中型载客汽车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万元，其他车型</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万元。截至2022年12月底，本部门共有公务用车1辆，其中：轿车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辆、越野车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辆、小型载客汽车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辆、大中型载客汽车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辆、其他车型</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lang w:val="zh-CN"/>
        </w:rPr>
        <w:t>辆。</w:t>
      </w:r>
    </w:p>
    <w:p>
      <w:pPr>
        <w:spacing w:line="600" w:lineRule="exact"/>
        <w:ind w:firstLine="640"/>
        <w:rPr>
          <w:rFonts w:hint="eastAsia" w:ascii="仿宋_GB2312" w:hAnsi="Times New Roman" w:eastAsia="仿宋_GB2312"/>
          <w:color w:val="000000"/>
          <w:sz w:val="32"/>
          <w:szCs w:val="24"/>
        </w:rPr>
      </w:pPr>
      <w:r>
        <w:rPr>
          <w:rFonts w:hint="eastAsia" w:ascii="仿宋_GB2312" w:hAnsi="仿宋_GB2312" w:eastAsia="仿宋_GB2312"/>
          <w:b/>
          <w:color w:val="000000"/>
          <w:kern w:val="2"/>
          <w:sz w:val="32"/>
          <w:szCs w:val="24"/>
          <w:lang w:val="zh-CN"/>
        </w:rPr>
        <w:t>公务用车运行维护费</w:t>
      </w:r>
      <w:r>
        <w:rPr>
          <w:rFonts w:hint="eastAsia" w:ascii="仿宋_GB2312" w:hAnsi="仿宋_GB2312" w:eastAsia="仿宋_GB2312"/>
          <w:color w:val="000000"/>
          <w:kern w:val="2"/>
          <w:sz w:val="32"/>
          <w:szCs w:val="24"/>
          <w:lang w:val="zh-CN"/>
        </w:rPr>
        <w:t>支出0.0</w:t>
      </w:r>
      <w:r>
        <w:rPr>
          <w:rFonts w:hint="eastAsia" w:ascii="仿宋_GB2312" w:hAnsi="仿宋_GB2312" w:eastAsia="仿宋_GB2312"/>
          <w:color w:val="000000"/>
          <w:kern w:val="2"/>
          <w:sz w:val="32"/>
          <w:szCs w:val="24"/>
          <w:lang w:val="en-US" w:eastAsia="zh-CN"/>
        </w:rPr>
        <w:t>8</w:t>
      </w:r>
      <w:r>
        <w:rPr>
          <w:rFonts w:hint="eastAsia" w:ascii="仿宋_GB2312" w:hAnsi="仿宋_GB2312" w:eastAsia="仿宋_GB2312"/>
          <w:color w:val="000000"/>
          <w:kern w:val="2"/>
          <w:sz w:val="32"/>
          <w:szCs w:val="24"/>
          <w:lang w:val="zh-CN"/>
        </w:rPr>
        <w:t>万元。主要用于</w:t>
      </w:r>
      <w:r>
        <w:rPr>
          <w:rFonts w:hint="eastAsia" w:ascii="仿宋_GB2312" w:hAnsi="Times New Roman" w:eastAsia="仿宋_GB2312"/>
          <w:color w:val="000000"/>
          <w:sz w:val="32"/>
          <w:szCs w:val="24"/>
        </w:rPr>
        <w:t>主要用于</w:t>
      </w:r>
      <w:r>
        <w:rPr>
          <w:rFonts w:hint="eastAsia" w:ascii="仿宋_GB2312" w:hAnsi="Times New Roman" w:eastAsia="仿宋_GB2312"/>
          <w:color w:val="000000"/>
          <w:sz w:val="32"/>
          <w:szCs w:val="24"/>
          <w:lang w:val="en-US" w:eastAsia="zh-CN"/>
        </w:rPr>
        <w:t>到村小教学点运送物资</w:t>
      </w:r>
      <w:r>
        <w:rPr>
          <w:rFonts w:hint="eastAsia" w:ascii="仿宋_GB2312" w:hAnsi="Times New Roman" w:eastAsia="仿宋_GB2312"/>
          <w:color w:val="000000"/>
          <w:sz w:val="32"/>
          <w:szCs w:val="24"/>
        </w:rPr>
        <w:t>所需的公务用车燃料费、维修费、过路过桥费、保险费等支出。</w:t>
      </w:r>
    </w:p>
    <w:p>
      <w:pPr>
        <w:spacing w:line="600"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3.公务接待费</w:t>
      </w:r>
      <w:r>
        <w:rPr>
          <w:rFonts w:hint="eastAsia" w:ascii="仿宋_GB2312" w:hAnsi="仿宋_GB2312" w:eastAsia="仿宋_GB2312"/>
          <w:color w:val="000000"/>
          <w:kern w:val="2"/>
          <w:sz w:val="32"/>
          <w:szCs w:val="24"/>
          <w:lang w:val="zh-CN"/>
        </w:rPr>
        <w:t>支出0万元，完成预算0%。公务接待费支出决算比2021年</w:t>
      </w:r>
      <w:r>
        <w:rPr>
          <w:rFonts w:hint="eastAsia" w:ascii="仿宋_GB2312" w:hAnsi="仿宋_GB2312" w:eastAsia="仿宋_GB2312"/>
          <w:color w:val="000000"/>
          <w:kern w:val="2"/>
          <w:sz w:val="32"/>
          <w:szCs w:val="24"/>
          <w:lang w:val="en-US" w:eastAsia="zh-CN"/>
        </w:rPr>
        <w:t>持平，</w:t>
      </w:r>
      <w:r>
        <w:rPr>
          <w:rFonts w:hint="eastAsia" w:ascii="仿宋_GB2312" w:hAnsi="仿宋_GB2312" w:eastAsia="仿宋_GB2312"/>
          <w:color w:val="000000"/>
          <w:kern w:val="2"/>
          <w:sz w:val="32"/>
          <w:szCs w:val="24"/>
          <w:lang w:val="zh-CN"/>
        </w:rPr>
        <w:t>其中：</w:t>
      </w:r>
    </w:p>
    <w:p>
      <w:pPr>
        <w:keepNext/>
        <w:keepLines/>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国内公务接待</w:t>
      </w:r>
      <w:r>
        <w:rPr>
          <w:rFonts w:hint="eastAsia" w:ascii="仿宋_GB2312" w:hAnsi="仿宋_GB2312" w:eastAsia="仿宋_GB2312"/>
          <w:color w:val="000000"/>
          <w:kern w:val="2"/>
          <w:sz w:val="32"/>
          <w:szCs w:val="24"/>
          <w:lang w:val="zh-CN"/>
        </w:rPr>
        <w:t>支出0万元。</w:t>
      </w:r>
    </w:p>
    <w:p>
      <w:pPr>
        <w:keepNext/>
        <w:keepLines/>
        <w:spacing w:line="576" w:lineRule="exact"/>
        <w:ind w:firstLine="643"/>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zh-CN"/>
        </w:rPr>
        <w:t>外事接待</w:t>
      </w:r>
      <w:r>
        <w:rPr>
          <w:rFonts w:hint="eastAsia" w:ascii="仿宋_GB2312" w:hAnsi="仿宋_GB2312" w:eastAsia="仿宋_GB2312"/>
          <w:color w:val="000000"/>
          <w:kern w:val="2"/>
          <w:sz w:val="32"/>
          <w:szCs w:val="24"/>
          <w:lang w:val="zh-CN"/>
        </w:rPr>
        <w:t>支出0万元。</w:t>
      </w:r>
    </w:p>
    <w:p>
      <w:pPr>
        <w:keepNext/>
        <w:keepLines/>
        <w:spacing w:line="576" w:lineRule="exact"/>
        <w:ind w:firstLine="640"/>
        <w:jc w:val="both"/>
        <w:rPr>
          <w:rFonts w:hint="eastAsia" w:ascii="黑体" w:hAnsi="黑体" w:eastAsia="黑体"/>
          <w:b/>
          <w:color w:val="auto"/>
          <w:kern w:val="2"/>
          <w:sz w:val="32"/>
          <w:szCs w:val="24"/>
          <w:lang w:val="zh-CN"/>
        </w:rPr>
      </w:pPr>
      <w:r>
        <w:rPr>
          <w:rFonts w:hint="eastAsia" w:ascii="黑体" w:hAnsi="黑体" w:eastAsia="黑体"/>
          <w:color w:val="000000"/>
          <w:kern w:val="2"/>
          <w:sz w:val="32"/>
          <w:szCs w:val="24"/>
          <w:lang w:val="zh-CN"/>
        </w:rPr>
        <w:t>八、</w:t>
      </w:r>
      <w:r>
        <w:rPr>
          <w:rFonts w:hint="eastAsia" w:ascii="黑体" w:hAnsi="黑体" w:eastAsia="黑体"/>
          <w:color w:val="auto"/>
          <w:kern w:val="2"/>
          <w:sz w:val="32"/>
          <w:szCs w:val="24"/>
          <w:lang w:val="zh-CN"/>
        </w:rPr>
        <w:t>政府性基金预算支出决算情况说明</w:t>
      </w:r>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2022年政府性基金预算拨款支出0万元。</w:t>
      </w:r>
    </w:p>
    <w:p>
      <w:pPr>
        <w:keepNext/>
        <w:keepLines/>
        <w:spacing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auto"/>
          <w:kern w:val="2"/>
          <w:sz w:val="32"/>
          <w:szCs w:val="24"/>
          <w:lang w:val="zh-CN"/>
        </w:rPr>
        <w:t>九、国有资本经营预算支出决算情况说明</w:t>
      </w:r>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2022年国有资本经营预算拨款支出0万元。</w:t>
      </w:r>
    </w:p>
    <w:p>
      <w:pPr>
        <w:keepNext/>
        <w:keepLines/>
        <w:spacing w:line="576" w:lineRule="exact"/>
        <w:ind w:firstLine="640"/>
        <w:jc w:val="both"/>
        <w:rPr>
          <w:rFonts w:hint="eastAsia" w:ascii="黑体" w:hAnsi="黑体" w:eastAsia="黑体"/>
          <w:b/>
          <w:color w:val="auto"/>
          <w:kern w:val="2"/>
          <w:sz w:val="32"/>
          <w:szCs w:val="24"/>
          <w:lang w:val="zh-CN"/>
        </w:rPr>
      </w:pPr>
      <w:r>
        <w:rPr>
          <w:rFonts w:hint="eastAsia" w:ascii="黑体" w:hAnsi="黑体" w:eastAsia="黑体"/>
          <w:color w:val="000000"/>
          <w:kern w:val="2"/>
          <w:sz w:val="32"/>
          <w:szCs w:val="24"/>
          <w:lang w:val="zh-CN"/>
        </w:rPr>
        <w:t>十</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其他重要事项的情况说明</w:t>
      </w:r>
    </w:p>
    <w:p>
      <w:pPr>
        <w:keepNext/>
        <w:keepLines/>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（一）机关运行经费支出情况</w:t>
      </w:r>
    </w:p>
    <w:p>
      <w:pPr>
        <w:spacing w:line="576" w:lineRule="exact"/>
        <w:ind w:firstLine="640"/>
        <w:jc w:val="both"/>
        <w:rPr>
          <w:rFonts w:hint="eastAsia" w:ascii="仿宋_GB2312" w:hAnsi="仿宋_GB2312" w:eastAsia="仿宋_GB2312"/>
          <w:color w:val="000000"/>
          <w:kern w:val="2"/>
          <w:sz w:val="32"/>
          <w:szCs w:val="24"/>
          <w:lang w:val="zh-CN" w:eastAsia="zh-CN"/>
        </w:rPr>
      </w:pPr>
      <w:r>
        <w:rPr>
          <w:rFonts w:hint="eastAsia" w:ascii="仿宋_GB2312" w:hAnsi="仿宋_GB2312" w:eastAsia="仿宋_GB2312"/>
          <w:color w:val="000000"/>
          <w:kern w:val="2"/>
          <w:sz w:val="32"/>
          <w:szCs w:val="24"/>
          <w:lang w:val="zh-CN"/>
        </w:rPr>
        <w:t>2022年，攀枝花市仁和区福田镇中心学校机关运行经费支出0万元，与2021年</w:t>
      </w:r>
      <w:r>
        <w:rPr>
          <w:rFonts w:hint="eastAsia" w:ascii="仿宋_GB2312" w:hAnsi="仿宋_GB2312" w:eastAsia="仿宋_GB2312"/>
          <w:color w:val="auto"/>
          <w:kern w:val="2"/>
          <w:sz w:val="32"/>
          <w:szCs w:val="24"/>
          <w:lang w:val="en-US"/>
        </w:rPr>
        <w:t>持平</w:t>
      </w:r>
      <w:r>
        <w:rPr>
          <w:rFonts w:hint="eastAsia" w:ascii="仿宋_GB2312" w:hAnsi="仿宋_GB2312" w:eastAsia="仿宋_GB2312"/>
          <w:color w:val="auto"/>
          <w:kern w:val="2"/>
          <w:sz w:val="32"/>
          <w:szCs w:val="24"/>
          <w:lang w:val="en-US" w:eastAsia="zh-CN"/>
        </w:rPr>
        <w:t>。</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（二）政府采购支出情况</w:t>
      </w:r>
    </w:p>
    <w:p>
      <w:pPr>
        <w:spacing w:line="576" w:lineRule="exact"/>
        <w:ind w:firstLine="640"/>
        <w:jc w:val="both"/>
        <w:rPr>
          <w:rFonts w:hint="eastAsia" w:ascii="仿宋" w:hAnsi="仿宋" w:eastAsia="仿宋"/>
          <w:b/>
          <w:color w:val="auto"/>
          <w:kern w:val="2"/>
          <w:sz w:val="32"/>
          <w:szCs w:val="24"/>
          <w:lang w:val="en-US"/>
        </w:rPr>
      </w:pPr>
      <w:r>
        <w:rPr>
          <w:rFonts w:hint="eastAsia" w:ascii="仿宋_GB2312" w:hAnsi="仿宋_GB2312" w:eastAsia="仿宋_GB2312"/>
          <w:color w:val="000000"/>
          <w:kern w:val="2"/>
          <w:sz w:val="32"/>
          <w:szCs w:val="24"/>
          <w:lang w:val="zh-CN"/>
        </w:rPr>
        <w:t>2022年，攀枝花市仁和区福田镇中心学校政府采购支出总额0万元。</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（三）国有资产占有使用情况</w:t>
      </w:r>
    </w:p>
    <w:p>
      <w:pPr>
        <w:spacing w:line="576" w:lineRule="exact"/>
        <w:ind w:firstLine="640"/>
        <w:rPr>
          <w:rFonts w:hint="eastAsia" w:ascii="仿宋" w:hAnsi="仿宋" w:eastAsia="仿宋"/>
          <w:b/>
          <w:color w:val="auto"/>
          <w:kern w:val="2"/>
          <w:sz w:val="32"/>
          <w:szCs w:val="24"/>
          <w:lang w:val="en-US"/>
        </w:rPr>
      </w:pPr>
      <w:r>
        <w:rPr>
          <w:rFonts w:hint="eastAsia" w:ascii="仿宋_GB2312" w:hAnsi="仿宋_GB2312" w:eastAsia="仿宋_GB2312"/>
          <w:color w:val="000000"/>
          <w:kern w:val="2"/>
          <w:sz w:val="32"/>
          <w:szCs w:val="24"/>
          <w:lang w:val="zh-CN"/>
        </w:rPr>
        <w:t>截至2022年12月31日，攀枝花市仁和区福田镇中心学校共有车辆1辆，其中：副部（省）级及以上领导用车0辆、主要领导干部用车0辆、机要通信用车0辆、应急保障用车0辆、执法执勤用车0辆、特种专业技术用车0辆、离退休干部用车0辆、其他用车1辆。其中：其他用车主要是用于</w:t>
      </w:r>
      <w:r>
        <w:rPr>
          <w:rFonts w:hint="eastAsia" w:ascii="仿宋_GB2312" w:hAnsi="Times New Roman" w:eastAsia="仿宋_GB2312"/>
          <w:color w:val="000000"/>
          <w:sz w:val="32"/>
          <w:szCs w:val="24"/>
          <w:lang w:val="en-US" w:eastAsia="zh-CN"/>
        </w:rPr>
        <w:t>村小教学点运送物资。</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（四）预算绩效管理情况。</w:t>
      </w:r>
    </w:p>
    <w:p>
      <w:pPr>
        <w:spacing w:line="576" w:lineRule="exact"/>
        <w:ind w:firstLine="643"/>
        <w:jc w:val="both"/>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en-US"/>
        </w:rPr>
        <w:t>根据预算绩效管理要求，本单位在202</w:t>
      </w:r>
      <w:r>
        <w:rPr>
          <w:rFonts w:hint="eastAsia" w:ascii="宋体" w:hAnsi="宋体" w:eastAsia="宋体"/>
          <w:color w:val="auto"/>
          <w:kern w:val="2"/>
          <w:sz w:val="32"/>
          <w:szCs w:val="24"/>
          <w:lang w:val="en-US"/>
        </w:rPr>
        <w:t>2</w:t>
      </w:r>
      <w:r>
        <w:rPr>
          <w:rFonts w:hint="eastAsia" w:ascii="仿宋_GB2312" w:hAnsi="仿宋_GB2312" w:eastAsia="仿宋_GB2312"/>
          <w:color w:val="auto"/>
          <w:kern w:val="2"/>
          <w:sz w:val="32"/>
          <w:szCs w:val="24"/>
          <w:lang w:val="en-US"/>
        </w:rPr>
        <w:t>年度预算编制阶段，</w:t>
      </w: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lang w:eastAsia="zh-CN"/>
        </w:rPr>
        <w:t>《学前生均公用经费》、《义务教育生均公用经费》、《教育教学管理经费》、《少年宫运转经费》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olor w:val="auto"/>
          <w:kern w:val="2"/>
          <w:sz w:val="32"/>
          <w:szCs w:val="24"/>
          <w:lang w:val="en-US"/>
        </w:rPr>
        <w:t>个项目开展了预算事前绩效评估，对</w:t>
      </w:r>
      <w:r>
        <w:rPr>
          <w:rFonts w:hint="eastAsia" w:ascii="仿宋_GB2312" w:hAnsi="仿宋_GB2312" w:eastAsia="仿宋_GB2312"/>
          <w:color w:val="auto"/>
          <w:kern w:val="2"/>
          <w:sz w:val="32"/>
          <w:szCs w:val="24"/>
          <w:lang w:val="en-US" w:eastAsia="zh-CN"/>
        </w:rPr>
        <w:t>4</w:t>
      </w:r>
      <w:r>
        <w:rPr>
          <w:rFonts w:hint="eastAsia" w:ascii="仿宋_GB2312" w:hAnsi="仿宋_GB2312" w:eastAsia="仿宋_GB2312"/>
          <w:color w:val="auto"/>
          <w:kern w:val="2"/>
          <w:sz w:val="32"/>
          <w:szCs w:val="24"/>
          <w:lang w:val="en-US"/>
        </w:rPr>
        <w:t>个项目编制了绩效目标，预算执行过程中，选取</w:t>
      </w:r>
      <w:r>
        <w:rPr>
          <w:rFonts w:hint="eastAsia" w:ascii="仿宋_GB2312" w:hAnsi="仿宋_GB2312" w:eastAsia="仿宋_GB2312"/>
          <w:color w:val="auto"/>
          <w:kern w:val="2"/>
          <w:sz w:val="32"/>
          <w:szCs w:val="24"/>
          <w:lang w:val="en-US" w:eastAsia="zh-CN"/>
        </w:rPr>
        <w:t>4</w:t>
      </w:r>
      <w:r>
        <w:rPr>
          <w:rFonts w:hint="eastAsia" w:ascii="仿宋_GB2312" w:hAnsi="仿宋_GB2312" w:eastAsia="仿宋_GB2312"/>
          <w:color w:val="auto"/>
          <w:kern w:val="2"/>
          <w:sz w:val="32"/>
          <w:szCs w:val="24"/>
          <w:lang w:val="en-US"/>
        </w:rPr>
        <w:t>个项目开展绩效监控，组织对</w:t>
      </w:r>
      <w:r>
        <w:rPr>
          <w:rFonts w:hint="eastAsia" w:ascii="仿宋_GB2312" w:hAnsi="仿宋_GB2312" w:eastAsia="仿宋_GB2312"/>
          <w:color w:val="auto"/>
          <w:kern w:val="2"/>
          <w:sz w:val="32"/>
          <w:szCs w:val="24"/>
          <w:lang w:val="en-US" w:eastAsia="zh-CN"/>
        </w:rPr>
        <w:t>4</w:t>
      </w:r>
      <w:r>
        <w:rPr>
          <w:rFonts w:hint="eastAsia" w:ascii="仿宋_GB2312" w:hAnsi="仿宋_GB2312" w:eastAsia="仿宋_GB2312"/>
          <w:color w:val="auto"/>
          <w:kern w:val="2"/>
          <w:sz w:val="32"/>
          <w:szCs w:val="24"/>
          <w:lang w:val="en-US"/>
        </w:rPr>
        <w:t>个项目开展绩效自评，绩效自评表详见第四部分附件。</w:t>
      </w:r>
    </w:p>
    <w:p>
      <w:pPr>
        <w:spacing w:line="576" w:lineRule="exact"/>
        <w:ind w:firstLine="643"/>
        <w:jc w:val="both"/>
        <w:rPr>
          <w:rFonts w:hint="eastAsia" w:ascii="仿宋_GB2312" w:hAnsi="仿宋_GB2312" w:eastAsia="仿宋_GB2312"/>
          <w:color w:val="auto"/>
          <w:kern w:val="2"/>
          <w:sz w:val="32"/>
          <w:szCs w:val="24"/>
          <w:lang w:val="en-US"/>
        </w:rPr>
      </w:pPr>
    </w:p>
    <w:p>
      <w:pPr>
        <w:spacing w:line="576" w:lineRule="exact"/>
        <w:ind w:firstLine="643"/>
        <w:jc w:val="both"/>
        <w:rPr>
          <w:rFonts w:hint="eastAsia" w:ascii="仿宋_GB2312" w:hAnsi="仿宋_GB2312" w:eastAsia="仿宋_GB2312"/>
          <w:color w:val="auto"/>
          <w:kern w:val="2"/>
          <w:sz w:val="32"/>
          <w:szCs w:val="24"/>
          <w:lang w:val="en-US"/>
        </w:rPr>
      </w:pPr>
    </w:p>
    <w:p>
      <w:pPr>
        <w:spacing w:line="576" w:lineRule="exact"/>
        <w:ind w:firstLine="643"/>
        <w:jc w:val="both"/>
        <w:rPr>
          <w:rFonts w:hint="eastAsia" w:ascii="仿宋_GB2312" w:hAnsi="仿宋_GB2312" w:eastAsia="仿宋_GB2312"/>
          <w:color w:val="auto"/>
          <w:kern w:val="2"/>
          <w:sz w:val="32"/>
          <w:szCs w:val="24"/>
          <w:lang w:val="en-US"/>
        </w:rPr>
      </w:pPr>
    </w:p>
    <w:p>
      <w:pPr>
        <w:spacing w:line="576" w:lineRule="exact"/>
        <w:ind w:firstLine="643"/>
        <w:jc w:val="both"/>
        <w:rPr>
          <w:rFonts w:hint="eastAsia" w:ascii="仿宋_GB2312" w:hAnsi="仿宋_GB2312" w:eastAsia="仿宋_GB2312"/>
          <w:color w:val="auto"/>
          <w:kern w:val="2"/>
          <w:sz w:val="32"/>
          <w:szCs w:val="24"/>
          <w:lang w:val="zh-CN"/>
        </w:rPr>
      </w:pPr>
    </w:p>
    <w:p>
      <w:pPr>
        <w:keepNext/>
        <w:keepLines/>
        <w:numPr>
          <w:ilvl w:val="0"/>
          <w:numId w:val="6"/>
        </w:numPr>
        <w:spacing w:line="576" w:lineRule="exact"/>
        <w:jc w:val="center"/>
        <w:outlineLvl w:val="0"/>
        <w:rPr>
          <w:rFonts w:hint="eastAsia" w:ascii="黑体" w:hAnsi="黑体" w:eastAsia="黑体"/>
          <w:color w:val="auto"/>
          <w:kern w:val="44"/>
          <w:sz w:val="44"/>
          <w:szCs w:val="24"/>
          <w:lang w:val="zh-CN"/>
        </w:rPr>
      </w:pPr>
      <w:bookmarkStart w:id="0" w:name="_Toc19711"/>
      <w:bookmarkStart w:id="1" w:name="_Toc3628"/>
      <w:bookmarkStart w:id="2" w:name="_Toc5545"/>
      <w:r>
        <w:rPr>
          <w:rFonts w:hint="eastAsia" w:ascii="黑体" w:hAnsi="黑体" w:eastAsia="黑体"/>
          <w:color w:val="000000"/>
          <w:kern w:val="2"/>
          <w:sz w:val="44"/>
          <w:szCs w:val="24"/>
          <w:lang w:val="zh-CN"/>
        </w:rPr>
        <w:t>名</w:t>
      </w:r>
      <w:r>
        <w:rPr>
          <w:rFonts w:hint="eastAsia" w:ascii="黑体" w:hAnsi="黑体" w:eastAsia="黑体"/>
          <w:color w:val="auto"/>
          <w:kern w:val="44"/>
          <w:sz w:val="44"/>
          <w:szCs w:val="24"/>
          <w:lang w:val="zh-CN"/>
        </w:rPr>
        <w:t>词解释</w:t>
      </w:r>
      <w:bookmarkEnd w:id="0"/>
      <w:bookmarkEnd w:id="1"/>
      <w:bookmarkEnd w:id="2"/>
    </w:p>
    <w:p>
      <w:pPr>
        <w:keepNext/>
        <w:keepLines/>
        <w:numPr>
          <w:ilvl w:val="0"/>
          <w:numId w:val="0"/>
        </w:numPr>
        <w:spacing w:line="576" w:lineRule="exact"/>
        <w:jc w:val="both"/>
        <w:rPr>
          <w:rFonts w:hint="eastAsia" w:ascii="黑体" w:hAnsi="黑体" w:eastAsia="黑体"/>
          <w:color w:val="auto"/>
          <w:kern w:val="44"/>
          <w:sz w:val="44"/>
          <w:szCs w:val="24"/>
          <w:lang w:val="zh-CN"/>
        </w:rPr>
      </w:pPr>
    </w:p>
    <w:p>
      <w:pPr>
        <w:spacing w:line="576" w:lineRule="exact"/>
        <w:ind w:firstLine="640"/>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en-US" w:eastAsia="zh-CN"/>
        </w:rPr>
        <w:t>1.</w:t>
      </w:r>
      <w:r>
        <w:rPr>
          <w:rFonts w:hint="eastAsia" w:ascii="仿宋_GB2312" w:hAnsi="仿宋_GB2312" w:eastAsia="仿宋_GB2312" w:cs="Times New Roman"/>
          <w:color w:val="000000"/>
          <w:kern w:val="2"/>
          <w:sz w:val="32"/>
          <w:szCs w:val="24"/>
          <w:lang w:val="zh-CN"/>
        </w:rPr>
        <w:t>财政拨款收入：指单位从同级财政部门取得的财政预算资金。</w:t>
      </w:r>
    </w:p>
    <w:p>
      <w:pPr>
        <w:spacing w:line="576" w:lineRule="exact"/>
        <w:ind w:firstLine="640"/>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2.事业收入：指事业单位开展专业业务活动及辅助活动取得的收入。</w:t>
      </w:r>
    </w:p>
    <w:p>
      <w:pPr>
        <w:spacing w:line="576" w:lineRule="exact"/>
        <w:ind w:firstLine="640"/>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3.经营收入：指事业单位在专业业务活动及其辅助活动之外开展非独立核算经营活动取得的收入。</w:t>
      </w:r>
    </w:p>
    <w:p>
      <w:pPr>
        <w:spacing w:line="576" w:lineRule="exact"/>
        <w:ind w:firstLine="640"/>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4.其他收入：指单位取得的除上述收入以外的各项收入。</w:t>
      </w:r>
    </w:p>
    <w:p>
      <w:pPr>
        <w:spacing w:line="576" w:lineRule="exact"/>
        <w:ind w:firstLine="640"/>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5.使用非财政拨款结余：指事业单位使用以前年度积累的非财政拨款结余弥补当年收支差额的金额。 </w:t>
      </w:r>
    </w:p>
    <w:p>
      <w:pPr>
        <w:spacing w:line="576" w:lineRule="exact"/>
        <w:ind w:firstLine="640"/>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6.年初结转和结余：指以前年度尚未完成、结转到本年按有关规定继续使用的资金。 </w:t>
      </w:r>
    </w:p>
    <w:p>
      <w:pPr>
        <w:spacing w:line="576" w:lineRule="exact"/>
        <w:ind w:firstLine="640"/>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7.结余分配：指事业单位按照会计制度规定缴纳的所得税、提取的专用结余以及转入非财政拨款结余的金额等。</w:t>
      </w:r>
    </w:p>
    <w:p>
      <w:pPr>
        <w:spacing w:line="576" w:lineRule="exact"/>
        <w:ind w:firstLine="640"/>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8.年末结转和结余：指单位按有关规定结转到下年或以后年度继续使用的资金。</w:t>
      </w:r>
    </w:p>
    <w:p>
      <w:pPr>
        <w:spacing w:line="576" w:lineRule="exact"/>
        <w:ind w:firstLine="640"/>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9.教育支出（类）教育管理事务（款）其他教育管理事务支出（项）：指财政部门安排的事业单位用于教育活动人员经费和日常公用经费支出，主要包括：业务委托费、劳务费、其他对个人和家庭的补助支出、其他商品和服务支出、办公设备购置、其他资本性支出等。</w:t>
      </w:r>
    </w:p>
    <w:p>
      <w:pPr>
        <w:spacing w:line="576" w:lineRule="exact"/>
        <w:ind w:firstLine="640"/>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10.教育支出（类）普通教育（款）学前教育（项）：指财政部门安排的事业单位用于学前教育活动日常公用经费支出，主要包括：办公费、印刷费、咨询费、手续费、水费、电费、邮电费、物业管理费、差旅费、维修（护）费、租赁费、培训费、劳务费、委托业务费、其他交通费、其他商品和服务支出、办公设备购置、专用设备购置、信息网络及软件购置更新、其他资本性支出等。</w:t>
      </w:r>
    </w:p>
    <w:p>
      <w:pPr>
        <w:spacing w:line="576" w:lineRule="exact"/>
        <w:ind w:firstLine="640"/>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11.教育支出（类）普通教育（款）小学教育（项）：指财政部门安排的事业单位用于小学教育活动人员经费和日常公用经费支出，人员经费支出主要包括：基本工资、津贴补贴、奖金、伙食补助费、绩效工资、其他社会保障缴费、其他工资福利支出、生活补助、奖励金、住房公积金、其他对个人和家庭的补助支出等；日常公用经费支出主要包括：办公费、印刷费、咨询费、手续费、水费、电费、邮电费、物业管理费、差旅费、维修（护）费、租赁费、培训费、劳务费、委托业务费、工会经费、福利费、公务用车运行维护费、其他交通费、其他商品和服务支出、办公设备购置、专用设备购置、信息网络及软件购置更新、其他资本性支出等。</w:t>
      </w:r>
    </w:p>
    <w:p>
      <w:pPr>
        <w:spacing w:line="576" w:lineRule="exact"/>
        <w:ind w:firstLine="640"/>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12.社会保障和就业支出（类）行政事业单位养老支出（款）事业单位离退休（项）：指财政部门安排的事业单位用于单位离退休人员经费支出，主要包括：退休费、福利费、其他商品和服务支出、抚恤金、奖励金、职业年金缴费等。</w:t>
      </w:r>
    </w:p>
    <w:p>
      <w:pPr>
        <w:spacing w:line="576" w:lineRule="exact"/>
        <w:ind w:firstLine="640"/>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13.社会保障和就业支出（类）行政事业单位养老支出（款）机关事业单位基本养老保险缴费支出（项）：指财政部门安排的事业单位用于缴纳单位机关事业单位基本养老保险缴费支出。</w:t>
      </w:r>
    </w:p>
    <w:p>
      <w:pPr>
        <w:spacing w:line="576" w:lineRule="exact"/>
        <w:ind w:firstLine="640"/>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14.社会保障和就业支出（类）行政事业单位养老支出（款）机关事业单位职业年金缴费支出（项）：指财政部门安排的事业单位用于缴纳单位机关事业单位职业年金缴费支出。</w:t>
      </w:r>
    </w:p>
    <w:p>
      <w:pPr>
        <w:spacing w:line="576" w:lineRule="exact"/>
        <w:ind w:firstLine="640"/>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15.卫生健康支出（类）行政事业单位医疗（款）事业单位医疗（项）：指财政部门安排的事业单位用于缴纳单位基本医疗保险支出。</w:t>
      </w:r>
    </w:p>
    <w:p>
      <w:pPr>
        <w:spacing w:line="576" w:lineRule="exact"/>
        <w:ind w:firstLine="640"/>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16.卫生健康支出（类）行政事业单位医疗（款）公务员医疗补助（项）：指财政部门安排的事业单位用于集中缴纳公务员医疗补助支出。</w:t>
      </w:r>
    </w:p>
    <w:p>
      <w:pPr>
        <w:spacing w:line="576" w:lineRule="exact"/>
        <w:ind w:firstLine="640"/>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17.住房保障支出（类）住房改革支出（款）住房公积金（项）：指财政部门安排的事业单位用于缴纳单位住房公积金支出。</w:t>
      </w:r>
    </w:p>
    <w:p>
      <w:pPr>
        <w:spacing w:line="576" w:lineRule="exact"/>
        <w:ind w:firstLine="640"/>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18.基本支出：指为保障机构正常运转、完成日常工作任务而发生的人员支出和公用支出。</w:t>
      </w:r>
    </w:p>
    <w:p>
      <w:pPr>
        <w:spacing w:line="576" w:lineRule="exact"/>
        <w:ind w:firstLine="640"/>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19.项目支出：指在基本支出之外为完成特定行政任务和事业发展目标所发生的支出。 </w:t>
      </w:r>
    </w:p>
    <w:p>
      <w:pPr>
        <w:spacing w:line="576" w:lineRule="exact"/>
        <w:ind w:firstLine="640"/>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20.经营支出：指事业单位在专业业务活动及其辅助活动之外开展非独立核算经营活动发生的支出。</w:t>
      </w:r>
    </w:p>
    <w:p>
      <w:pPr>
        <w:spacing w:line="576" w:lineRule="exact"/>
        <w:ind w:firstLine="640"/>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cs="Times New Roman"/>
          <w:color w:val="000000"/>
          <w:kern w:val="2"/>
          <w:sz w:val="32"/>
          <w:szCs w:val="24"/>
          <w:lang w:val="zh-CN"/>
        </w:rPr>
        <w:t>21.“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ind w:firstLine="640"/>
        <w:rPr>
          <w:rFonts w:hint="eastAsia" w:ascii="仿宋" w:hAnsi="仿宋" w:eastAsia="仿宋"/>
          <w:b/>
          <w:color w:val="auto"/>
          <w:kern w:val="2"/>
          <w:sz w:val="32"/>
          <w:szCs w:val="24"/>
          <w:lang w:val="en-US"/>
        </w:rPr>
      </w:pPr>
      <w:r>
        <w:rPr>
          <w:rFonts w:hint="eastAsia" w:ascii="仿宋_GB2312" w:hAnsi="仿宋_GB2312" w:eastAsia="仿宋_GB2312" w:cs="Times New Roman"/>
          <w:color w:val="000000"/>
          <w:kern w:val="2"/>
          <w:sz w:val="32"/>
          <w:szCs w:val="24"/>
          <w:lang w:val="zh-CN"/>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keepLines/>
        <w:spacing w:line="576" w:lineRule="exact"/>
        <w:jc w:val="both"/>
        <w:rPr>
          <w:rFonts w:hint="eastAsia" w:ascii="黑体" w:hAnsi="黑体" w:eastAsia="黑体"/>
          <w:color w:val="000000"/>
          <w:kern w:val="2"/>
          <w:sz w:val="44"/>
          <w:szCs w:val="24"/>
          <w:lang w:val="zh-CN"/>
        </w:rPr>
      </w:pPr>
    </w:p>
    <w:p>
      <w:pPr>
        <w:keepNext/>
        <w:keepLines/>
        <w:spacing w:line="576" w:lineRule="exact"/>
        <w:jc w:val="both"/>
        <w:rPr>
          <w:rFonts w:hint="eastAsia" w:ascii="黑体" w:hAnsi="黑体" w:eastAsia="黑体"/>
          <w:color w:val="000000"/>
          <w:kern w:val="2"/>
          <w:sz w:val="44"/>
          <w:szCs w:val="24"/>
          <w:lang w:val="zh-CN"/>
        </w:rPr>
      </w:pPr>
    </w:p>
    <w:p>
      <w:pPr>
        <w:keepNext/>
        <w:keepLines/>
        <w:tabs>
          <w:tab w:val="left" w:pos="6038"/>
        </w:tabs>
        <w:spacing w:line="576" w:lineRule="exact"/>
        <w:jc w:val="both"/>
        <w:rPr>
          <w:rFonts w:hint="eastAsia" w:ascii="黑体" w:hAnsi="黑体" w:eastAsia="黑体"/>
          <w:color w:val="000000"/>
          <w:kern w:val="2"/>
          <w:sz w:val="44"/>
          <w:szCs w:val="24"/>
          <w:lang w:val="zh-CN"/>
        </w:rPr>
      </w:pPr>
    </w:p>
    <w:p>
      <w:pPr>
        <w:keepNext/>
        <w:keepLines/>
        <w:tabs>
          <w:tab w:val="left" w:pos="6038"/>
        </w:tabs>
        <w:spacing w:line="576" w:lineRule="exact"/>
        <w:jc w:val="both"/>
        <w:rPr>
          <w:rFonts w:hint="eastAsia" w:ascii="黑体" w:hAnsi="黑体" w:eastAsia="黑体"/>
          <w:color w:val="000000"/>
          <w:kern w:val="2"/>
          <w:sz w:val="44"/>
          <w:szCs w:val="24"/>
          <w:lang w:val="zh-CN"/>
        </w:rPr>
      </w:pPr>
    </w:p>
    <w:p>
      <w:pPr>
        <w:keepNext/>
        <w:keepLines/>
        <w:spacing w:line="576" w:lineRule="exact"/>
        <w:jc w:val="both"/>
        <w:rPr>
          <w:rFonts w:hint="eastAsia" w:ascii="黑体" w:hAnsi="黑体" w:eastAsia="黑体"/>
          <w:color w:val="000000"/>
          <w:kern w:val="2"/>
          <w:sz w:val="44"/>
          <w:szCs w:val="24"/>
          <w:lang w:val="zh-CN"/>
        </w:rPr>
      </w:pPr>
    </w:p>
    <w:p>
      <w:pPr>
        <w:keepNext/>
        <w:keepLines/>
        <w:spacing w:line="576" w:lineRule="exact"/>
        <w:jc w:val="center"/>
        <w:rPr>
          <w:rFonts w:hint="eastAsia" w:ascii="黑体" w:hAnsi="黑体" w:eastAsia="黑体"/>
          <w:color w:val="auto"/>
          <w:kern w:val="44"/>
          <w:sz w:val="44"/>
          <w:szCs w:val="24"/>
          <w:lang w:val="zh-CN"/>
        </w:rPr>
      </w:pPr>
    </w:p>
    <w:p>
      <w:pPr>
        <w:spacing w:line="600" w:lineRule="exact"/>
        <w:jc w:val="both"/>
        <w:rPr>
          <w:rFonts w:hint="eastAsia" w:ascii="黑体" w:hAnsi="黑体" w:eastAsia="黑体"/>
          <w:color w:val="auto"/>
          <w:kern w:val="2"/>
          <w:sz w:val="44"/>
          <w:szCs w:val="24"/>
          <w:lang w:val="en-US"/>
        </w:rPr>
      </w:pPr>
    </w:p>
    <w:p>
      <w:pPr>
        <w:numPr>
          <w:ilvl w:val="0"/>
          <w:numId w:val="6"/>
        </w:numPr>
        <w:spacing w:line="600" w:lineRule="exact"/>
        <w:jc w:val="center"/>
        <w:outlineLvl w:val="0"/>
        <w:rPr>
          <w:rFonts w:hint="eastAsia" w:ascii="黑体" w:hAnsi="黑体" w:eastAsia="黑体"/>
          <w:color w:val="auto"/>
          <w:kern w:val="44"/>
          <w:sz w:val="44"/>
          <w:szCs w:val="24"/>
          <w:lang w:val="en-US"/>
        </w:rPr>
      </w:pPr>
      <w:bookmarkStart w:id="3" w:name="_Toc12437"/>
      <w:bookmarkStart w:id="4" w:name="_Toc14671"/>
      <w:bookmarkStart w:id="5" w:name="_Toc2076"/>
      <w:r>
        <w:rPr>
          <w:rFonts w:hint="eastAsia" w:ascii="黑体" w:hAnsi="黑体" w:eastAsia="黑体"/>
          <w:color w:val="auto"/>
          <w:kern w:val="44"/>
          <w:sz w:val="44"/>
          <w:szCs w:val="24"/>
          <w:lang w:val="en-US"/>
        </w:rPr>
        <w:t>附件</w:t>
      </w:r>
      <w:bookmarkEnd w:id="3"/>
      <w:bookmarkEnd w:id="4"/>
      <w:bookmarkEnd w:id="5"/>
    </w:p>
    <w:p>
      <w:pPr>
        <w:spacing w:line="600" w:lineRule="exact"/>
        <w:jc w:val="center"/>
        <w:rPr>
          <w:rFonts w:hint="eastAsia" w:ascii="黑体" w:hAnsi="黑体" w:eastAsia="黑体"/>
          <w:color w:val="auto"/>
          <w:kern w:val="44"/>
          <w:sz w:val="44"/>
          <w:szCs w:val="24"/>
          <w:lang w:val="en-US"/>
        </w:rPr>
      </w:pPr>
      <w:r>
        <w:rPr>
          <w:rFonts w:hint="eastAsia" w:ascii="宋体" w:hAnsi="宋体" w:eastAsia="宋体"/>
          <w:color w:val="auto"/>
          <w:sz w:val="32"/>
          <w:szCs w:val="24"/>
          <w:lang w:val="en-US"/>
        </w:rPr>
        <w:t>部门预算项目支出绩效自评表（2022年度）</w:t>
      </w:r>
    </w:p>
    <w:tbl>
      <w:tblPr>
        <w:tblStyle w:val="8"/>
        <w:tblW w:w="10614" w:type="dxa"/>
        <w:tblInd w:w="-7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3"/>
        <w:gridCol w:w="1005"/>
        <w:gridCol w:w="1037"/>
        <w:gridCol w:w="1314"/>
        <w:gridCol w:w="578"/>
        <w:gridCol w:w="760"/>
        <w:gridCol w:w="748"/>
        <w:gridCol w:w="892"/>
        <w:gridCol w:w="518"/>
        <w:gridCol w:w="407"/>
        <w:gridCol w:w="1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061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黑体" w:hAnsi="宋体" w:eastAsia="黑体" w:cs="黑体"/>
                <w:b/>
                <w:color w:val="000000"/>
                <w:sz w:val="30"/>
                <w:szCs w:val="30"/>
              </w:rPr>
            </w:pPr>
            <w:r>
              <w:rPr>
                <w:rFonts w:hint="eastAsia" w:ascii="宋体" w:hAnsi="宋体" w:eastAsia="宋体" w:cs="宋体"/>
                <w:b/>
                <w:color w:val="000000"/>
                <w:sz w:val="31"/>
                <w:szCs w:val="31"/>
                <w:lang w:val="en-US" w:eastAsia="zh-CN" w:bidi="ar"/>
              </w:rPr>
              <w:t>《学前生均公用经费》</w:t>
            </w:r>
            <w:r>
              <w:rPr>
                <w:rFonts w:hint="eastAsia" w:ascii="黑体" w:hAnsi="宋体" w:eastAsia="黑体" w:cs="黑体"/>
                <w:b/>
                <w:color w:val="000000"/>
                <w:sz w:val="30"/>
                <w:szCs w:val="30"/>
                <w:lang w:val="en-US" w:eastAsia="zh-CN" w:bidi="ar"/>
              </w:rPr>
              <w:t>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811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51041122T000000438915-福田镇中心学校学前生均公用经费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4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攀枝花市仁和区教育系统部门</w:t>
            </w:r>
          </w:p>
        </w:tc>
        <w:tc>
          <w:tcPr>
            <w:tcW w:w="892" w:type="dxa"/>
            <w:tcBorders>
              <w:top w:val="nil"/>
              <w:left w:val="nil"/>
              <w:bottom w:val="nil"/>
              <w:right w:val="nil"/>
              <w:tl2br w:val="nil"/>
              <w:tr2bl w:val="nil"/>
            </w:tcBorders>
            <w:noWrap w:val="0"/>
            <w:vAlign w:val="center"/>
          </w:tcPr>
          <w:p>
            <w:pPr>
              <w:widowControl/>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实施单位 （盖章）</w:t>
            </w:r>
          </w:p>
        </w:tc>
        <w:tc>
          <w:tcPr>
            <w:tcW w:w="27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攀枝花市仁和区福田镇中心学校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367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rPr>
            </w:pPr>
          </w:p>
        </w:tc>
        <w:tc>
          <w:tcPr>
            <w:tcW w:w="10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rPr>
            </w:pP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以幼儿园“高质量”发展”为抓手，以“攀枝花市幼儿园保教质量监测”为契机，努力促进幼儿协调发展。</w:t>
            </w:r>
          </w:p>
        </w:tc>
        <w:tc>
          <w:tcPr>
            <w:tcW w:w="367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按照年初预算目标及时开展相关工作，确保了福田镇中心学校附属幼儿园（福田镇中心幼儿园）教育教学工作的正常运作，达到了年初预算预定目标.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811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学前生均公用经费》项目经费主要用于幼儿园开展教育教学活动的办公用品费用、水电费以及教学设备设施的维护，以确保幼儿园教育教学工作的正常运行；到年底达到了年初的预算目标，经费2.55万元，已经全部使用，但由于区财政国库资金紧缺，还剩2.55万元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2.55</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2.55</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86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黑体" w:hAnsi="黑体" w:eastAsia="黑体" w:cs="黑体"/>
                <w:i/>
                <w:color w:val="000000"/>
                <w:sz w:val="18"/>
                <w:szCs w:val="18"/>
              </w:rPr>
            </w:pPr>
            <w:r>
              <w:rPr>
                <w:rFonts w:hint="eastAsia" w:ascii="宋体" w:hAnsi="宋体" w:eastAsia="宋体" w:cs="宋体"/>
                <w:color w:val="000000"/>
                <w:sz w:val="18"/>
                <w:szCs w:val="18"/>
                <w:lang w:val="en-US" w:eastAsia="zh-CN"/>
              </w:rPr>
              <w:t>由于区财政国库资金紧张，要优先保障人员经费的支付，导致项目经费无法按时支付。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2.55</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2.55</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bidi="ar"/>
              </w:rPr>
              <w:t>数量指标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bidi="ar"/>
              </w:rPr>
              <w:t>公用经费配置标准</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500</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元/人年</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500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质量指标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公用经费保障率</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100</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100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vMerge w:val="continue"/>
            <w:tcBorders>
              <w:top w:val="nil"/>
              <w:left w:val="single" w:color="000000" w:sz="4" w:space="0"/>
              <w:bottom w:val="nil"/>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公用经费保障时限</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年</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1</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成本指标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公用经费</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2.55</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万元</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r>
              <w:rPr>
                <w:rFonts w:hint="eastAsia" w:ascii="宋体" w:hAnsi="宋体" w:eastAsia="宋体" w:cs="宋体"/>
                <w:color w:val="000000"/>
                <w:sz w:val="18"/>
                <w:szCs w:val="18"/>
                <w:lang w:val="en-US" w:eastAsia="zh-CN"/>
              </w:rPr>
              <w:t>已使用财政未支付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社会效益指标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保障学前教育教学需要</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定性</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优良中低差</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优</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20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满意度指标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服务对象满意度指标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学生、家长、社会及主管部门</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95</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95</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82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91</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达到年初预算目标，辖区范围内适龄幼儿全部入园，幼儿园教育教学工作正常有序开展。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按照年初预算目标，积极开展相关工作，圆满完成了项目指标任务；但项目经费实际支付未完成。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加强资金使用效益跟踪“回头看”，对资金运行状况及时预控，针对资金使用和管理过程总的薄弱环节，提出纠偏措施。</w:t>
            </w:r>
          </w:p>
        </w:tc>
      </w:tr>
    </w:tbl>
    <w:p>
      <w:pPr>
        <w:numPr>
          <w:ilvl w:val="0"/>
          <w:numId w:val="0"/>
        </w:numPr>
        <w:spacing w:line="600" w:lineRule="exact"/>
        <w:jc w:val="center"/>
        <w:rPr>
          <w:rFonts w:hint="eastAsia" w:ascii="黑体" w:hAnsi="黑体" w:eastAsia="黑体"/>
          <w:color w:val="auto"/>
          <w:kern w:val="44"/>
          <w:sz w:val="44"/>
          <w:szCs w:val="24"/>
          <w:lang w:val="en-US"/>
        </w:rPr>
      </w:pPr>
      <w:bookmarkStart w:id="6" w:name="_Toc22759"/>
    </w:p>
    <w:p>
      <w:pPr>
        <w:numPr>
          <w:ilvl w:val="0"/>
          <w:numId w:val="0"/>
        </w:numPr>
        <w:spacing w:line="600" w:lineRule="exact"/>
        <w:jc w:val="center"/>
        <w:rPr>
          <w:rFonts w:hint="eastAsia" w:ascii="黑体" w:hAnsi="黑体" w:eastAsia="黑体"/>
          <w:color w:val="auto"/>
          <w:kern w:val="44"/>
          <w:sz w:val="44"/>
          <w:szCs w:val="24"/>
          <w:lang w:val="en-US"/>
        </w:rPr>
      </w:pPr>
    </w:p>
    <w:tbl>
      <w:tblPr>
        <w:tblStyle w:val="8"/>
        <w:tblW w:w="10614" w:type="dxa"/>
        <w:tblInd w:w="-7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3"/>
        <w:gridCol w:w="1005"/>
        <w:gridCol w:w="1037"/>
        <w:gridCol w:w="1314"/>
        <w:gridCol w:w="578"/>
        <w:gridCol w:w="760"/>
        <w:gridCol w:w="748"/>
        <w:gridCol w:w="892"/>
        <w:gridCol w:w="518"/>
        <w:gridCol w:w="407"/>
        <w:gridCol w:w="1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061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《义务教育生均公用经费》预算项目支出绩效自评表（2022年度）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811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51041122T000004759844-福田镇中心学校义务教育生均经费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4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攀枝花市仁和区教育系统部门</w:t>
            </w:r>
          </w:p>
        </w:tc>
        <w:tc>
          <w:tcPr>
            <w:tcW w:w="892" w:type="dxa"/>
            <w:tcBorders>
              <w:top w:val="nil"/>
              <w:left w:val="nil"/>
              <w:bottom w:val="nil"/>
              <w:right w:val="nil"/>
              <w:tl2br w:val="nil"/>
              <w:tr2bl w:val="nil"/>
            </w:tcBorders>
            <w:noWrap w:val="0"/>
            <w:vAlign w:val="center"/>
          </w:tcPr>
          <w:p>
            <w:pPr>
              <w:widowControl/>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实施单位 （盖章）</w:t>
            </w:r>
          </w:p>
        </w:tc>
        <w:tc>
          <w:tcPr>
            <w:tcW w:w="27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攀枝花市仁和区福田镇中心学校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367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rPr>
            </w:pPr>
          </w:p>
        </w:tc>
        <w:tc>
          <w:tcPr>
            <w:tcW w:w="10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rPr>
            </w:pP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构建“绩效目标审核、事中绩效监控、事后绩效评估及绩效结果运用”的全过程绩效预算管理机制，全面提升财政资金支出绩效；确保学校教育教学工作的正常运转，教学设备及教学环境的完善。</w:t>
            </w:r>
          </w:p>
        </w:tc>
        <w:tc>
          <w:tcPr>
            <w:tcW w:w="367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按照年初预算目标及时开展相关工作，确保了福田镇中心学校教育教学工作的正常运作，达到了年初预算预定目标。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811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义务教育生均公用经费》项目经费主要用于义务教育开展教育教学活动的办公用品费用、水电费以及教学设备设施的维护，以确保福田镇中心学校教育教学工作的正常运行；到年底达到了年初的预算目标，经费0.28万元，已经全部使用，但由于区财政国库资金紧缺，实际支付0万元，还剩0.28万元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0.28</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0.28</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86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黑体" w:hAnsi="黑体" w:eastAsia="黑体" w:cs="黑体"/>
                <w:i/>
                <w:color w:val="000000"/>
                <w:sz w:val="18"/>
                <w:szCs w:val="18"/>
              </w:rPr>
            </w:pPr>
            <w:r>
              <w:rPr>
                <w:rFonts w:hint="eastAsia" w:ascii="宋体" w:hAnsi="宋体" w:eastAsia="宋体" w:cs="宋体"/>
                <w:color w:val="000000"/>
                <w:sz w:val="18"/>
                <w:szCs w:val="18"/>
                <w:lang w:val="en-US" w:eastAsia="zh-CN"/>
              </w:rPr>
              <w:t>由于区财政国库资金紧张，要优先保障人员经费的支付，导致项目经费无法按时支付。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0.28</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0.28</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bidi="ar"/>
              </w:rPr>
              <w:t>数量指标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bidi="ar"/>
              </w:rPr>
              <w:t>公用经费配置标准</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bidi="ar"/>
              </w:rPr>
              <w:t>16</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元/人年</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16</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质量指标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公用经费保障率</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100</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100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vMerge w:val="continue"/>
            <w:tcBorders>
              <w:top w:val="nil"/>
              <w:left w:val="single" w:color="000000" w:sz="4" w:space="0"/>
              <w:bottom w:val="nil"/>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公用经费保障时限</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bidi="ar"/>
              </w:rPr>
              <w:t>1</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年</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1</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成本指标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公用经费</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0.28</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万元</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r>
              <w:rPr>
                <w:rFonts w:hint="eastAsia" w:ascii="宋体" w:hAnsi="宋体" w:eastAsia="宋体" w:cs="宋体"/>
                <w:color w:val="000000"/>
                <w:sz w:val="18"/>
                <w:szCs w:val="18"/>
                <w:lang w:val="en-US" w:eastAsia="zh-CN"/>
              </w:rPr>
              <w:t>已使用财政未支付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社会效益指标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保障教育教学需要</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定性</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优良中低差</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优</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20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满意度指标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服务对象满意度指标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学生、家长、社会及主管部门</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90</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90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82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92</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达到年初预算目标，辖区范围内儿童全部入学，学校教育教学工作正常有序开展。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按照年初预算目标，积极开展相关工作，圆满完成了项目指标任务；但项目经费实际支付未完成。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加强资金使用效益跟踪“回头看”，对资金运行状况及时预控，针对资金使用和管理过程总的薄弱环节，提出纠偏措施。</w:t>
            </w:r>
          </w:p>
        </w:tc>
      </w:tr>
    </w:tbl>
    <w:p>
      <w:pPr>
        <w:numPr>
          <w:ilvl w:val="0"/>
          <w:numId w:val="0"/>
        </w:numPr>
        <w:spacing w:line="600" w:lineRule="exact"/>
        <w:jc w:val="center"/>
        <w:rPr>
          <w:rFonts w:hint="eastAsia" w:ascii="黑体" w:hAnsi="黑体" w:eastAsia="黑体"/>
          <w:color w:val="auto"/>
          <w:kern w:val="44"/>
          <w:sz w:val="44"/>
          <w:szCs w:val="24"/>
          <w:lang w:val="en-US"/>
        </w:rPr>
      </w:pPr>
    </w:p>
    <w:p>
      <w:pPr>
        <w:numPr>
          <w:ilvl w:val="0"/>
          <w:numId w:val="0"/>
        </w:numPr>
        <w:spacing w:line="600" w:lineRule="exact"/>
        <w:jc w:val="center"/>
        <w:rPr>
          <w:rFonts w:hint="eastAsia" w:ascii="黑体" w:hAnsi="黑体" w:eastAsia="黑体"/>
          <w:color w:val="auto"/>
          <w:kern w:val="44"/>
          <w:sz w:val="44"/>
          <w:szCs w:val="24"/>
          <w:lang w:val="en-US"/>
        </w:rPr>
      </w:pPr>
    </w:p>
    <w:p>
      <w:pPr>
        <w:numPr>
          <w:ilvl w:val="0"/>
          <w:numId w:val="0"/>
        </w:numPr>
        <w:spacing w:line="600" w:lineRule="exact"/>
        <w:jc w:val="center"/>
        <w:rPr>
          <w:rFonts w:hint="eastAsia" w:ascii="黑体" w:hAnsi="黑体" w:eastAsia="黑体"/>
          <w:color w:val="auto"/>
          <w:kern w:val="44"/>
          <w:sz w:val="44"/>
          <w:szCs w:val="24"/>
          <w:lang w:val="en-US"/>
        </w:rPr>
      </w:pPr>
    </w:p>
    <w:tbl>
      <w:tblPr>
        <w:tblStyle w:val="8"/>
        <w:tblW w:w="10614" w:type="dxa"/>
        <w:tblInd w:w="-7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3"/>
        <w:gridCol w:w="1005"/>
        <w:gridCol w:w="1037"/>
        <w:gridCol w:w="1314"/>
        <w:gridCol w:w="578"/>
        <w:gridCol w:w="760"/>
        <w:gridCol w:w="748"/>
        <w:gridCol w:w="892"/>
        <w:gridCol w:w="518"/>
        <w:gridCol w:w="407"/>
        <w:gridCol w:w="1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061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《教育教学管理经费》预算项目支出绩效自评表（2022年度）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811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51041122T000004761207-学前教育教学管理经费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4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攀枝花市仁和区教育系统部门</w:t>
            </w:r>
          </w:p>
        </w:tc>
        <w:tc>
          <w:tcPr>
            <w:tcW w:w="892" w:type="dxa"/>
            <w:tcBorders>
              <w:top w:val="nil"/>
              <w:left w:val="nil"/>
              <w:bottom w:val="nil"/>
              <w:right w:val="nil"/>
              <w:tl2br w:val="nil"/>
              <w:tr2bl w:val="nil"/>
            </w:tcBorders>
            <w:noWrap w:val="0"/>
            <w:vAlign w:val="center"/>
          </w:tcPr>
          <w:p>
            <w:pPr>
              <w:widowControl/>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实施单位 （盖章）</w:t>
            </w:r>
          </w:p>
        </w:tc>
        <w:tc>
          <w:tcPr>
            <w:tcW w:w="27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攀枝花市仁和区福田镇中心学校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367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rPr>
            </w:pPr>
          </w:p>
        </w:tc>
        <w:tc>
          <w:tcPr>
            <w:tcW w:w="10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rPr>
            </w:pP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 xml:space="preserve"> 构建“绩效目标审核、事中绩效监控、事后绩效评估及绩效结果运用”的全过程绩效预算管理机制，全面提升财政资金支出绩效；确保学校教育教学工作的正常运转，教学设备及教学环境的完善。</w:t>
            </w:r>
          </w:p>
        </w:tc>
        <w:tc>
          <w:tcPr>
            <w:tcW w:w="367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按照年初预算目标及时开展相关工作，确保了福田镇中心学校教育教学工作的正常运作，达到了年初预算预定目标。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811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教育教学管理经费》项目经费主要用于学校开展教育教学活动的办公用品费用、水电费以及教学设备设施的维护，以确保幼儿园教育教学工作的正常运行；到年底达到了年初的预算目标，经费0.55万元，已经全部使用，但由于区财政国库资金紧缺，实际支付0万元，还剩0.55万元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0.55</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0.55</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86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黑体" w:hAnsi="黑体" w:eastAsia="黑体" w:cs="黑体"/>
                <w:i/>
                <w:color w:val="000000"/>
                <w:sz w:val="18"/>
                <w:szCs w:val="18"/>
              </w:rPr>
            </w:pPr>
            <w:r>
              <w:rPr>
                <w:rFonts w:hint="eastAsia" w:ascii="宋体" w:hAnsi="宋体" w:eastAsia="宋体" w:cs="宋体"/>
                <w:color w:val="000000"/>
                <w:sz w:val="18"/>
                <w:szCs w:val="18"/>
                <w:lang w:val="en-US" w:eastAsia="zh-CN"/>
              </w:rPr>
              <w:t>由于区财政国库资金紧张，要优先保障人员经费的支付，导致项目经费无法按时支付。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0.55</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0.55</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bidi="ar"/>
              </w:rPr>
              <w:t>数量指标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bidi="ar"/>
              </w:rPr>
              <w:t>学生人数</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51</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人</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51</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质量指标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保障运转</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100</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vMerge w:val="continue"/>
            <w:tcBorders>
              <w:top w:val="nil"/>
              <w:left w:val="single" w:color="000000" w:sz="4" w:space="0"/>
              <w:bottom w:val="nil"/>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保障时间</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年</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成本指标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教育教学管理经费</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0.55</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万元</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lang w:val="en-US" w:eastAsia="zh-CN"/>
              </w:rPr>
            </w:pPr>
            <w:r>
              <w:rPr>
                <w:rFonts w:hint="eastAsia" w:ascii="宋体" w:hAnsi="宋体" w:eastAsia="宋体" w:cs="宋体"/>
                <w:color w:val="000000"/>
                <w:sz w:val="18"/>
                <w:szCs w:val="18"/>
                <w:lang w:val="en-US" w:eastAsia="zh-CN"/>
              </w:rPr>
              <w:t>已使用财政未支付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社会效益指标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保障学前教育教学需要</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定性</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优良中低差</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优</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20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满意度指标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服务对象满意度指标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学生、家长、社会及主管部门</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95</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95</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82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88</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达到年初预算目标，辖区范围内适龄幼儿全部入园，学校教育教学工作正常有序开展。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按照年初预算目标，积极开展相关工作，圆满完成了项目指标任务；但项目经费实际支付未完成。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加强资金使用效益跟踪“回头看”，对资金运行状况及时预控，针对资金使用和管理过程总的薄弱环节，提出纠偏措施。</w:t>
            </w:r>
          </w:p>
        </w:tc>
      </w:tr>
    </w:tbl>
    <w:p>
      <w:pPr>
        <w:numPr>
          <w:ilvl w:val="0"/>
          <w:numId w:val="0"/>
        </w:numPr>
        <w:spacing w:line="600" w:lineRule="exact"/>
        <w:jc w:val="center"/>
        <w:rPr>
          <w:rFonts w:hint="eastAsia" w:ascii="黑体" w:hAnsi="黑体" w:eastAsia="黑体"/>
          <w:color w:val="auto"/>
          <w:kern w:val="44"/>
          <w:sz w:val="44"/>
          <w:szCs w:val="24"/>
          <w:lang w:val="en-US"/>
        </w:rPr>
      </w:pPr>
    </w:p>
    <w:p>
      <w:pPr>
        <w:numPr>
          <w:ilvl w:val="0"/>
          <w:numId w:val="0"/>
        </w:numPr>
        <w:spacing w:line="600" w:lineRule="exact"/>
        <w:jc w:val="center"/>
        <w:rPr>
          <w:rFonts w:hint="eastAsia" w:ascii="黑体" w:hAnsi="黑体" w:eastAsia="黑体"/>
          <w:color w:val="auto"/>
          <w:kern w:val="44"/>
          <w:sz w:val="44"/>
          <w:szCs w:val="24"/>
          <w:lang w:val="en-US"/>
        </w:rPr>
      </w:pPr>
    </w:p>
    <w:p>
      <w:pPr>
        <w:numPr>
          <w:ilvl w:val="0"/>
          <w:numId w:val="0"/>
        </w:numPr>
        <w:spacing w:line="600" w:lineRule="exact"/>
        <w:jc w:val="center"/>
        <w:rPr>
          <w:rFonts w:hint="eastAsia" w:ascii="黑体" w:hAnsi="黑体" w:eastAsia="黑体"/>
          <w:color w:val="auto"/>
          <w:kern w:val="44"/>
          <w:sz w:val="44"/>
          <w:szCs w:val="24"/>
          <w:lang w:val="en-US"/>
        </w:rPr>
      </w:pPr>
    </w:p>
    <w:tbl>
      <w:tblPr>
        <w:tblStyle w:val="8"/>
        <w:tblW w:w="10614" w:type="dxa"/>
        <w:tblInd w:w="-7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3"/>
        <w:gridCol w:w="1005"/>
        <w:gridCol w:w="1037"/>
        <w:gridCol w:w="1314"/>
        <w:gridCol w:w="578"/>
        <w:gridCol w:w="760"/>
        <w:gridCol w:w="748"/>
        <w:gridCol w:w="892"/>
        <w:gridCol w:w="518"/>
        <w:gridCol w:w="407"/>
        <w:gridCol w:w="1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061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《少年宫运转经费》预算项目支出绩效自评表（2022年度）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811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51041122T000002358113-福田镇中心学校少年宫运转经费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4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攀枝花市仁和区教育系统部门</w:t>
            </w:r>
          </w:p>
        </w:tc>
        <w:tc>
          <w:tcPr>
            <w:tcW w:w="892" w:type="dxa"/>
            <w:tcBorders>
              <w:top w:val="nil"/>
              <w:left w:val="nil"/>
              <w:bottom w:val="nil"/>
              <w:right w:val="nil"/>
              <w:tl2br w:val="nil"/>
              <w:tr2bl w:val="nil"/>
            </w:tcBorders>
            <w:noWrap w:val="0"/>
            <w:vAlign w:val="center"/>
          </w:tcPr>
          <w:p>
            <w:pPr>
              <w:widowControl/>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实施单位 （盖章）</w:t>
            </w:r>
          </w:p>
        </w:tc>
        <w:tc>
          <w:tcPr>
            <w:tcW w:w="27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攀枝花市仁和区福田镇中心学校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367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rPr>
            </w:pPr>
          </w:p>
        </w:tc>
        <w:tc>
          <w:tcPr>
            <w:tcW w:w="10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rPr>
            </w:pP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证学校2022年教育教学工作的正常开展，促进学校健康发展，丰富的活动项目拓宽学生的知识面，促进学校整体教育教学质量提高。确保乡村少年宫活动的正常运转，让学生参与面达到100%，乡村少年宫教学设备及教学环境进一步改善，促进171名学生德智体美全面健康发展</w:t>
            </w:r>
          </w:p>
        </w:tc>
        <w:tc>
          <w:tcPr>
            <w:tcW w:w="367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按照年初预算目标及时开展相关工作，确保了福田镇中心学校教育教学工作的正常运作，达到了年初预算预定目标。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811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少年宫运转经费》项目经费主要用于少年宫开展教育教学活动的办公用品费用、水电费以及教学设备设施的维护，以确保幼儿园教育教学工作的正常运行；到年底达到了年初的预算目标，经费2.0万元，已经全部使用，但由于区财政国库资金紧缺，实际支付0万元，还剩2.0万元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2.00</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2.00</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86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黑体" w:hAnsi="黑体" w:eastAsia="黑体" w:cs="黑体"/>
                <w:i/>
                <w:color w:val="000000"/>
                <w:sz w:val="18"/>
                <w:szCs w:val="18"/>
              </w:rPr>
            </w:pPr>
            <w:r>
              <w:rPr>
                <w:rFonts w:hint="eastAsia" w:ascii="宋体" w:hAnsi="宋体" w:eastAsia="宋体" w:cs="宋体"/>
                <w:color w:val="000000"/>
                <w:sz w:val="18"/>
                <w:szCs w:val="18"/>
                <w:lang w:val="en-US" w:eastAsia="zh-CN"/>
              </w:rPr>
              <w:t>由于区财政国库资金紧张，要优先保障人员经费的支付，导致项目经费无法按时支付。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2.00</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2.00</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bidi="ar"/>
              </w:rPr>
              <w:t>数量指标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bidi="ar"/>
              </w:rPr>
              <w:t xml:space="preserve">  开设活动项目数</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bidi="ar"/>
              </w:rPr>
              <w:t>16</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个</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16</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质量指标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 xml:space="preserve">  活动参与度</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171</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bidi="ar"/>
              </w:rPr>
              <w:t>人</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171</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vMerge w:val="continue"/>
            <w:tcBorders>
              <w:top w:val="nil"/>
              <w:left w:val="single" w:color="000000" w:sz="4" w:space="0"/>
              <w:bottom w:val="nil"/>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项目实施时限</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bidi="ar"/>
              </w:rPr>
              <w:t>1</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bidi="ar"/>
              </w:rPr>
              <w:t>年</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1</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成本指标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项目经费</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20000</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bidi="ar"/>
              </w:rPr>
              <w:t>元</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社会效益指标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指导学生参加各级各类比赛，力</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定性</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优良中低差</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优</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20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满意度指标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服务对象满意度指标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学生、家长、社会满意度</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95</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95</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82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达到年初预算目标，辖区范围内适龄儿童全部入学，少年宫活动正常有序开展。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按照年初预算目标，积极开展相关工作，圆满完成了项目指标任务；但项目经费实际支付未完成。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bidi="ar"/>
              </w:rPr>
              <w:t>加强资金使用效益跟踪“回头看”，对资金运行状况及时预控，针对资金使用和管理过程总的薄弱环节，提出纠偏措施。</w:t>
            </w:r>
          </w:p>
        </w:tc>
      </w:tr>
    </w:tbl>
    <w:p>
      <w:pPr>
        <w:numPr>
          <w:ilvl w:val="0"/>
          <w:numId w:val="0"/>
        </w:numPr>
        <w:spacing w:line="600" w:lineRule="exact"/>
        <w:jc w:val="center"/>
        <w:rPr>
          <w:rFonts w:hint="eastAsia" w:ascii="黑体" w:hAnsi="黑体" w:eastAsia="黑体"/>
          <w:color w:val="auto"/>
          <w:kern w:val="44"/>
          <w:sz w:val="44"/>
          <w:szCs w:val="24"/>
          <w:lang w:val="en-US"/>
        </w:rPr>
      </w:pPr>
    </w:p>
    <w:p>
      <w:pPr>
        <w:numPr>
          <w:ilvl w:val="0"/>
          <w:numId w:val="0"/>
        </w:numPr>
        <w:spacing w:line="600" w:lineRule="exact"/>
        <w:jc w:val="center"/>
        <w:rPr>
          <w:rFonts w:hint="eastAsia" w:ascii="黑体" w:hAnsi="黑体" w:eastAsia="黑体"/>
          <w:color w:val="auto"/>
          <w:kern w:val="44"/>
          <w:sz w:val="44"/>
          <w:szCs w:val="24"/>
          <w:lang w:val="en-US"/>
        </w:rPr>
      </w:pPr>
    </w:p>
    <w:p>
      <w:pPr>
        <w:numPr>
          <w:ilvl w:val="0"/>
          <w:numId w:val="6"/>
        </w:numPr>
        <w:spacing w:line="600" w:lineRule="exact"/>
        <w:jc w:val="center"/>
        <w:outlineLvl w:val="0"/>
        <w:rPr>
          <w:rFonts w:hint="eastAsia" w:ascii="黑体" w:hAnsi="黑体" w:eastAsia="黑体"/>
          <w:color w:val="auto"/>
          <w:kern w:val="44"/>
          <w:sz w:val="44"/>
          <w:szCs w:val="24"/>
          <w:lang w:val="en-US"/>
        </w:rPr>
      </w:pPr>
      <w:bookmarkStart w:id="7" w:name="_Toc5755"/>
      <w:bookmarkStart w:id="8" w:name="_Toc579"/>
      <w:r>
        <w:rPr>
          <w:rFonts w:hint="eastAsia" w:ascii="黑体" w:hAnsi="黑体" w:eastAsia="黑体"/>
          <w:color w:val="auto"/>
          <w:kern w:val="44"/>
          <w:sz w:val="44"/>
          <w:szCs w:val="24"/>
          <w:lang w:val="en-US"/>
        </w:rPr>
        <w:t>附表</w:t>
      </w:r>
      <w:bookmarkEnd w:id="6"/>
      <w:bookmarkEnd w:id="7"/>
      <w:bookmarkEnd w:id="8"/>
      <w:bookmarkStart w:id="9" w:name="_Toc18434"/>
    </w:p>
    <w:p>
      <w:pPr>
        <w:numPr>
          <w:ilvl w:val="0"/>
          <w:numId w:val="7"/>
        </w:numPr>
        <w:spacing w:line="600" w:lineRule="exact"/>
        <w:jc w:val="both"/>
        <w:outlineLvl w:val="0"/>
        <w:rPr>
          <w:rFonts w:hint="eastAsia" w:ascii="仿宋" w:hAnsi="仿宋" w:eastAsia="仿宋" w:cs="Times New Roman"/>
          <w:color w:val="auto"/>
          <w:kern w:val="2"/>
          <w:sz w:val="32"/>
          <w:szCs w:val="24"/>
          <w:lang w:val="en-US"/>
        </w:rPr>
      </w:pPr>
      <w:r>
        <w:rPr>
          <w:rFonts w:hint="eastAsia" w:ascii="仿宋" w:hAnsi="仿宋" w:eastAsia="仿宋" w:cs="Times New Roman"/>
          <w:color w:val="auto"/>
          <w:kern w:val="2"/>
          <w:sz w:val="32"/>
          <w:szCs w:val="24"/>
          <w:lang w:val="en-US"/>
        </w:rPr>
        <w:t>收入支出决算总表</w:t>
      </w:r>
      <w:bookmarkEnd w:id="9"/>
      <w:bookmarkStart w:id="10" w:name="_Toc21986"/>
    </w:p>
    <w:p>
      <w:pPr>
        <w:numPr>
          <w:ilvl w:val="0"/>
          <w:numId w:val="7"/>
        </w:numPr>
        <w:spacing w:line="600" w:lineRule="exact"/>
        <w:jc w:val="both"/>
        <w:outlineLvl w:val="0"/>
        <w:rPr>
          <w:rFonts w:hint="eastAsia" w:ascii="仿宋" w:hAnsi="仿宋" w:eastAsia="仿宋" w:cs="Times New Roman"/>
          <w:color w:val="auto"/>
          <w:kern w:val="2"/>
          <w:sz w:val="32"/>
          <w:szCs w:val="24"/>
          <w:lang w:val="en-US"/>
        </w:rPr>
      </w:pPr>
      <w:r>
        <w:rPr>
          <w:rFonts w:hint="eastAsia" w:ascii="仿宋" w:hAnsi="仿宋" w:eastAsia="仿宋" w:cs="Times New Roman"/>
          <w:color w:val="auto"/>
          <w:kern w:val="2"/>
          <w:sz w:val="32"/>
          <w:szCs w:val="24"/>
          <w:lang w:val="en-US"/>
        </w:rPr>
        <w:t>收入决算表</w:t>
      </w:r>
      <w:bookmarkEnd w:id="10"/>
      <w:bookmarkStart w:id="11" w:name="_Toc3097"/>
    </w:p>
    <w:p>
      <w:pPr>
        <w:numPr>
          <w:ilvl w:val="0"/>
          <w:numId w:val="7"/>
        </w:numPr>
        <w:spacing w:line="600" w:lineRule="exact"/>
        <w:jc w:val="both"/>
        <w:outlineLvl w:val="0"/>
        <w:rPr>
          <w:rFonts w:hint="eastAsia" w:ascii="仿宋" w:hAnsi="仿宋" w:eastAsia="仿宋" w:cs="Times New Roman"/>
          <w:color w:val="auto"/>
          <w:kern w:val="2"/>
          <w:sz w:val="32"/>
          <w:szCs w:val="24"/>
          <w:lang w:val="en-US"/>
        </w:rPr>
      </w:pPr>
      <w:r>
        <w:rPr>
          <w:rFonts w:hint="eastAsia" w:ascii="仿宋" w:hAnsi="仿宋" w:eastAsia="仿宋" w:cs="Times New Roman"/>
          <w:color w:val="auto"/>
          <w:kern w:val="2"/>
          <w:sz w:val="32"/>
          <w:szCs w:val="24"/>
          <w:lang w:val="en-US"/>
        </w:rPr>
        <w:t>支出决算表</w:t>
      </w:r>
      <w:bookmarkEnd w:id="11"/>
      <w:bookmarkStart w:id="12" w:name="_Toc4701"/>
    </w:p>
    <w:p>
      <w:pPr>
        <w:numPr>
          <w:ilvl w:val="0"/>
          <w:numId w:val="7"/>
        </w:numPr>
        <w:spacing w:line="600" w:lineRule="exact"/>
        <w:jc w:val="both"/>
        <w:outlineLvl w:val="0"/>
        <w:rPr>
          <w:rFonts w:hint="eastAsia" w:ascii="仿宋" w:hAnsi="仿宋" w:eastAsia="仿宋" w:cs="Times New Roman"/>
          <w:color w:val="auto"/>
          <w:kern w:val="2"/>
          <w:sz w:val="32"/>
          <w:szCs w:val="24"/>
          <w:lang w:val="en-US"/>
        </w:rPr>
      </w:pPr>
      <w:r>
        <w:rPr>
          <w:rFonts w:hint="eastAsia" w:ascii="仿宋" w:hAnsi="仿宋" w:eastAsia="仿宋" w:cs="Times New Roman"/>
          <w:color w:val="auto"/>
          <w:kern w:val="2"/>
          <w:sz w:val="32"/>
          <w:szCs w:val="24"/>
          <w:lang w:val="en-US"/>
        </w:rPr>
        <w:t>财政拨款收入支出决算总表</w:t>
      </w:r>
      <w:bookmarkEnd w:id="12"/>
      <w:bookmarkStart w:id="13" w:name="_Toc27525"/>
    </w:p>
    <w:p>
      <w:pPr>
        <w:numPr>
          <w:ilvl w:val="0"/>
          <w:numId w:val="7"/>
        </w:numPr>
        <w:spacing w:line="600" w:lineRule="exact"/>
        <w:jc w:val="both"/>
        <w:outlineLvl w:val="0"/>
        <w:rPr>
          <w:rFonts w:hint="eastAsia" w:ascii="仿宋" w:hAnsi="仿宋" w:eastAsia="仿宋" w:cs="Times New Roman"/>
          <w:color w:val="auto"/>
          <w:kern w:val="2"/>
          <w:sz w:val="32"/>
          <w:szCs w:val="24"/>
          <w:lang w:val="en-US"/>
        </w:rPr>
      </w:pPr>
      <w:r>
        <w:rPr>
          <w:rFonts w:hint="eastAsia" w:ascii="仿宋" w:hAnsi="仿宋" w:eastAsia="仿宋" w:cs="Times New Roman"/>
          <w:color w:val="auto"/>
          <w:kern w:val="2"/>
          <w:sz w:val="32"/>
          <w:szCs w:val="24"/>
          <w:lang w:val="en-US"/>
        </w:rPr>
        <w:t>财政拨款支出决算明细表</w:t>
      </w:r>
      <w:bookmarkEnd w:id="13"/>
      <w:bookmarkStart w:id="14" w:name="_Toc10279"/>
    </w:p>
    <w:p>
      <w:pPr>
        <w:numPr>
          <w:ilvl w:val="0"/>
          <w:numId w:val="7"/>
        </w:numPr>
        <w:spacing w:line="600" w:lineRule="exact"/>
        <w:jc w:val="both"/>
        <w:outlineLvl w:val="0"/>
        <w:rPr>
          <w:rFonts w:hint="eastAsia" w:ascii="仿宋" w:hAnsi="仿宋" w:eastAsia="仿宋" w:cs="Times New Roman"/>
          <w:color w:val="auto"/>
          <w:kern w:val="2"/>
          <w:sz w:val="32"/>
          <w:szCs w:val="24"/>
          <w:lang w:val="en-US"/>
        </w:rPr>
      </w:pPr>
      <w:r>
        <w:rPr>
          <w:rFonts w:hint="eastAsia" w:ascii="仿宋" w:hAnsi="仿宋" w:eastAsia="仿宋" w:cs="Times New Roman"/>
          <w:color w:val="auto"/>
          <w:kern w:val="2"/>
          <w:sz w:val="32"/>
          <w:szCs w:val="24"/>
          <w:lang w:val="en-US"/>
        </w:rPr>
        <w:t>一般公共预算财政拨款支出决算表</w:t>
      </w:r>
      <w:bookmarkEnd w:id="14"/>
      <w:bookmarkStart w:id="15" w:name="_Toc13861"/>
    </w:p>
    <w:p>
      <w:pPr>
        <w:numPr>
          <w:ilvl w:val="0"/>
          <w:numId w:val="7"/>
        </w:numPr>
        <w:spacing w:line="600" w:lineRule="exact"/>
        <w:jc w:val="both"/>
        <w:outlineLvl w:val="0"/>
        <w:rPr>
          <w:rFonts w:hint="eastAsia" w:ascii="仿宋" w:hAnsi="仿宋" w:eastAsia="仿宋" w:cs="Times New Roman"/>
          <w:color w:val="auto"/>
          <w:kern w:val="2"/>
          <w:sz w:val="32"/>
          <w:szCs w:val="24"/>
          <w:lang w:val="en-US"/>
        </w:rPr>
      </w:pPr>
      <w:r>
        <w:rPr>
          <w:rFonts w:hint="eastAsia" w:ascii="仿宋" w:hAnsi="仿宋" w:eastAsia="仿宋" w:cs="Times New Roman"/>
          <w:color w:val="auto"/>
          <w:kern w:val="2"/>
          <w:sz w:val="32"/>
          <w:szCs w:val="24"/>
          <w:lang w:val="en-US"/>
        </w:rPr>
        <w:t>一般公共预算财政拨款支出决算明细表</w:t>
      </w:r>
      <w:bookmarkEnd w:id="15"/>
      <w:bookmarkStart w:id="16" w:name="_Toc11247"/>
    </w:p>
    <w:p>
      <w:pPr>
        <w:numPr>
          <w:ilvl w:val="0"/>
          <w:numId w:val="7"/>
        </w:numPr>
        <w:spacing w:line="600" w:lineRule="exact"/>
        <w:jc w:val="both"/>
        <w:outlineLvl w:val="0"/>
        <w:rPr>
          <w:rFonts w:hint="eastAsia" w:ascii="仿宋" w:hAnsi="仿宋" w:eastAsia="仿宋" w:cs="Times New Roman"/>
          <w:color w:val="auto"/>
          <w:kern w:val="2"/>
          <w:sz w:val="32"/>
          <w:szCs w:val="24"/>
          <w:lang w:val="en-US"/>
        </w:rPr>
      </w:pPr>
      <w:r>
        <w:rPr>
          <w:rFonts w:hint="eastAsia" w:ascii="仿宋" w:hAnsi="仿宋" w:eastAsia="仿宋" w:cs="Times New Roman"/>
          <w:color w:val="auto"/>
          <w:kern w:val="2"/>
          <w:sz w:val="32"/>
          <w:szCs w:val="24"/>
          <w:lang w:val="en-US"/>
        </w:rPr>
        <w:t>一般公共预算财政拨款基本支出决算表</w:t>
      </w:r>
      <w:bookmarkEnd w:id="16"/>
      <w:bookmarkStart w:id="17" w:name="_Toc26870"/>
    </w:p>
    <w:p>
      <w:pPr>
        <w:numPr>
          <w:ilvl w:val="0"/>
          <w:numId w:val="0"/>
        </w:numPr>
        <w:spacing w:line="600" w:lineRule="exact"/>
        <w:jc w:val="both"/>
        <w:outlineLvl w:val="0"/>
        <w:rPr>
          <w:rFonts w:hint="eastAsia" w:ascii="仿宋" w:hAnsi="仿宋" w:eastAsia="仿宋" w:cs="Times New Roman"/>
          <w:color w:val="auto"/>
          <w:kern w:val="2"/>
          <w:sz w:val="32"/>
          <w:szCs w:val="24"/>
          <w:lang w:val="en-US"/>
        </w:rPr>
      </w:pPr>
      <w:r>
        <w:rPr>
          <w:rFonts w:hint="eastAsia" w:ascii="仿宋" w:hAnsi="仿宋" w:eastAsia="仿宋" w:cs="Times New Roman"/>
          <w:color w:val="auto"/>
          <w:kern w:val="2"/>
          <w:sz w:val="32"/>
          <w:szCs w:val="24"/>
          <w:lang w:val="en-US" w:eastAsia="zh-CN"/>
        </w:rPr>
        <w:t>九、</w:t>
      </w:r>
      <w:r>
        <w:rPr>
          <w:rFonts w:hint="eastAsia" w:ascii="仿宋" w:hAnsi="仿宋" w:eastAsia="仿宋" w:cs="Times New Roman"/>
          <w:color w:val="auto"/>
          <w:kern w:val="2"/>
          <w:sz w:val="32"/>
          <w:szCs w:val="24"/>
          <w:lang w:val="en-US"/>
        </w:rPr>
        <w:t>一般公共预算财政拨款项目支出决算表</w:t>
      </w:r>
      <w:bookmarkEnd w:id="17"/>
    </w:p>
    <w:p>
      <w:pPr>
        <w:pStyle w:val="3"/>
        <w:keepNext/>
        <w:keepLines/>
        <w:spacing w:before="260" w:after="260" w:line="408" w:lineRule="auto"/>
        <w:jc w:val="both"/>
        <w:rPr>
          <w:rFonts w:hint="eastAsia" w:ascii="仿宋" w:hAnsi="仿宋" w:eastAsia="仿宋" w:cs="Times New Roman"/>
          <w:color w:val="auto"/>
          <w:kern w:val="2"/>
          <w:sz w:val="32"/>
          <w:szCs w:val="24"/>
          <w:lang w:val="en-US"/>
        </w:rPr>
      </w:pPr>
      <w:bookmarkStart w:id="18" w:name="_Toc7586"/>
      <w:r>
        <w:rPr>
          <w:rFonts w:hint="eastAsia" w:ascii="仿宋" w:hAnsi="仿宋" w:eastAsia="仿宋" w:cs="Times New Roman"/>
          <w:color w:val="auto"/>
          <w:kern w:val="2"/>
          <w:sz w:val="32"/>
          <w:szCs w:val="24"/>
          <w:lang w:val="en-US" w:eastAsia="zh-CN"/>
        </w:rPr>
        <w:t>十、</w:t>
      </w:r>
      <w:r>
        <w:rPr>
          <w:rFonts w:hint="eastAsia" w:ascii="仿宋" w:hAnsi="仿宋" w:eastAsia="仿宋" w:cs="Times New Roman"/>
          <w:color w:val="auto"/>
          <w:kern w:val="2"/>
          <w:sz w:val="32"/>
          <w:szCs w:val="24"/>
          <w:lang w:val="en-US"/>
        </w:rPr>
        <w:t>政府性基金预算财政拨款收入支出决算表</w:t>
      </w:r>
      <w:bookmarkEnd w:id="18"/>
      <w:bookmarkStart w:id="19" w:name="_Toc10123"/>
    </w:p>
    <w:p>
      <w:pPr>
        <w:pStyle w:val="3"/>
        <w:keepNext/>
        <w:keepLines/>
        <w:spacing w:before="260" w:after="260" w:line="408" w:lineRule="auto"/>
        <w:jc w:val="both"/>
        <w:rPr>
          <w:rFonts w:hint="eastAsia" w:ascii="仿宋" w:hAnsi="仿宋" w:eastAsia="仿宋" w:cs="Times New Roman"/>
          <w:color w:val="auto"/>
          <w:kern w:val="2"/>
          <w:sz w:val="32"/>
          <w:szCs w:val="24"/>
          <w:lang w:val="en-US"/>
        </w:rPr>
      </w:pPr>
      <w:r>
        <w:rPr>
          <w:rFonts w:hint="eastAsia" w:ascii="仿宋" w:hAnsi="仿宋" w:eastAsia="仿宋" w:cs="Times New Roman"/>
          <w:color w:val="auto"/>
          <w:kern w:val="2"/>
          <w:sz w:val="32"/>
          <w:szCs w:val="24"/>
          <w:lang w:val="en-US" w:eastAsia="zh-CN"/>
        </w:rPr>
        <w:t>十一、</w:t>
      </w:r>
      <w:r>
        <w:rPr>
          <w:rFonts w:hint="eastAsia" w:ascii="仿宋" w:hAnsi="仿宋" w:eastAsia="仿宋" w:cs="Times New Roman"/>
          <w:color w:val="auto"/>
          <w:kern w:val="2"/>
          <w:sz w:val="32"/>
          <w:szCs w:val="24"/>
          <w:lang w:val="en-US"/>
        </w:rPr>
        <w:t>国有资本经营预算财政拨款收入支出决算表</w:t>
      </w:r>
      <w:bookmarkEnd w:id="19"/>
    </w:p>
    <w:p>
      <w:pPr>
        <w:pStyle w:val="3"/>
        <w:keepNext/>
        <w:keepLines/>
        <w:spacing w:before="260" w:after="260" w:line="408" w:lineRule="auto"/>
        <w:jc w:val="both"/>
        <w:rPr>
          <w:rFonts w:hint="eastAsia" w:ascii="仿宋" w:hAnsi="仿宋" w:eastAsia="仿宋" w:cs="Times New Roman"/>
          <w:color w:val="auto"/>
          <w:kern w:val="2"/>
          <w:sz w:val="32"/>
          <w:szCs w:val="24"/>
          <w:lang w:val="en-US"/>
        </w:rPr>
      </w:pPr>
      <w:bookmarkStart w:id="20" w:name="_Toc4217"/>
      <w:r>
        <w:rPr>
          <w:rFonts w:hint="eastAsia" w:ascii="仿宋" w:hAnsi="仿宋" w:eastAsia="仿宋" w:cs="Times New Roman"/>
          <w:color w:val="auto"/>
          <w:kern w:val="2"/>
          <w:sz w:val="32"/>
          <w:szCs w:val="24"/>
          <w:lang w:val="en-US"/>
        </w:rPr>
        <w:t>十二、国有资本经营预算财政拨款支出决算表</w:t>
      </w:r>
      <w:bookmarkEnd w:id="20"/>
    </w:p>
    <w:p>
      <w:pPr>
        <w:pStyle w:val="3"/>
        <w:keepNext/>
        <w:keepLines/>
        <w:spacing w:before="260" w:after="260" w:line="408" w:lineRule="auto"/>
        <w:jc w:val="both"/>
        <w:rPr>
          <w:rFonts w:hint="eastAsia" w:ascii="华文中宋" w:hAnsi="华文中宋" w:eastAsia="华文中宋"/>
          <w:color w:val="auto"/>
          <w:kern w:val="2"/>
          <w:sz w:val="36"/>
          <w:szCs w:val="24"/>
          <w:lang w:val="en-US"/>
        </w:rPr>
      </w:pPr>
      <w:bookmarkStart w:id="21" w:name="_Toc7585"/>
      <w:bookmarkStart w:id="22" w:name="_Toc1633"/>
      <w:bookmarkStart w:id="23" w:name="_Toc25135"/>
      <w:r>
        <w:rPr>
          <w:rFonts w:hint="eastAsia" w:ascii="仿宋" w:hAnsi="仿宋" w:eastAsia="仿宋"/>
          <w:color w:val="auto"/>
          <w:kern w:val="2"/>
          <w:sz w:val="32"/>
          <w:szCs w:val="24"/>
          <w:lang w:val="en-US"/>
        </w:rPr>
        <w:t>十三、财政拨款“三公”经费支出决算表</w:t>
      </w:r>
      <w:bookmarkEnd w:id="21"/>
      <w:bookmarkEnd w:id="22"/>
      <w:bookmarkEnd w:id="23"/>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7E149"/>
    <w:multiLevelType w:val="multilevel"/>
    <w:tmpl w:val="8007E149"/>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9D3F1D52"/>
    <w:multiLevelType w:val="multilevel"/>
    <w:tmpl w:val="9D3F1D52"/>
    <w:lvl w:ilvl="0" w:tentative="0">
      <w:start w:val="3"/>
      <w:numFmt w:val="chineseCounting"/>
      <w:suff w:val="space"/>
      <w:lvlText w:val="第%1部分"/>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C6C9280F"/>
    <w:multiLevelType w:val="multilevel"/>
    <w:tmpl w:val="C6C9280F"/>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
    <w:nsid w:val="E4D07807"/>
    <w:multiLevelType w:val="multilevel"/>
    <w:tmpl w:val="E4D07807"/>
    <w:lvl w:ilvl="0" w:tentative="0">
      <w:start w:val="5"/>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4">
    <w:nsid w:val="0DD766A9"/>
    <w:multiLevelType w:val="multilevel"/>
    <w:tmpl w:val="0DD766A9"/>
    <w:lvl w:ilvl="0" w:tentative="0">
      <w:start w:val="1"/>
      <w:numFmt w:val="decimal"/>
      <w:lvlText w:val="%1."/>
      <w:lvlJc w:val="left"/>
      <w:pPr>
        <w:tabs>
          <w:tab w:val="left" w:pos="312"/>
        </w:tabs>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5">
    <w:nsid w:val="1C4EAF62"/>
    <w:multiLevelType w:val="multilevel"/>
    <w:tmpl w:val="1C4EAF62"/>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6">
    <w:nsid w:val="669936BC"/>
    <w:multiLevelType w:val="multilevel"/>
    <w:tmpl w:val="669936BC"/>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6"/>
  </w:num>
  <w:num w:numId="2">
    <w:abstractNumId w:val="3"/>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YjczYmQxNTI0OTg1NmI3MGY0ZGFiNzFmYjlmODUifQ=="/>
  </w:docVars>
  <w:rsids>
    <w:rsidRoot w:val="00000000"/>
    <w:rsid w:val="1C2124DF"/>
    <w:rsid w:val="1D85053C"/>
    <w:rsid w:val="2066006A"/>
    <w:rsid w:val="21BB58F1"/>
    <w:rsid w:val="255C711B"/>
    <w:rsid w:val="282F39C3"/>
    <w:rsid w:val="322A3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uiPriority="99"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unhideWhenUsed/>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3">
    <w:name w:val="heading 2"/>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99"/>
    <w:rPr>
      <w:rFonts w:hint="default"/>
      <w:sz w:val="24"/>
      <w:szCs w:val="24"/>
    </w:rPr>
  </w:style>
  <w:style w:type="paragraph" w:styleId="7">
    <w:name w:val="toc 2"/>
    <w:basedOn w:val="1"/>
    <w:next w:val="1"/>
    <w:unhideWhenUsed/>
    <w:qFormat/>
    <w:uiPriority w:val="99"/>
    <w:pPr>
      <w:ind w:left="420" w:leftChars="200"/>
    </w:pPr>
    <w:rPr>
      <w:rFonts w:hint="default"/>
      <w:sz w:val="24"/>
      <w:szCs w:val="24"/>
    </w:rPr>
  </w:style>
  <w:style w:type="character" w:styleId="10">
    <w:name w:val="Strong"/>
    <w:basedOn w:val="9"/>
    <w:unhideWhenUsed/>
    <w:qFormat/>
    <w:uiPriority w:val="99"/>
    <w:rPr>
      <w:rFonts w:hint="default"/>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lineChart>
        <c:grouping val="standard"/>
        <c:varyColors val="0"/>
        <c:ser>
          <c:idx val="0"/>
          <c:order val="0"/>
          <c:tx>
            <c:strRef>
              <c:f>Sheet1!$B$1</c:f>
              <c:strCache>
                <c:ptCount val="1"/>
                <c:pt idx="0">
                  <c:v>系列 1</c:v>
                </c:pt>
              </c:strCache>
            </c:strRef>
          </c:tx>
          <c:spPr>
            <a:ln w="28575" cap="rnd">
              <a:solidFill>
                <a:schemeClr val="accent1"/>
              </a:solidFill>
              <a:round/>
            </a:ln>
            <a:effectLst/>
          </c:spPr>
          <c:marker>
            <c:symbol val="none"/>
          </c:marker>
          <c:dLbls>
            <c:delete val="1"/>
          </c:dLbls>
          <c:cat>
            <c:strRef>
              <c:f>Sheet1!$A$2:$A$5</c:f>
              <c:strCache>
                <c:ptCount val="4"/>
                <c:pt idx="0">
                  <c:v>2021年收支总计</c:v>
                </c:pt>
                <c:pt idx="1">
                  <c:v>2022年收支总计</c:v>
                </c:pt>
              </c:strCache>
            </c:strRef>
          </c:cat>
          <c:val>
            <c:numRef>
              <c:f>Sheet1!$B$2:$B$5</c:f>
              <c:numCache>
                <c:formatCode>General</c:formatCode>
                <c:ptCount val="4"/>
                <c:pt idx="0">
                  <c:v>442.83</c:v>
                </c:pt>
                <c:pt idx="1">
                  <c:v>456.14</c:v>
                </c:pt>
              </c:numCache>
            </c:numRef>
          </c:val>
          <c:smooth val="0"/>
        </c:ser>
        <c:ser>
          <c:idx val="1"/>
          <c:order val="1"/>
          <c:tx>
            <c:strRef>
              <c:f>Sheet1!$C$1</c:f>
              <c:strCache>
                <c:ptCount val="1"/>
                <c:pt idx="0">
                  <c:v>系列 2</c:v>
                </c:pt>
              </c:strCache>
            </c:strRef>
          </c:tx>
          <c:spPr>
            <a:ln w="28575" cap="rnd">
              <a:solidFill>
                <a:schemeClr val="accent2"/>
              </a:solidFill>
              <a:round/>
            </a:ln>
            <a:effectLst/>
          </c:spPr>
          <c:marker>
            <c:symbol val="none"/>
          </c:marker>
          <c:dLbls>
            <c:delete val="1"/>
          </c:dLbls>
          <c:cat>
            <c:strRef>
              <c:f>Sheet1!$A$2:$A$5</c:f>
              <c:strCache>
                <c:ptCount val="4"/>
                <c:pt idx="0">
                  <c:v>2021年收支总计</c:v>
                </c:pt>
                <c:pt idx="1">
                  <c:v>2022年收支总计</c:v>
                </c:pt>
              </c:strCache>
            </c:strRef>
          </c:cat>
          <c:val>
            <c:numRef>
              <c:f>Sheet1!$C$2:$C$5</c:f>
              <c:numCache>
                <c:formatCode>General</c:formatCode>
                <c:ptCount val="4"/>
              </c:numCache>
            </c:numRef>
          </c:val>
          <c:smooth val="0"/>
        </c:ser>
        <c:ser>
          <c:idx val="2"/>
          <c:order val="2"/>
          <c:tx>
            <c:strRef>
              <c:f>Sheet1!$D$1</c:f>
              <c:strCache>
                <c:ptCount val="1"/>
                <c:pt idx="0">
                  <c:v>系列 3</c:v>
                </c:pt>
              </c:strCache>
            </c:strRef>
          </c:tx>
          <c:spPr>
            <a:ln w="28575" cap="rnd">
              <a:solidFill>
                <a:schemeClr val="accent3"/>
              </a:solidFill>
              <a:round/>
            </a:ln>
            <a:effectLst/>
          </c:spPr>
          <c:marker>
            <c:symbol val="none"/>
          </c:marker>
          <c:dLbls>
            <c:delete val="1"/>
          </c:dLbls>
          <c:cat>
            <c:strRef>
              <c:f>Sheet1!$A$2:$A$5</c:f>
              <c:strCache>
                <c:ptCount val="4"/>
                <c:pt idx="0">
                  <c:v>2021年收支总计</c:v>
                </c:pt>
                <c:pt idx="1">
                  <c:v>2022年收支总计</c:v>
                </c:pt>
              </c:strCache>
            </c:strRef>
          </c:cat>
          <c:val>
            <c:numRef>
              <c:f>Sheet1!$D$2:$D$5</c:f>
              <c:numCache>
                <c:formatCode>General</c:formatCode>
                <c:ptCount val="4"/>
              </c:numCache>
            </c:numRef>
          </c:val>
          <c:smooth val="0"/>
        </c:ser>
        <c:dLbls>
          <c:showLegendKey val="0"/>
          <c:showVal val="0"/>
          <c:showCatName val="0"/>
          <c:showSerName val="0"/>
          <c:showPercent val="0"/>
          <c:showBubbleSize val="0"/>
        </c:dLbls>
        <c:marker val="0"/>
        <c:smooth val="0"/>
        <c:axId val="420376142"/>
        <c:axId val="391535952"/>
      </c:lineChart>
      <c:catAx>
        <c:axId val="42037614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1535952"/>
        <c:crosses val="autoZero"/>
        <c:auto val="1"/>
        <c:lblAlgn val="ctr"/>
        <c:lblOffset val="100"/>
        <c:noMultiLvlLbl val="0"/>
      </c:catAx>
      <c:valAx>
        <c:axId val="39153595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037614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本年支出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General</c:formatCode>
                <c:ptCount val="4"/>
                <c:pt idx="0">
                  <c:v>437.84</c:v>
                </c:pt>
                <c:pt idx="1">
                  <c:v>18.29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864460014496255"/>
          <c:y val="0.4160645983850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一般公共预算财政拨款支出决算结构情况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363.87</c:v>
                </c:pt>
                <c:pt idx="1">
                  <c:v>43.32</c:v>
                </c:pt>
                <c:pt idx="2">
                  <c:v>21.1</c:v>
                </c:pt>
                <c:pt idx="3">
                  <c:v>27.85</c:v>
                </c:pt>
              </c:numCache>
            </c:numRef>
          </c:val>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8210</Words>
  <Characters>8981</Characters>
  <Lines>0</Lines>
  <Paragraphs>0</Paragraphs>
  <TotalTime>23</TotalTime>
  <ScaleCrop>false</ScaleCrop>
  <LinksUpToDate>false</LinksUpToDate>
  <CharactersWithSpaces>9045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2024-06-06T02:06:00Z</dcterms:created>
  <dc:creator>Administrator</dc:creator>
  <cp:lastModifiedBy>言身寸</cp:lastModifiedBy>
  <dcterms:modified xsi:type="dcterms:W3CDTF">2024-06-06T03:39:28Z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06F60BEAF74E488D9C4BDCEE4A51E0D5_12</vt:lpwstr>
  </property>
</Properties>
</file>