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攀枝花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仁和区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区</w:t>
      </w:r>
      <w:r>
        <w:rPr>
          <w:rFonts w:ascii="Times New Roman" w:hAnsi="Times New Roman" w:eastAsia="方正小标宋简体" w:cs="Times New Roman"/>
          <w:sz w:val="44"/>
          <w:szCs w:val="44"/>
        </w:rPr>
        <w:t>本级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财政衔接推进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乡村振兴补助资金</w:t>
      </w:r>
      <w:r>
        <w:rPr>
          <w:rFonts w:ascii="Times New Roman" w:hAnsi="Times New Roman" w:eastAsia="方正小标宋简体" w:cs="Times New Roman"/>
          <w:sz w:val="44"/>
          <w:szCs w:val="44"/>
        </w:rPr>
        <w:t>公开说明</w:t>
      </w:r>
    </w:p>
    <w:p>
      <w:pPr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</w:t>
      </w:r>
      <w:r>
        <w:rPr>
          <w:rFonts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“市（州）本级预算</w:t>
      </w:r>
      <w:r>
        <w:rPr>
          <w:rFonts w:ascii="Times New Roman" w:hAnsi="Times New Roman" w:eastAsia="仿宋_GB2312" w:cs="Times New Roman"/>
          <w:sz w:val="32"/>
          <w:szCs w:val="32"/>
        </w:rPr>
        <w:t>安排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衔接资金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</w:t>
      </w:r>
      <w:r>
        <w:rPr>
          <w:rFonts w:ascii="Times New Roman" w:hAnsi="Times New Roman" w:eastAsia="仿宋_GB2312" w:cs="Times New Roman"/>
          <w:sz w:val="32"/>
          <w:szCs w:val="32"/>
        </w:rPr>
        <w:t>低于上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年度”</w:t>
      </w:r>
      <w:r>
        <w:rPr>
          <w:rFonts w:ascii="Times New Roman" w:hAnsi="Times New Roman" w:eastAsia="仿宋_GB2312" w:cs="Times New Roman"/>
          <w:sz w:val="32"/>
          <w:szCs w:val="32"/>
        </w:rPr>
        <w:t>的要求，202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本级财政安排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衔接推进乡村振兴补助</w:t>
      </w:r>
      <w:r>
        <w:rPr>
          <w:rFonts w:ascii="Times New Roman" w:hAnsi="Times New Roman" w:eastAsia="仿宋_GB2312" w:cs="Times New Roman"/>
          <w:sz w:val="32"/>
          <w:szCs w:val="32"/>
        </w:rPr>
        <w:t>资金年初预算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1850</w:t>
      </w:r>
      <w:r>
        <w:rPr>
          <w:rFonts w:ascii="Times New Roman" w:hAnsi="Times New Roman" w:eastAsia="仿宋_GB2312" w:cs="Times New Roman"/>
          <w:sz w:val="32"/>
          <w:szCs w:val="32"/>
        </w:rPr>
        <w:t>万元。本项资金根据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政府202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年度巩固脱贫攻坚成果与乡村振兴有效衔接工作部署，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在统筹政策性专项安排后，采用因素分配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和绩效分配相结合的方式</w:t>
      </w:r>
      <w:r>
        <w:rPr>
          <w:rFonts w:ascii="Times New Roman" w:hAnsi="Times New Roman" w:eastAsia="仿宋_GB2312" w:cs="Times New Roman"/>
          <w:sz w:val="32"/>
          <w:szCs w:val="32"/>
        </w:rPr>
        <w:t>制定分配方案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因素分配主要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考虑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3年巩固拓展脱贫攻坚成果任务和衔接推进乡村振兴任务，绩效分配主要依据2022年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巩固脱贫成果后评估考核评价结果），</w:t>
      </w:r>
      <w:r>
        <w:rPr>
          <w:rFonts w:ascii="Times New Roman" w:hAnsi="Times New Roman" w:eastAsia="仿宋_GB2312" w:cs="Times New Roman"/>
          <w:sz w:val="32"/>
          <w:szCs w:val="32"/>
        </w:rPr>
        <w:t>并按程序报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政府审批后，下达到项目单位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乡村振兴局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5MzdjNTM4MmFiY2VjNWFlMmJiODJkMWRjZjZlYTkifQ=="/>
  </w:docVars>
  <w:rsids>
    <w:rsidRoot w:val="002E7096"/>
    <w:rsid w:val="000230B2"/>
    <w:rsid w:val="000F26E2"/>
    <w:rsid w:val="00157E4A"/>
    <w:rsid w:val="002E7096"/>
    <w:rsid w:val="004C4D61"/>
    <w:rsid w:val="005242BA"/>
    <w:rsid w:val="005406D8"/>
    <w:rsid w:val="005C5E4D"/>
    <w:rsid w:val="00730E85"/>
    <w:rsid w:val="007C4486"/>
    <w:rsid w:val="00B10BCF"/>
    <w:rsid w:val="00DD0F6F"/>
    <w:rsid w:val="00F80351"/>
    <w:rsid w:val="00F90CDB"/>
    <w:rsid w:val="043B5030"/>
    <w:rsid w:val="4E9228A8"/>
    <w:rsid w:val="5E830347"/>
    <w:rsid w:val="7C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40</Words>
  <Characters>233</Characters>
  <Lines>1</Lines>
  <Paragraphs>1</Paragraphs>
  <TotalTime>2</TotalTime>
  <ScaleCrop>false</ScaleCrop>
  <LinksUpToDate>false</LinksUpToDate>
  <CharactersWithSpaces>272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2022-08-15T08:49:00Z</dcterms:created>
  <dc:creator>余天骄</dc:creator>
  <cp:lastModifiedBy>涉农股</cp:lastModifiedBy>
  <dcterms:modified xsi:type="dcterms:W3CDTF">2023-09-13T10:12:22Z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6EC5E424AC894533A22E5FF49B8E8617</vt:lpwstr>
  </property>
</Properties>
</file>