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rPr>
          <w:rFonts w:eastAsia="黑体"/>
          <w:szCs w:val="32"/>
          <w:lang w:val="zh-CN"/>
        </w:rPr>
      </w:pPr>
      <w:r>
        <w:rPr>
          <w:rFonts w:eastAsia="黑体"/>
          <w:szCs w:val="32"/>
          <w:lang w:val="zh-CN"/>
        </w:rPr>
        <w:t>附件</w:t>
      </w:r>
      <w:r>
        <w:rPr>
          <w:rFonts w:eastAsia="黑体"/>
          <w:szCs w:val="32"/>
        </w:rPr>
        <w:t>2</w:t>
      </w:r>
    </w:p>
    <w:p>
      <w:pPr>
        <w:widowControl/>
        <w:spacing w:line="580" w:lineRule="exact"/>
        <w:contextualSpacing/>
        <w:rPr>
          <w:rFonts w:eastAsia="宋体"/>
          <w:b/>
          <w:sz w:val="44"/>
          <w:szCs w:val="44"/>
          <w:shd w:val="clear" w:color="auto" w:fill="FFFFFF"/>
        </w:rPr>
      </w:pPr>
    </w:p>
    <w:p>
      <w:pPr>
        <w:widowControl/>
        <w:spacing w:line="580" w:lineRule="exact"/>
        <w:contextualSpacing/>
        <w:jc w:val="center"/>
        <w:rPr>
          <w:rFonts w:hint="default" w:eastAsia="宋体"/>
          <w:b/>
          <w:sz w:val="44"/>
          <w:szCs w:val="44"/>
          <w:shd w:val="clear" w:color="auto" w:fill="FFFFFF"/>
          <w:lang w:val="en-US" w:eastAsia="zh-CN"/>
        </w:rPr>
      </w:pPr>
      <w:r>
        <w:rPr>
          <w:rFonts w:hint="eastAsia" w:eastAsia="宋体"/>
          <w:b/>
          <w:sz w:val="44"/>
          <w:szCs w:val="44"/>
          <w:shd w:val="clear" w:color="auto" w:fill="FFFFFF"/>
          <w:lang w:val="en-US" w:eastAsia="zh-CN"/>
        </w:rPr>
        <w:t>攀枝花市仁和区退役军人事务局</w:t>
      </w:r>
    </w:p>
    <w:p>
      <w:pPr>
        <w:widowControl/>
        <w:spacing w:line="580" w:lineRule="exact"/>
        <w:contextualSpacing/>
        <w:jc w:val="center"/>
        <w:rPr>
          <w:rFonts w:eastAsia="宋体"/>
          <w:b/>
          <w:sz w:val="44"/>
          <w:szCs w:val="44"/>
          <w:shd w:val="clear" w:color="auto" w:fill="FFFFFF"/>
        </w:rPr>
      </w:pPr>
      <w:r>
        <w:rPr>
          <w:rFonts w:eastAsia="宋体"/>
          <w:b/>
          <w:sz w:val="44"/>
          <w:szCs w:val="44"/>
          <w:shd w:val="clear" w:color="auto" w:fill="FFFFFF"/>
        </w:rPr>
        <w:t>整体支出绩效</w:t>
      </w:r>
      <w:r>
        <w:rPr>
          <w:rFonts w:hint="eastAsia" w:eastAsia="宋体"/>
          <w:b/>
          <w:sz w:val="44"/>
          <w:szCs w:val="44"/>
          <w:shd w:val="clear" w:color="auto" w:fill="FFFFFF"/>
        </w:rPr>
        <w:t>自评报告</w:t>
      </w:r>
    </w:p>
    <w:p>
      <w:pPr>
        <w:widowControl/>
        <w:adjustRightInd w:val="0"/>
        <w:snapToGrid w:val="0"/>
        <w:spacing w:line="580" w:lineRule="exact"/>
        <w:ind w:firstLine="480" w:firstLineChars="200"/>
        <w:contextualSpacing/>
        <w:jc w:val="left"/>
        <w:rPr>
          <w:rFonts w:eastAsia="黑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lang w:val="zh-CN"/>
        </w:rPr>
      </w:pPr>
      <w:r>
        <w:rPr>
          <w:rFonts w:eastAsia="黑体"/>
          <w:color w:val="000000"/>
          <w:kern w:val="0"/>
          <w:szCs w:val="32"/>
          <w:shd w:val="clear" w:color="auto" w:fill="FFFFFF"/>
        </w:rPr>
        <w:t>一、</w:t>
      </w:r>
      <w:r>
        <w:rPr>
          <w:rFonts w:eastAsia="黑体"/>
          <w:color w:val="000000"/>
          <w:kern w:val="0"/>
          <w:szCs w:val="32"/>
          <w:shd w:val="clear" w:color="auto" w:fill="FFFFFF"/>
          <w:lang w:val="zh-CN"/>
        </w:rPr>
        <w:t>部门概况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color w:val="000000"/>
          <w:kern w:val="0"/>
          <w:szCs w:val="32"/>
          <w:shd w:val="clear" w:color="auto" w:fill="FFFFFF"/>
          <w:lang w:val="zh-CN"/>
        </w:rPr>
      </w:pPr>
      <w:r>
        <w:rPr>
          <w:color w:val="000000"/>
          <w:kern w:val="0"/>
          <w:szCs w:val="32"/>
          <w:shd w:val="clear" w:color="auto" w:fill="FFFFFF"/>
          <w:lang w:val="zh-CN"/>
        </w:rPr>
        <w:t>（一）机构组成。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eastAsia="仿宋_GB2312"/>
          <w:color w:val="000000"/>
          <w:kern w:val="0"/>
          <w:szCs w:val="32"/>
          <w:shd w:val="clear" w:color="auto" w:fill="FFFFFF"/>
          <w:lang w:val="en-US" w:eastAsia="zh-CN"/>
        </w:rPr>
      </w:pPr>
      <w:r>
        <w:rPr>
          <w:rFonts w:hint="eastAsia"/>
          <w:color w:val="000000"/>
          <w:kern w:val="0"/>
          <w:szCs w:val="32"/>
          <w:shd w:val="clear" w:color="auto" w:fill="FFFFFF"/>
          <w:lang w:val="en-US" w:eastAsia="zh-CN"/>
        </w:rPr>
        <w:t>仁和区退役军人事务局内设2个职能部门，综合股与优抚股，下属事业单位一个，退役军人服务中心。</w:t>
      </w:r>
    </w:p>
    <w:p>
      <w:pPr>
        <w:widowControl/>
        <w:numPr>
          <w:ilvl w:val="0"/>
          <w:numId w:val="1"/>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机构职能。</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落实退役军人思想政治、管理保障和安置优抚等政策并监督实施，拟订退役军人工作政策并组织实施，褒扬彰显退役军人为党、国家和人民牺牲奉献的精神风范和价值导向。</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contextualSpacing/>
        <w:jc w:val="left"/>
        <w:textAlignment w:val="auto"/>
        <w:rPr>
          <w:color w:val="000000"/>
          <w:kern w:val="0"/>
          <w:szCs w:val="32"/>
          <w:shd w:val="clear" w:color="auto" w:fill="FFFFFF"/>
          <w:lang w:val="zh-CN"/>
        </w:rPr>
      </w:pPr>
      <w:r>
        <w:rPr>
          <w:rFonts w:hint="default" w:ascii="Times New Roman" w:hAnsi="Times New Roman" w:eastAsia="仿宋_GB2312" w:cs="Times New Roman"/>
          <w:sz w:val="32"/>
          <w:szCs w:val="32"/>
        </w:rPr>
        <w:t>负责军队转业干部、复员干部、离休退休干部、退役士兵和无军籍退休退职职工的移交安置和自主择业、就业退役军人服务管理工作。</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contextualSpacing/>
        <w:jc w:val="left"/>
        <w:textAlignment w:val="auto"/>
        <w:rPr>
          <w:color w:val="000000"/>
          <w:kern w:val="0"/>
          <w:szCs w:val="32"/>
          <w:shd w:val="clear" w:color="auto" w:fill="FFFFFF"/>
          <w:lang w:val="zh-CN"/>
        </w:rPr>
      </w:pPr>
      <w:r>
        <w:rPr>
          <w:rFonts w:hint="default" w:ascii="Times New Roman" w:hAnsi="Times New Roman" w:eastAsia="仿宋_GB2312" w:cs="Times New Roman"/>
          <w:sz w:val="32"/>
          <w:szCs w:val="32"/>
        </w:rPr>
        <w:t>组织、指导退役军人教育培训工作，承担退役军人和随军随调家属就业创业扶持工作。</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contextualSpacing/>
        <w:jc w:val="left"/>
        <w:textAlignment w:val="auto"/>
        <w:rPr>
          <w:color w:val="000000"/>
          <w:kern w:val="0"/>
          <w:szCs w:val="32"/>
          <w:shd w:val="clear" w:color="auto" w:fill="FFFFFF"/>
          <w:lang w:val="zh-CN"/>
        </w:rPr>
      </w:pPr>
      <w:r>
        <w:rPr>
          <w:rFonts w:hint="default" w:ascii="Times New Roman" w:hAnsi="Times New Roman" w:eastAsia="仿宋_GB2312" w:cs="Times New Roman"/>
          <w:sz w:val="32"/>
          <w:szCs w:val="32"/>
        </w:rPr>
        <w:t>贯彻执行国家有关退役军人特殊保障政策，拟订有关地方性政策并组织实施。</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contextualSpacing/>
        <w:jc w:val="left"/>
        <w:textAlignment w:val="auto"/>
        <w:rPr>
          <w:color w:val="000000"/>
          <w:kern w:val="0"/>
          <w:szCs w:val="32"/>
          <w:shd w:val="clear" w:color="auto" w:fill="FFFFFF"/>
          <w:lang w:val="zh-CN"/>
        </w:rPr>
      </w:pPr>
      <w:r>
        <w:rPr>
          <w:rFonts w:hint="default" w:ascii="Times New Roman" w:hAnsi="Times New Roman" w:eastAsia="仿宋_GB2312" w:cs="Times New Roman"/>
          <w:sz w:val="32"/>
          <w:szCs w:val="32"/>
        </w:rPr>
        <w:t>组织、协调落实移交地方的离休退休军人、符合条件的其他退役军人和无军籍退休退职职工的住房保障工作，以及退役军人医疗保障、社会保险等待遇保障工作。</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contextualSpacing/>
        <w:jc w:val="left"/>
        <w:textAlignment w:val="auto"/>
        <w:rPr>
          <w:color w:val="000000"/>
          <w:kern w:val="0"/>
          <w:szCs w:val="32"/>
          <w:shd w:val="clear" w:color="auto" w:fill="FFFFFF"/>
          <w:lang w:val="zh-CN"/>
        </w:rPr>
      </w:pPr>
      <w:r>
        <w:rPr>
          <w:rFonts w:hint="default" w:ascii="Times New Roman" w:hAnsi="Times New Roman" w:eastAsia="仿宋_GB2312" w:cs="Times New Roman"/>
          <w:sz w:val="32"/>
          <w:szCs w:val="32"/>
        </w:rPr>
        <w:t>负责伤病残退役军人服务管理和抚恤工作，贯彻执行国家有关退役军人医疗、疗养、养老等机构的规划政策。承担不适宜继续服役的伤病残军人移交安置、退休安置、供养等工作。</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contextualSpacing/>
        <w:jc w:val="left"/>
        <w:textAlignment w:val="auto"/>
        <w:rPr>
          <w:color w:val="000000"/>
          <w:kern w:val="0"/>
          <w:szCs w:val="32"/>
          <w:shd w:val="clear" w:color="auto" w:fill="FFFFFF"/>
          <w:lang w:val="zh-CN"/>
        </w:rPr>
      </w:pPr>
      <w:r>
        <w:rPr>
          <w:rFonts w:hint="default" w:ascii="Times New Roman" w:hAnsi="Times New Roman" w:eastAsia="仿宋_GB2312" w:cs="Times New Roman"/>
          <w:sz w:val="32"/>
          <w:szCs w:val="32"/>
        </w:rPr>
        <w:t>组织、指导拥军优属工作，协调拥政爱民工作，承担现役军人、退役军人、军队文职人员和军属的优待、抚恤等工作。贯彻执行国家有关国民党抗战老兵等有关人员优待政策。</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contextualSpacing/>
        <w:jc w:val="left"/>
        <w:textAlignment w:val="auto"/>
        <w:rPr>
          <w:color w:val="000000"/>
          <w:kern w:val="0"/>
          <w:szCs w:val="32"/>
          <w:shd w:val="clear" w:color="auto" w:fill="FFFFFF"/>
          <w:lang w:val="zh-CN"/>
        </w:rPr>
      </w:pPr>
      <w:r>
        <w:rPr>
          <w:rFonts w:hint="default" w:ascii="Times New Roman" w:hAnsi="Times New Roman" w:eastAsia="仿宋_GB2312" w:cs="Times New Roman"/>
          <w:sz w:val="32"/>
          <w:szCs w:val="32"/>
        </w:rPr>
        <w:t>负责烈士及退役军人荣誉奖励、军人公墓和烈士纪念设施的建设管理、纪念活动等工作，依法承担英雄烈士保护相关工作，审核拟列入全区重点保护单位的烈士纪念建筑物名录，总结表彰和宣扬退役军人、退役军人工作单位和个人先进典型事例。</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contextualSpacing/>
        <w:jc w:val="left"/>
        <w:textAlignment w:val="auto"/>
        <w:rPr>
          <w:color w:val="000000"/>
          <w:kern w:val="0"/>
          <w:szCs w:val="32"/>
          <w:shd w:val="clear" w:color="auto" w:fill="FFFFFF"/>
          <w:lang w:val="zh-CN"/>
        </w:rPr>
      </w:pPr>
      <w:r>
        <w:rPr>
          <w:rFonts w:hint="default" w:ascii="Times New Roman" w:hAnsi="Times New Roman" w:eastAsia="仿宋_GB2312" w:cs="Times New Roman"/>
          <w:sz w:val="32"/>
          <w:szCs w:val="32"/>
        </w:rPr>
        <w:t>指导并监督检查退役军人相关法律法规和政策措施的落实，组织开展退役军人权益维护和有关人员的帮扶援助工作。</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contextualSpacing/>
        <w:jc w:val="left"/>
        <w:textAlignment w:val="auto"/>
        <w:rPr>
          <w:color w:val="000000"/>
          <w:kern w:val="0"/>
          <w:szCs w:val="32"/>
          <w:shd w:val="clear" w:color="auto" w:fill="FFFFFF"/>
          <w:lang w:val="zh-CN"/>
        </w:rPr>
      </w:pPr>
      <w:r>
        <w:rPr>
          <w:rFonts w:hint="default" w:ascii="Times New Roman" w:hAnsi="Times New Roman" w:eastAsia="仿宋_GB2312" w:cs="Times New Roman"/>
          <w:sz w:val="32"/>
          <w:szCs w:val="32"/>
        </w:rPr>
        <w:t>推动建立退役军人事务分级负责和突发事件应急联动机制，组织、指导退役军人综合服务体系建设。配合指导退役军人党建工作。</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contextualSpacing/>
        <w:jc w:val="left"/>
        <w:textAlignment w:val="auto"/>
        <w:rPr>
          <w:color w:val="000000"/>
          <w:kern w:val="0"/>
          <w:szCs w:val="32"/>
          <w:shd w:val="clear" w:color="auto" w:fill="FFFFFF"/>
          <w:lang w:val="zh-CN"/>
        </w:rPr>
      </w:pPr>
      <w:r>
        <w:rPr>
          <w:rFonts w:hint="default" w:ascii="Times New Roman" w:hAnsi="Times New Roman" w:eastAsia="仿宋_GB2312" w:cs="Times New Roman"/>
          <w:sz w:val="32"/>
          <w:szCs w:val="32"/>
        </w:rPr>
        <w:t>负责职责范围内的安全生产和职业健康、生态环境保护、审批服务便民化工作。按照省、市要求和指导，推进相对集中行政许可权改革。</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contextualSpacing/>
        <w:jc w:val="left"/>
        <w:textAlignment w:val="auto"/>
        <w:rPr>
          <w:color w:val="000000"/>
          <w:kern w:val="0"/>
          <w:szCs w:val="32"/>
          <w:shd w:val="clear" w:color="auto" w:fill="FFFFFF"/>
          <w:lang w:val="zh-CN"/>
        </w:rPr>
      </w:pPr>
      <w:r>
        <w:rPr>
          <w:rFonts w:hint="default" w:ascii="Times New Roman" w:hAnsi="Times New Roman" w:eastAsia="仿宋_GB2312" w:cs="Times New Roman"/>
          <w:sz w:val="32"/>
          <w:szCs w:val="32"/>
        </w:rPr>
        <w:t>完成区委、区政府和军方交办的其他任务。</w:t>
      </w:r>
    </w:p>
    <w:p>
      <w:pPr>
        <w:keepNext w:val="0"/>
        <w:keepLines w:val="0"/>
        <w:pageBreakBefore w:val="0"/>
        <w:widowControl/>
        <w:numPr>
          <w:ilvl w:val="0"/>
          <w:numId w:val="2"/>
        </w:numPr>
        <w:kinsoku/>
        <w:wordWrap/>
        <w:overflowPunct/>
        <w:topLinePunct w:val="0"/>
        <w:autoSpaceDE/>
        <w:autoSpaceDN/>
        <w:bidi w:val="0"/>
        <w:adjustRightInd w:val="0"/>
        <w:snapToGrid w:val="0"/>
        <w:spacing w:line="560" w:lineRule="exact"/>
        <w:ind w:firstLine="640" w:firstLineChars="200"/>
        <w:contextualSpacing/>
        <w:jc w:val="left"/>
        <w:textAlignment w:val="auto"/>
        <w:rPr>
          <w:color w:val="000000"/>
          <w:kern w:val="0"/>
          <w:szCs w:val="32"/>
          <w:shd w:val="clear" w:color="auto" w:fill="FFFFFF"/>
          <w:lang w:val="zh-CN"/>
        </w:rPr>
      </w:pPr>
      <w:r>
        <w:rPr>
          <w:rFonts w:hint="default" w:ascii="Times New Roman" w:hAnsi="Times New Roman" w:eastAsia="仿宋_GB2312" w:cs="Times New Roman"/>
          <w:sz w:val="32"/>
          <w:szCs w:val="32"/>
        </w:rPr>
        <w:t>职能转变。加强全区退役军人思想政治工作以及服务保障体系建设，建立健全集中统一、职责清晰的退役军人管理保障机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pPr>
        <w:pStyle w:val="2"/>
        <w:numPr>
          <w:ilvl w:val="0"/>
          <w:numId w:val="0"/>
        </w:numPr>
        <w:rPr>
          <w:lang w:val="zh-CN"/>
        </w:rPr>
      </w:pPr>
    </w:p>
    <w:p>
      <w:pPr>
        <w:widowControl/>
        <w:numPr>
          <w:ilvl w:val="0"/>
          <w:numId w:val="1"/>
        </w:numPr>
        <w:adjustRightInd w:val="0"/>
        <w:snapToGrid w:val="0"/>
        <w:spacing w:line="580" w:lineRule="exact"/>
        <w:ind w:left="0" w:leftChars="0"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人员概况。</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ascii="Times New Roman" w:hAnsi="Times New Roman" w:eastAsia="仿宋_GB2312" w:cs="Times New Roman"/>
          <w:sz w:val="32"/>
          <w:szCs w:val="32"/>
        </w:rPr>
      </w:pPr>
      <w:r>
        <w:rPr>
          <w:rFonts w:hint="eastAsia" w:cs="Times New Roman"/>
          <w:sz w:val="32"/>
          <w:szCs w:val="32"/>
          <w:lang w:val="en-US" w:eastAsia="zh-CN"/>
        </w:rPr>
        <w:t>仁和区退役军人事务局现有</w:t>
      </w:r>
      <w:r>
        <w:rPr>
          <w:rFonts w:hint="default" w:ascii="Times New Roman" w:hAnsi="Times New Roman" w:eastAsia="仿宋_GB2312" w:cs="Times New Roman"/>
          <w:sz w:val="32"/>
          <w:szCs w:val="32"/>
        </w:rPr>
        <w:t>行政编制</w:t>
      </w:r>
      <w:r>
        <w:rPr>
          <w:rFonts w:hint="eastAsia" w:ascii="Times New Roman" w:hAnsi="Times New Roman" w:cs="Times New Roman"/>
          <w:sz w:val="32"/>
          <w:szCs w:val="32"/>
          <w:lang w:val="en-US" w:eastAsia="zh-CN"/>
        </w:rPr>
        <w:t>3</w:t>
      </w:r>
      <w:r>
        <w:rPr>
          <w:rFonts w:hint="default" w:ascii="Times New Roman" w:hAnsi="Times New Roman" w:eastAsia="仿宋_GB2312" w:cs="Times New Roman"/>
          <w:sz w:val="32"/>
          <w:szCs w:val="32"/>
          <w:lang w:val="en-US" w:eastAsia="zh-CN"/>
        </w:rPr>
        <w:t>个</w:t>
      </w:r>
      <w:r>
        <w:rPr>
          <w:rFonts w:hint="default" w:ascii="Times New Roman" w:hAnsi="Times New Roman" w:eastAsia="仿宋_GB2312" w:cs="Times New Roman"/>
          <w:sz w:val="32"/>
          <w:szCs w:val="32"/>
        </w:rPr>
        <w:t>，</w:t>
      </w:r>
      <w:r>
        <w:rPr>
          <w:rFonts w:hint="eastAsia" w:cs="Times New Roman"/>
          <w:sz w:val="32"/>
          <w:szCs w:val="32"/>
          <w:lang w:val="en-US" w:eastAsia="zh-CN"/>
        </w:rPr>
        <w:t>机关工勤1个，</w:t>
      </w:r>
      <w:r>
        <w:rPr>
          <w:rFonts w:hint="default" w:ascii="Times New Roman" w:hAnsi="Times New Roman" w:eastAsia="仿宋_GB2312" w:cs="Times New Roman"/>
          <w:sz w:val="32"/>
          <w:szCs w:val="32"/>
        </w:rPr>
        <w:t>现有工作人员</w:t>
      </w:r>
      <w:r>
        <w:rPr>
          <w:rFonts w:hint="eastAsia" w:cs="Times New Roman"/>
          <w:sz w:val="32"/>
          <w:szCs w:val="32"/>
          <w:lang w:val="en-US" w:eastAsia="zh-CN"/>
        </w:rPr>
        <w:t>5</w:t>
      </w:r>
      <w:r>
        <w:rPr>
          <w:rFonts w:hint="default" w:ascii="Times New Roman" w:hAnsi="Times New Roman" w:eastAsia="仿宋_GB2312" w:cs="Times New Roman"/>
          <w:sz w:val="32"/>
          <w:szCs w:val="32"/>
        </w:rPr>
        <w:t>名</w:t>
      </w:r>
      <w:r>
        <w:rPr>
          <w:rFonts w:hint="eastAsia" w:cs="Times New Roman"/>
          <w:sz w:val="32"/>
          <w:szCs w:val="32"/>
          <w:lang w:eastAsia="zh-CN"/>
        </w:rPr>
        <w:t>。其中：党组书记、局长1名，副局长2名，部（室）领导职数1名，机关工勤1名。</w:t>
      </w:r>
      <w:r>
        <w:rPr>
          <w:rFonts w:hint="default" w:ascii="Times New Roman" w:hAnsi="Times New Roman" w:eastAsia="仿宋_GB2312" w:cs="Times New Roman"/>
          <w:sz w:val="32"/>
          <w:szCs w:val="32"/>
        </w:rPr>
        <w:t>下属事业单位（仁和区退役军人服务中心）事业编制</w:t>
      </w:r>
      <w:r>
        <w:rPr>
          <w:rFonts w:hint="eastAsia" w:cs="Times New Roman"/>
          <w:sz w:val="32"/>
          <w:szCs w:val="32"/>
          <w:lang w:val="en-US" w:eastAsia="zh-CN"/>
        </w:rPr>
        <w:t>5</w:t>
      </w:r>
      <w:r>
        <w:rPr>
          <w:rFonts w:hint="default" w:ascii="Times New Roman" w:hAnsi="Times New Roman" w:eastAsia="仿宋_GB2312" w:cs="Times New Roman"/>
          <w:sz w:val="32"/>
          <w:szCs w:val="32"/>
          <w:lang w:val="en-US" w:eastAsia="zh-CN"/>
        </w:rPr>
        <w:t>个</w:t>
      </w:r>
      <w:r>
        <w:rPr>
          <w:rFonts w:hint="default" w:ascii="Times New Roman" w:hAnsi="Times New Roman" w:eastAsia="仿宋_GB2312" w:cs="Times New Roman"/>
          <w:sz w:val="32"/>
          <w:szCs w:val="32"/>
        </w:rPr>
        <w:t>，现有工作人员</w:t>
      </w:r>
      <w:r>
        <w:rPr>
          <w:rFonts w:hint="eastAsia" w:cs="Times New Roman"/>
          <w:sz w:val="32"/>
          <w:szCs w:val="32"/>
          <w:lang w:val="en-US" w:eastAsia="zh-CN"/>
        </w:rPr>
        <w:t>5</w:t>
      </w:r>
      <w:r>
        <w:rPr>
          <w:rFonts w:hint="default" w:ascii="Times New Roman" w:hAnsi="Times New Roman" w:eastAsia="仿宋_GB2312" w:cs="Times New Roman"/>
          <w:sz w:val="32"/>
          <w:szCs w:val="32"/>
          <w:lang w:val="en-US" w:eastAsia="zh-CN"/>
        </w:rPr>
        <w:t>名</w:t>
      </w:r>
      <w:r>
        <w:rPr>
          <w:rFonts w:hint="default" w:ascii="Times New Roman" w:hAnsi="Times New Roman" w:eastAsia="仿宋_GB2312" w:cs="Times New Roman"/>
          <w:sz w:val="32"/>
          <w:szCs w:val="32"/>
        </w:rPr>
        <w:t>。</w:t>
      </w:r>
    </w:p>
    <w:p>
      <w:pPr>
        <w:pStyle w:val="2"/>
        <w:numPr>
          <w:ilvl w:val="0"/>
          <w:numId w:val="0"/>
        </w:numPr>
        <w:ind w:leftChars="200"/>
        <w:rPr>
          <w:lang w:val="zh-CN"/>
        </w:rPr>
      </w:pP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eastAsia"/>
          <w:color w:val="000000"/>
          <w:kern w:val="0"/>
          <w:szCs w:val="32"/>
          <w:shd w:val="clear" w:color="auto" w:fill="FFFFFF"/>
          <w:lang w:val="en-US" w:eastAsia="zh-CN"/>
        </w:rPr>
      </w:pPr>
      <w:r>
        <w:rPr>
          <w:color w:val="000000"/>
          <w:kern w:val="0"/>
          <w:szCs w:val="32"/>
          <w:shd w:val="clear" w:color="auto" w:fill="FFFFFF"/>
          <w:lang w:val="zh-CN"/>
        </w:rPr>
        <w:t>（一）部门财政资金收入情况。</w:t>
      </w:r>
      <w:r>
        <w:rPr>
          <w:rFonts w:hint="eastAsia"/>
          <w:color w:val="000000"/>
          <w:kern w:val="0"/>
          <w:szCs w:val="32"/>
          <w:shd w:val="clear" w:color="auto" w:fill="FFFFFF"/>
          <w:lang w:val="en-US" w:eastAsia="zh-CN"/>
        </w:rPr>
        <w:t>2023年，区退役军人事务局收到财政拨款2313.55万元，其中：基本支出拨款177.10万元，项目经费拨款2136.45万元。全年预算25857.50万无，其中：年初预算1165.58万元，年中追加预算1419.91万元，年终财政收回指标271.94万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jc w:val="left"/>
        <w:textAlignment w:val="auto"/>
        <w:rPr>
          <w:rFonts w:hint="default" w:eastAsia="仿宋_GB2312"/>
          <w:color w:val="000000"/>
          <w:kern w:val="0"/>
          <w:szCs w:val="32"/>
          <w:shd w:val="clear" w:color="auto" w:fill="FFFFFF"/>
          <w:lang w:val="en-US" w:eastAsia="zh-CN"/>
        </w:rPr>
      </w:pPr>
      <w:r>
        <w:rPr>
          <w:color w:val="000000"/>
          <w:kern w:val="0"/>
          <w:szCs w:val="32"/>
          <w:shd w:val="clear" w:color="auto" w:fill="FFFFFF"/>
          <w:lang w:val="zh-CN"/>
        </w:rPr>
        <w:t>（二）部门财政资金支出情况</w:t>
      </w:r>
      <w:r>
        <w:rPr>
          <w:rFonts w:hint="eastAsia"/>
          <w:color w:val="000000"/>
          <w:kern w:val="0"/>
          <w:szCs w:val="32"/>
          <w:shd w:val="clear" w:color="auto" w:fill="FFFFFF"/>
          <w:lang w:val="zh-CN"/>
        </w:rPr>
        <w:t>。</w:t>
      </w:r>
      <w:r>
        <w:rPr>
          <w:rFonts w:hint="eastAsia"/>
          <w:color w:val="000000"/>
          <w:kern w:val="0"/>
          <w:szCs w:val="32"/>
          <w:shd w:val="clear" w:color="auto" w:fill="FFFFFF"/>
          <w:lang w:val="en-US" w:eastAsia="zh-CN"/>
        </w:rPr>
        <w:t>2023年，区退役军人事务局财政资金支出2313.55万元，其中：基本支出177.10万元（人员经费167.48万元，公用经费9.62万元），项目支出2136.45万元（区级项目经费支出859.88万元，上级财政资金项目支出1276.57万元）。</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三、部门整体预算绩效管理情况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（一）部门预算项目绩效管理。</w:t>
      </w:r>
    </w:p>
    <w:p>
      <w:pPr>
        <w:keepNext w:val="0"/>
        <w:keepLines w:val="0"/>
        <w:pageBreakBefore w:val="0"/>
        <w:widowControl/>
        <w:kinsoku/>
        <w:wordWrap/>
        <w:overflowPunct/>
        <w:topLinePunct w:val="0"/>
        <w:autoSpaceDE/>
        <w:autoSpaceDN/>
        <w:bidi w:val="0"/>
        <w:adjustRightInd w:val="0"/>
        <w:snapToGrid w:val="0"/>
        <w:spacing w:line="560" w:lineRule="exact"/>
        <w:ind w:firstLine="720"/>
        <w:jc w:val="left"/>
        <w:textAlignment w:val="auto"/>
        <w:outlineLvl w:val="9"/>
        <w:rPr>
          <w:rFonts w:hint="eastAsia" w:ascii="仿宋_GB2312" w:hAnsi="宋体"/>
          <w:szCs w:val="32"/>
          <w:lang w:val="en-US" w:eastAsia="zh-CN"/>
        </w:rPr>
      </w:pPr>
      <w:r>
        <w:rPr>
          <w:rFonts w:hint="eastAsia" w:ascii="仿宋_GB2312" w:hAnsi="宋体"/>
          <w:szCs w:val="32"/>
          <w:lang w:val="en-US" w:eastAsia="zh-CN"/>
        </w:rPr>
        <w:t>仁和区退役军人事务局按要求编制了2023年部门预算，含基本支出预算和项目支出预算，基本支出含人员经费和公用经费；部门预算项目支出编制其他运转类项目2个，特定目标类项目18个，其中50万元以上项目5个，基金类项目1个。</w:t>
      </w:r>
    </w:p>
    <w:p>
      <w:pPr>
        <w:keepNext w:val="0"/>
        <w:keepLines w:val="0"/>
        <w:pageBreakBefore w:val="0"/>
        <w:widowControl/>
        <w:kinsoku/>
        <w:wordWrap/>
        <w:overflowPunct/>
        <w:topLinePunct w:val="0"/>
        <w:autoSpaceDE/>
        <w:autoSpaceDN/>
        <w:bidi w:val="0"/>
        <w:adjustRightInd w:val="0"/>
        <w:snapToGrid w:val="0"/>
        <w:spacing w:line="560" w:lineRule="exact"/>
        <w:ind w:firstLine="720"/>
        <w:jc w:val="left"/>
        <w:textAlignment w:val="auto"/>
        <w:outlineLvl w:val="9"/>
        <w:rPr>
          <w:rFonts w:hint="eastAsia" w:ascii="仿宋_GB2312" w:hAnsi="宋体"/>
          <w:szCs w:val="32"/>
          <w:lang w:val="en-US" w:eastAsia="zh-CN"/>
        </w:rPr>
      </w:pPr>
      <w:r>
        <w:rPr>
          <w:rFonts w:hint="eastAsia" w:ascii="仿宋_GB2312" w:hAnsi="宋体"/>
          <w:szCs w:val="32"/>
          <w:lang w:val="en-US" w:eastAsia="zh-CN"/>
        </w:rPr>
        <w:t>具体情况如下：</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720"/>
        <w:jc w:val="left"/>
        <w:textAlignment w:val="auto"/>
        <w:outlineLvl w:val="9"/>
        <w:rPr>
          <w:rFonts w:eastAsia="仿宋_GB2312"/>
          <w:sz w:val="32"/>
          <w:szCs w:val="32"/>
        </w:rPr>
      </w:pPr>
      <w:r>
        <w:rPr>
          <w:rFonts w:hint="eastAsia" w:ascii="仿宋_GB2312" w:hAnsi="宋体"/>
          <w:szCs w:val="32"/>
          <w:lang w:val="en-US" w:eastAsia="zh-CN"/>
        </w:rPr>
        <w:t>人员类。人员类经费预算148.81万元，实际支出167.48万元，追加使用金额18.67万元，主要原因为年中人员职级晋升，调整养老保险缴费基数等等。</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720"/>
        <w:jc w:val="left"/>
        <w:textAlignment w:val="auto"/>
        <w:outlineLvl w:val="9"/>
        <w:rPr>
          <w:rFonts w:eastAsia="仿宋_GB2312"/>
          <w:sz w:val="32"/>
          <w:szCs w:val="32"/>
        </w:rPr>
      </w:pPr>
      <w:r>
        <w:rPr>
          <w:rFonts w:hint="eastAsia" w:ascii="仿宋_GB2312" w:hAnsi="宋体"/>
          <w:szCs w:val="32"/>
          <w:lang w:val="en-US" w:eastAsia="zh-CN"/>
        </w:rPr>
        <w:t>运转类。公用经费预算16.20万元，实际支出9.62万元，主要原因为一是厉行勤俭节约，压减开支；二是财政资金紧张，部分录入支付计划未支付。</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720"/>
        <w:jc w:val="left"/>
        <w:textAlignment w:val="auto"/>
        <w:outlineLvl w:val="9"/>
        <w:rPr>
          <w:rFonts w:eastAsia="仿宋_GB2312"/>
          <w:color w:val="auto"/>
          <w:sz w:val="32"/>
          <w:szCs w:val="32"/>
        </w:rPr>
      </w:pPr>
      <w:r>
        <w:rPr>
          <w:rFonts w:hint="eastAsia" w:ascii="仿宋_GB2312" w:hAnsi="宋体"/>
          <w:color w:val="auto"/>
          <w:szCs w:val="32"/>
          <w:lang w:val="en-US" w:eastAsia="zh-CN"/>
        </w:rPr>
        <w:t>其他运转类。其他运转类项目预算2个，年初预算14.30万元，实际支出5.12万元，主要原因为财政资金紧张，部分录入支付计划暂未支付。</w:t>
      </w:r>
    </w:p>
    <w:p>
      <w:pPr>
        <w:keepNext w:val="0"/>
        <w:keepLines w:val="0"/>
        <w:pageBreakBefore w:val="0"/>
        <w:widowControl/>
        <w:numPr>
          <w:ilvl w:val="0"/>
          <w:numId w:val="3"/>
        </w:numPr>
        <w:kinsoku/>
        <w:wordWrap/>
        <w:overflowPunct/>
        <w:topLinePunct w:val="0"/>
        <w:autoSpaceDE/>
        <w:autoSpaceDN/>
        <w:bidi w:val="0"/>
        <w:adjustRightInd w:val="0"/>
        <w:snapToGrid w:val="0"/>
        <w:spacing w:line="560" w:lineRule="exact"/>
        <w:ind w:firstLine="720"/>
        <w:jc w:val="left"/>
        <w:textAlignment w:val="auto"/>
        <w:outlineLvl w:val="9"/>
        <w:rPr>
          <w:color w:val="auto"/>
          <w:kern w:val="0"/>
          <w:szCs w:val="32"/>
          <w:shd w:val="clear" w:color="auto" w:fill="FFFFFF"/>
          <w:lang w:val="zh-CN"/>
        </w:rPr>
      </w:pPr>
      <w:r>
        <w:rPr>
          <w:rFonts w:hint="eastAsia" w:ascii="仿宋_GB2312" w:hAnsi="宋体"/>
          <w:color w:val="auto"/>
          <w:szCs w:val="32"/>
          <w:lang w:val="en-US" w:eastAsia="zh-CN"/>
        </w:rPr>
        <w:t>特定目标类。特定目标类项目预算18个，年初预算986.28万元，实际支出702.30万元。年中追加区级项目2个，预算金额为152.46万元，实际支出152.46万元。年中追加上级专项项目6个，预算金额为1547.20万元，实际支出1276.57万元。</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ascii="仿宋_GB2312" w:hAnsi="宋体"/>
          <w:szCs w:val="32"/>
          <w:lang w:val="en-US" w:eastAsia="zh-CN"/>
        </w:rPr>
        <w:t>2023年，仁和区退役军人事务局紧紧围绕各项中心工作，突出重点，统筹兼顾，</w:t>
      </w:r>
      <w:r>
        <w:rPr>
          <w:rFonts w:hint="default" w:ascii="Times New Roman" w:hAnsi="Times New Roman" w:eastAsia="仿宋_GB2312" w:cs="Times New Roman"/>
          <w:sz w:val="32"/>
          <w:szCs w:val="32"/>
        </w:rPr>
        <w:t>协调各方力量更好为军人军属服务，维护军人军属合法权益，褒扬彰显退役军人为党、国家和人民牺牲奉献的精神风范和价值导向，</w:t>
      </w:r>
      <w:r>
        <w:rPr>
          <w:rFonts w:hint="eastAsia" w:cs="Times New Roman"/>
          <w:sz w:val="32"/>
          <w:szCs w:val="32"/>
          <w:lang w:val="en-US" w:eastAsia="zh-CN"/>
        </w:rPr>
        <w:t>切实做好退役军人及双拥工作，圆满完成各项任务，达到年初预算各项既定绩效目标。但也存在因政策执行、财政资金紧张等原因，导致部分项目资金执行率低、个别项目因政策原因未执行等问题。</w:t>
      </w:r>
    </w:p>
    <w:p>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firstLine="640" w:firstLineChars="200"/>
        <w:jc w:val="left"/>
        <w:textAlignment w:val="auto"/>
        <w:outlineLvl w:val="9"/>
        <w:rPr>
          <w:rFonts w:hint="default" w:ascii="仿宋_GB2312" w:hAnsi="宋体" w:eastAsia="仿宋_GB2312" w:cs="Times New Roman"/>
          <w:kern w:val="2"/>
          <w:sz w:val="32"/>
          <w:szCs w:val="32"/>
          <w:lang w:val="zh-CN" w:eastAsia="zh-CN" w:bidi="ar-SA"/>
        </w:rPr>
      </w:pPr>
      <w:r>
        <w:rPr>
          <w:color w:val="000000"/>
          <w:kern w:val="0"/>
          <w:szCs w:val="32"/>
          <w:shd w:val="clear" w:color="auto" w:fill="FFFFFF"/>
          <w:lang w:val="zh-CN"/>
        </w:rPr>
        <w:t>结果应用情况。</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rFonts w:hint="eastAsia" w:ascii="Times New Roman" w:hAnsi="Times New Roman" w:cs="Times New Roman"/>
          <w:sz w:val="32"/>
          <w:szCs w:val="32"/>
          <w:lang w:val="en-US" w:eastAsia="zh-CN"/>
        </w:rPr>
        <w:t>2023</w:t>
      </w:r>
      <w:r>
        <w:rPr>
          <w:rFonts w:hint="default" w:ascii="Times New Roman" w:hAnsi="Times New Roman" w:cs="Times New Roman"/>
          <w:sz w:val="32"/>
          <w:szCs w:val="32"/>
          <w:lang w:val="en-US" w:eastAsia="zh-CN"/>
        </w:rPr>
        <w:t>年</w:t>
      </w:r>
      <w:r>
        <w:rPr>
          <w:rFonts w:hint="eastAsia" w:ascii="Times New Roman" w:hAnsi="Times New Roman" w:cs="Times New Roman"/>
          <w:sz w:val="32"/>
          <w:szCs w:val="32"/>
          <w:lang w:val="en-US" w:eastAsia="zh-CN"/>
        </w:rPr>
        <w:t>10月，仁和区退役军人事务局按区财政要求开展了一次</w:t>
      </w:r>
      <w:r>
        <w:rPr>
          <w:rFonts w:hint="default" w:ascii="Times New Roman" w:hAnsi="Times New Roman" w:cs="Times New Roman"/>
          <w:sz w:val="32"/>
          <w:szCs w:val="32"/>
          <w:lang w:val="en-US" w:eastAsia="zh-CN"/>
        </w:rPr>
        <w:t>202</w:t>
      </w:r>
      <w:r>
        <w:rPr>
          <w:rFonts w:hint="eastAsia" w:ascii="Times New Roman" w:hAnsi="Times New Roman" w:cs="Times New Roman"/>
          <w:sz w:val="32"/>
          <w:szCs w:val="32"/>
          <w:lang w:val="en-US" w:eastAsia="zh-CN"/>
        </w:rPr>
        <w:t>3</w:t>
      </w:r>
      <w:r>
        <w:rPr>
          <w:rFonts w:hint="default" w:ascii="Times New Roman" w:hAnsi="Times New Roman" w:cs="Times New Roman"/>
          <w:sz w:val="32"/>
          <w:szCs w:val="32"/>
          <w:lang w:val="en-US" w:eastAsia="zh-CN"/>
        </w:rPr>
        <w:t>年部门年初预算资金、追加的各级财政转金和上年度结余结转资金的预算执行情况、预算调整情况、绩效目标完成情况及实现情况全面开展了绩效监控，对存在问题提出整改措施及建议。对照项目绩效目标及实施方案，按照部门整体支出绩效评价体系和专项预算项目支出绩效评价指标体系内容，进行了严格认真自评，得出自评得分。对绩效自评中发现的问题，将落实责任，确保整改到位。本次自评结果及自评报告（含部门整体支出绩效评价报告和专项预算项目支出绩效自评报告）在规定时间内在仁和区政府门户网站进行公开公示，公开信息真实、完整、准确。</w:t>
      </w:r>
      <w:r>
        <w:rPr>
          <w:rFonts w:hint="eastAsia" w:ascii="Times New Roman" w:hAnsi="Times New Roman" w:cs="Times New Roman"/>
          <w:sz w:val="32"/>
          <w:szCs w:val="32"/>
          <w:lang w:val="en-US" w:eastAsia="zh-CN"/>
        </w:rPr>
        <w:t>评价结果将作为预算安排的重要依据，参照项目年度预算执行情况及项目支出需求，将保障重点支出，调整支出结构，优化财政资金配置，不断强化绩效理念，推动绩效管理水平不断提高。</w:t>
      </w:r>
    </w:p>
    <w:p>
      <w:pPr>
        <w:widowControl/>
        <w:numPr>
          <w:ilvl w:val="0"/>
          <w:numId w:val="5"/>
        </w:numPr>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自评质量</w:t>
      </w:r>
      <w:r>
        <w:rPr>
          <w:rFonts w:hint="eastAsia"/>
          <w:color w:val="000000"/>
          <w:kern w:val="0"/>
          <w:szCs w:val="32"/>
          <w:shd w:val="clear" w:color="auto" w:fill="FFFFFF"/>
          <w:lang w:val="zh-CN"/>
        </w:rPr>
        <w:t>。</w:t>
      </w:r>
    </w:p>
    <w:p>
      <w:pPr>
        <w:pStyle w:val="2"/>
        <w:keepNext w:val="0"/>
        <w:keepLines w:val="0"/>
        <w:pageBreakBefore w:val="0"/>
        <w:widowControl w:val="0"/>
        <w:kinsoku/>
        <w:wordWrap/>
        <w:overflowPunct/>
        <w:topLinePunct w:val="0"/>
        <w:autoSpaceDE/>
        <w:autoSpaceDN/>
        <w:bidi w:val="0"/>
        <w:adjustRightInd/>
        <w:snapToGrid w:val="0"/>
        <w:spacing w:line="560" w:lineRule="exact"/>
        <w:ind w:firstLine="360" w:firstLineChars="200"/>
        <w:textAlignment w:val="auto"/>
        <w:rPr>
          <w:rFonts w:hint="default" w:ascii="仿宋_GB2312" w:hAnsi="宋体" w:eastAsia="仿宋_GB2312" w:cs="Times New Roman"/>
          <w:kern w:val="2"/>
          <w:sz w:val="32"/>
          <w:szCs w:val="32"/>
          <w:lang w:val="en-US" w:eastAsia="zh-CN" w:bidi="ar-SA"/>
        </w:rPr>
      </w:pPr>
      <w:r>
        <w:rPr>
          <w:color w:val="000000"/>
          <w:kern w:val="0"/>
          <w:szCs w:val="32"/>
          <w:shd w:val="clear" w:color="auto" w:fill="FFFFFF"/>
        </w:rPr>
        <w:t xml:space="preserve">  </w:t>
      </w:r>
      <w:r>
        <w:rPr>
          <w:rFonts w:hint="eastAsia" w:ascii="仿宋_GB2312" w:hAnsi="宋体" w:eastAsia="仿宋_GB2312" w:cs="Times New Roman"/>
          <w:kern w:val="2"/>
          <w:sz w:val="32"/>
          <w:szCs w:val="32"/>
          <w:lang w:val="en-US" w:eastAsia="zh-CN" w:bidi="ar-SA"/>
        </w:rPr>
        <w:t>仁和区退役军人事务局在2023年年度绩效自评中，认真落实预算绩效评价主体责任，对50万元（含）以上的特定目标类部门预算项目绩效目标完成情况进行自评，对包括直达资金在内的所有专项项目开展绩效自评，实现专项项目自评全覆盖，并细化财务部门和业务科室对项目自评的责任分工，做到客观、真实反映专项项目财政资金绩效情况。其中7项专项资金涉密，不予公开。</w:t>
      </w:r>
    </w:p>
    <w:p>
      <w:pPr>
        <w:widowControl/>
        <w:adjustRightInd w:val="0"/>
        <w:snapToGrid w:val="0"/>
        <w:spacing w:line="580" w:lineRule="exact"/>
        <w:ind w:firstLine="640" w:firstLineChars="200"/>
        <w:contextualSpacing/>
        <w:jc w:val="left"/>
        <w:rPr>
          <w:rFonts w:eastAsia="黑体"/>
          <w:color w:val="000000"/>
          <w:kern w:val="0"/>
          <w:szCs w:val="32"/>
          <w:shd w:val="clear" w:color="auto" w:fill="FFFFFF"/>
        </w:rPr>
      </w:pPr>
      <w:r>
        <w:rPr>
          <w:rFonts w:eastAsia="黑体"/>
          <w:color w:val="000000"/>
          <w:kern w:val="0"/>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color w:val="000000"/>
          <w:kern w:val="0"/>
          <w:szCs w:val="32"/>
          <w:shd w:val="clear" w:color="auto" w:fill="FFFFFF"/>
          <w:lang w:val="en-US" w:eastAsia="zh-CN"/>
        </w:rPr>
      </w:pPr>
      <w:r>
        <w:rPr>
          <w:color w:val="000000"/>
          <w:kern w:val="0"/>
          <w:szCs w:val="32"/>
          <w:shd w:val="clear" w:color="auto" w:fill="FFFFFF"/>
          <w:lang w:val="zh-CN"/>
        </w:rPr>
        <w:t>（一）评价结论。</w:t>
      </w:r>
      <w:r>
        <w:rPr>
          <w:rFonts w:hint="eastAsia"/>
          <w:color w:val="000000"/>
          <w:kern w:val="0"/>
          <w:szCs w:val="32"/>
          <w:shd w:val="clear" w:color="auto" w:fill="FFFFFF"/>
          <w:lang w:val="en-US" w:eastAsia="zh-CN"/>
        </w:rPr>
        <w:t>通过自评，仁和区退役军人事务局2023年部门整体支出绩效评价得分91.5分（详见附件1），专项预算项目支出绩效评价得分92分。2023年，区退役军人事务局围绕基本职能和工作目标任务，完成年内项目组织管理任务，做好各类项目执行的全过程监督管理工作，</w:t>
      </w:r>
      <w:bookmarkStart w:id="0" w:name="_GoBack"/>
      <w:bookmarkEnd w:id="0"/>
      <w:r>
        <w:rPr>
          <w:rFonts w:hint="eastAsia"/>
          <w:color w:val="000000"/>
          <w:kern w:val="0"/>
          <w:szCs w:val="32"/>
          <w:shd w:val="clear" w:color="auto" w:fill="FFFFFF"/>
          <w:lang w:val="en-US" w:eastAsia="zh-CN"/>
        </w:rPr>
        <w:t>确保各类项目按计划有效实施。通过项目的实施，确保了资金使用效率，保障了各项工作进展顺利，达到了预算绩效目标。</w:t>
      </w:r>
    </w:p>
    <w:p>
      <w:pPr>
        <w:widowControl/>
        <w:adjustRightInd w:val="0"/>
        <w:snapToGrid w:val="0"/>
        <w:spacing w:line="580" w:lineRule="exact"/>
        <w:ind w:firstLine="640" w:firstLineChars="200"/>
        <w:contextualSpacing/>
        <w:jc w:val="left"/>
        <w:rPr>
          <w:color w:val="000000"/>
          <w:kern w:val="0"/>
          <w:szCs w:val="32"/>
          <w:shd w:val="clear" w:color="auto" w:fill="FFFFFF"/>
          <w:lang w:val="zh-CN"/>
        </w:rPr>
      </w:pPr>
      <w:r>
        <w:rPr>
          <w:color w:val="000000"/>
          <w:kern w:val="0"/>
          <w:szCs w:val="32"/>
          <w:shd w:val="clear" w:color="auto" w:fill="FFFFFF"/>
          <w:lang w:val="zh-CN"/>
        </w:rPr>
        <w:t>（二）存在问题。</w:t>
      </w:r>
    </w:p>
    <w:p>
      <w:pPr>
        <w:widowControl/>
        <w:adjustRightInd w:val="0"/>
        <w:snapToGrid w:val="0"/>
        <w:spacing w:line="580" w:lineRule="exact"/>
        <w:ind w:firstLine="640" w:firstLineChars="200"/>
        <w:contextualSpacing/>
        <w:jc w:val="left"/>
        <w:rPr>
          <w:rFonts w:hint="eastAsia"/>
          <w:lang w:val="en-US" w:eastAsia="zh-CN"/>
        </w:rPr>
      </w:pPr>
      <w:r>
        <w:rPr>
          <w:rFonts w:hint="eastAsia"/>
          <w:color w:val="000000"/>
          <w:kern w:val="0"/>
          <w:szCs w:val="32"/>
          <w:shd w:val="clear" w:color="auto" w:fill="FFFFFF"/>
          <w:lang w:val="en-US" w:eastAsia="zh-CN"/>
        </w:rPr>
        <w:t>1.绩效目标管理意识有待加强。</w:t>
      </w:r>
    </w:p>
    <w:p>
      <w:pPr>
        <w:widowControl/>
        <w:adjustRightInd w:val="0"/>
        <w:snapToGrid w:val="0"/>
        <w:spacing w:line="580" w:lineRule="exact"/>
        <w:ind w:firstLine="640" w:firstLineChars="200"/>
        <w:contextualSpacing/>
        <w:jc w:val="left"/>
        <w:rPr>
          <w:rFonts w:ascii="微软雅黑" w:hAnsi="微软雅黑" w:eastAsia="微软雅黑" w:cs="微软雅黑"/>
          <w:i w:val="0"/>
          <w:iCs w:val="0"/>
          <w:caps w:val="0"/>
          <w:color w:val="333333"/>
          <w:spacing w:val="0"/>
          <w:sz w:val="24"/>
          <w:szCs w:val="24"/>
        </w:rPr>
      </w:pPr>
      <w:r>
        <w:rPr>
          <w:rFonts w:hint="eastAsia"/>
          <w:lang w:val="en-US" w:eastAsia="zh-CN"/>
        </w:rPr>
        <w:t>2.因财政保障困难及政策落实特定性，部分专项项目执行率较低，个别项目2023年执行不到位。</w:t>
      </w:r>
    </w:p>
    <w:p>
      <w:pPr>
        <w:widowControl/>
        <w:numPr>
          <w:ilvl w:val="0"/>
          <w:numId w:val="0"/>
        </w:numPr>
        <w:adjustRightInd w:val="0"/>
        <w:snapToGrid w:val="0"/>
        <w:spacing w:line="580" w:lineRule="exact"/>
        <w:ind w:firstLine="960" w:firstLineChars="300"/>
        <w:contextualSpacing/>
        <w:jc w:val="left"/>
        <w:rPr>
          <w:color w:val="000000"/>
          <w:kern w:val="0"/>
          <w:szCs w:val="32"/>
          <w:shd w:val="clear" w:color="auto" w:fill="FFFFFF"/>
          <w:lang w:val="zh-CN"/>
        </w:rPr>
      </w:pPr>
      <w:r>
        <w:rPr>
          <w:color w:val="000000"/>
          <w:kern w:val="0"/>
          <w:szCs w:val="32"/>
          <w:shd w:val="clear" w:color="auto" w:fill="FFFFFF"/>
          <w:lang w:val="zh-CN"/>
        </w:rPr>
        <w:t>（三）改进建议。</w:t>
      </w:r>
    </w:p>
    <w:p>
      <w:pPr>
        <w:widowControl/>
        <w:adjustRightInd w:val="0"/>
        <w:snapToGrid w:val="0"/>
        <w:spacing w:line="580" w:lineRule="exact"/>
        <w:ind w:firstLine="640" w:firstLineChars="200"/>
        <w:contextualSpacing/>
        <w:jc w:val="left"/>
        <w:rPr>
          <w:rFonts w:hint="eastAsia" w:ascii="Times New Roman" w:hAnsi="Times New Roman" w:cs="Times New Roman"/>
          <w:color w:val="000000"/>
          <w:kern w:val="0"/>
          <w:szCs w:val="32"/>
          <w:shd w:val="clear" w:color="auto" w:fill="FFFFFF"/>
          <w:lang w:val="en-US" w:eastAsia="zh-CN"/>
        </w:rPr>
      </w:pPr>
      <w:r>
        <w:rPr>
          <w:rFonts w:hint="eastAsia" w:ascii="Times New Roman" w:hAnsi="Times New Roman" w:cs="Times New Roman"/>
          <w:color w:val="000000"/>
          <w:kern w:val="0"/>
          <w:szCs w:val="32"/>
          <w:shd w:val="clear" w:color="auto" w:fill="FFFFFF"/>
          <w:lang w:val="en-US" w:eastAsia="zh-CN"/>
        </w:rPr>
        <w:t>1.加强《预算法》《绩效管理实施办法》及会计制度的学习，提高理论水平和业务水平，进一步科学设定绩效目标，提高预算编制的准确性，加强预算执行管理。全面实施预算绩效管理，牢固树立“花钱必问效，无效必问责”的意识。</w:t>
      </w:r>
    </w:p>
    <w:p>
      <w:pPr>
        <w:widowControl/>
        <w:adjustRightInd w:val="0"/>
        <w:snapToGrid w:val="0"/>
        <w:spacing w:line="580" w:lineRule="exact"/>
        <w:ind w:firstLine="640" w:firstLineChars="200"/>
        <w:contextualSpacing/>
        <w:jc w:val="left"/>
        <w:rPr>
          <w:rFonts w:hint="eastAsia" w:ascii="Times New Roman" w:hAnsi="Times New Roman" w:cs="Times New Roman"/>
          <w:color w:val="000000"/>
          <w:kern w:val="0"/>
          <w:szCs w:val="32"/>
          <w:shd w:val="clear" w:color="auto" w:fill="FFFFFF"/>
          <w:lang w:val="en-US" w:eastAsia="zh-CN"/>
        </w:rPr>
      </w:pPr>
      <w:r>
        <w:rPr>
          <w:rFonts w:hint="eastAsia" w:ascii="Times New Roman" w:hAnsi="Times New Roman" w:cs="Times New Roman"/>
          <w:color w:val="000000"/>
          <w:kern w:val="0"/>
          <w:szCs w:val="32"/>
          <w:shd w:val="clear" w:color="auto" w:fill="FFFFFF"/>
          <w:lang w:val="en-US" w:eastAsia="zh-CN"/>
        </w:rPr>
        <w:t>2.加强预算资金动态管理，积极争取财政资金支持，确保已完成项目的资金支付，提高资金使用效益。</w:t>
      </w:r>
    </w:p>
    <w:p>
      <w:pPr>
        <w:pStyle w:val="2"/>
        <w:rPr>
          <w:rFonts w:hint="eastAsia" w:ascii="Times New Roman" w:hAnsi="Times New Roman" w:cs="Times New Roman"/>
          <w:color w:val="000000"/>
          <w:kern w:val="0"/>
          <w:szCs w:val="32"/>
          <w:shd w:val="clear" w:color="auto" w:fill="FFFFFF"/>
          <w:lang w:val="en-US" w:eastAsia="zh-CN"/>
        </w:rPr>
      </w:pPr>
    </w:p>
    <w:p>
      <w:pPr>
        <w:pStyle w:val="2"/>
        <w:rPr>
          <w:rFonts w:hint="eastAsia" w:ascii="Times New Roman" w:hAnsi="Times New Roman" w:cs="Times New Roman"/>
          <w:color w:val="000000"/>
          <w:kern w:val="0"/>
          <w:szCs w:val="32"/>
          <w:shd w:val="clear" w:color="auto" w:fill="FFFFFF"/>
          <w:lang w:val="en-US" w:eastAsia="zh-CN"/>
        </w:rPr>
      </w:pPr>
    </w:p>
    <w:p>
      <w:pPr>
        <w:pStyle w:val="2"/>
        <w:rPr>
          <w:rFonts w:hint="eastAsia" w:ascii="Times New Roman" w:hAnsi="Times New Roman" w:cs="Times New Roman"/>
          <w:color w:val="000000"/>
          <w:kern w:val="0"/>
          <w:szCs w:val="32"/>
          <w:shd w:val="clear" w:color="auto" w:fill="FFFFFF"/>
          <w:lang w:val="en-US" w:eastAsia="zh-CN"/>
        </w:rPr>
      </w:pPr>
    </w:p>
    <w:p>
      <w:pPr>
        <w:pStyle w:val="2"/>
        <w:rPr>
          <w:rFonts w:hint="eastAsia" w:ascii="Times New Roman" w:hAnsi="Times New Roman" w:cs="Times New Roman"/>
          <w:color w:val="000000"/>
          <w:kern w:val="0"/>
          <w:szCs w:val="32"/>
          <w:shd w:val="clear" w:color="auto" w:fill="FFFFFF"/>
          <w:lang w:val="en-US" w:eastAsia="zh-CN"/>
        </w:rPr>
      </w:pPr>
    </w:p>
    <w:p>
      <w:pPr>
        <w:widowControl/>
        <w:adjustRightInd w:val="0"/>
        <w:snapToGrid w:val="0"/>
        <w:spacing w:line="580" w:lineRule="exact"/>
        <w:ind w:firstLine="640" w:firstLineChars="200"/>
        <w:contextualSpacing/>
        <w:jc w:val="right"/>
        <w:rPr>
          <w:rFonts w:hint="eastAsia"/>
          <w:color w:val="000000"/>
          <w:kern w:val="0"/>
          <w:szCs w:val="32"/>
          <w:shd w:val="clear" w:color="auto" w:fill="FFFFFF"/>
          <w:lang w:val="en-US" w:eastAsia="zh-CN"/>
        </w:rPr>
      </w:pPr>
      <w:r>
        <w:rPr>
          <w:rFonts w:hint="eastAsia"/>
          <w:color w:val="000000"/>
          <w:kern w:val="0"/>
          <w:szCs w:val="32"/>
          <w:shd w:val="clear" w:color="auto" w:fill="FFFFFF"/>
          <w:lang w:val="en-US" w:eastAsia="zh-CN"/>
        </w:rPr>
        <w:t>攀枝花市仁和区退役军人事务局</w:t>
      </w:r>
    </w:p>
    <w:p>
      <w:pPr>
        <w:widowControl/>
        <w:adjustRightInd w:val="0"/>
        <w:snapToGrid w:val="0"/>
        <w:spacing w:line="580" w:lineRule="exact"/>
        <w:ind w:firstLine="640" w:firstLineChars="200"/>
        <w:contextualSpacing/>
        <w:jc w:val="center"/>
        <w:rPr>
          <w:color w:val="000000"/>
          <w:kern w:val="0"/>
          <w:szCs w:val="32"/>
          <w:shd w:val="clear" w:color="auto" w:fill="FFFFFF"/>
          <w:lang w:val="zh-CN"/>
        </w:rPr>
      </w:pPr>
      <w:r>
        <w:rPr>
          <w:rFonts w:hint="eastAsia"/>
          <w:color w:val="000000"/>
          <w:kern w:val="0"/>
          <w:szCs w:val="32"/>
          <w:shd w:val="clear" w:color="auto" w:fill="FFFFFF"/>
          <w:lang w:val="en-US" w:eastAsia="zh-CN"/>
        </w:rPr>
        <w:t xml:space="preserve">                      2024年5月17日</w:t>
      </w:r>
    </w:p>
    <w:sectPr>
      <w:headerReference r:id="rId3" w:type="default"/>
      <w:footerReference r:id="rId4" w:type="even"/>
      <w:pgSz w:w="11906" w:h="16838"/>
      <w:pgMar w:top="907" w:right="1361" w:bottom="851" w:left="1361" w:header="851" w:footer="992" w:gutter="0"/>
      <w:pgNumType w:fmt="numberInDash" w:start="12"/>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0831518"/>
    </w:sdtPr>
    <w:sdtContent>
      <w:p>
        <w:pPr>
          <w:pStyle w:val="2"/>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12 -</w:t>
        </w:r>
        <w:r>
          <w:rPr>
            <w:rFonts w:asciiTheme="minorEastAsia" w:hAnsiTheme="minorEastAsia" w:eastAsiaTheme="minorEastAsia"/>
            <w:sz w:val="28"/>
            <w:szCs w:val="28"/>
          </w:rPr>
          <w:fldChar w:fldCharType="end"/>
        </w:r>
      </w:p>
    </w:sdtContent>
  </w:sdt>
  <w:p>
    <w:pPr>
      <w:pStyle w:val="2"/>
      <w:tabs>
        <w:tab w:val="right" w:pos="9184"/>
        <w:tab w:val="clear" w:pos="4153"/>
        <w:tab w:val="clear" w:pos="8306"/>
      </w:tabs>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2090F"/>
    <w:multiLevelType w:val="singleLevel"/>
    <w:tmpl w:val="81D2090F"/>
    <w:lvl w:ilvl="0" w:tentative="0">
      <w:start w:val="1"/>
      <w:numFmt w:val="decimal"/>
      <w:lvlText w:val="%1."/>
      <w:lvlJc w:val="left"/>
      <w:pPr>
        <w:tabs>
          <w:tab w:val="left" w:pos="312"/>
        </w:tabs>
      </w:pPr>
    </w:lvl>
  </w:abstractNum>
  <w:abstractNum w:abstractNumId="1">
    <w:nsid w:val="9794F185"/>
    <w:multiLevelType w:val="singleLevel"/>
    <w:tmpl w:val="9794F185"/>
    <w:lvl w:ilvl="0" w:tentative="0">
      <w:start w:val="2"/>
      <w:numFmt w:val="chineseCounting"/>
      <w:suff w:val="nothing"/>
      <w:lvlText w:val="（%1）"/>
      <w:lvlJc w:val="left"/>
      <w:rPr>
        <w:rFonts w:hint="eastAsia"/>
      </w:rPr>
    </w:lvl>
  </w:abstractNum>
  <w:abstractNum w:abstractNumId="2">
    <w:nsid w:val="EFB9558C"/>
    <w:multiLevelType w:val="singleLevel"/>
    <w:tmpl w:val="EFB9558C"/>
    <w:lvl w:ilvl="0" w:tentative="0">
      <w:start w:val="1"/>
      <w:numFmt w:val="decimal"/>
      <w:lvlText w:val="%1."/>
      <w:lvlJc w:val="left"/>
      <w:pPr>
        <w:tabs>
          <w:tab w:val="left" w:pos="312"/>
        </w:tabs>
      </w:pPr>
    </w:lvl>
  </w:abstractNum>
  <w:abstractNum w:abstractNumId="3">
    <w:nsid w:val="31221047"/>
    <w:multiLevelType w:val="singleLevel"/>
    <w:tmpl w:val="31221047"/>
    <w:lvl w:ilvl="0" w:tentative="0">
      <w:start w:val="2"/>
      <w:numFmt w:val="chineseCounting"/>
      <w:suff w:val="nothing"/>
      <w:lvlText w:val="（%1）"/>
      <w:lvlJc w:val="left"/>
      <w:rPr>
        <w:rFonts w:hint="eastAsia"/>
      </w:rPr>
    </w:lvl>
  </w:abstractNum>
  <w:abstractNum w:abstractNumId="4">
    <w:nsid w:val="3E794925"/>
    <w:multiLevelType w:val="singleLevel"/>
    <w:tmpl w:val="3E794925"/>
    <w:lvl w:ilvl="0" w:tentative="0">
      <w:start w:val="3"/>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174"/>
    <w:rsid w:val="00006E4D"/>
    <w:rsid w:val="00021652"/>
    <w:rsid w:val="00024616"/>
    <w:rsid w:val="00030311"/>
    <w:rsid w:val="00030782"/>
    <w:rsid w:val="00030B66"/>
    <w:rsid w:val="0006102A"/>
    <w:rsid w:val="00065B0F"/>
    <w:rsid w:val="00065E7E"/>
    <w:rsid w:val="000820BB"/>
    <w:rsid w:val="0008241B"/>
    <w:rsid w:val="00092280"/>
    <w:rsid w:val="00097FAE"/>
    <w:rsid w:val="000A3233"/>
    <w:rsid w:val="000A7CE3"/>
    <w:rsid w:val="000B04D6"/>
    <w:rsid w:val="000B15CE"/>
    <w:rsid w:val="000C40C6"/>
    <w:rsid w:val="000C79C1"/>
    <w:rsid w:val="000D18F4"/>
    <w:rsid w:val="000D208A"/>
    <w:rsid w:val="000E037E"/>
    <w:rsid w:val="000F659A"/>
    <w:rsid w:val="000F77B0"/>
    <w:rsid w:val="0010235D"/>
    <w:rsid w:val="00103A47"/>
    <w:rsid w:val="001057DF"/>
    <w:rsid w:val="00106D4D"/>
    <w:rsid w:val="001119A2"/>
    <w:rsid w:val="001221D6"/>
    <w:rsid w:val="0012510A"/>
    <w:rsid w:val="00125F67"/>
    <w:rsid w:val="001261AE"/>
    <w:rsid w:val="001348A4"/>
    <w:rsid w:val="0014117C"/>
    <w:rsid w:val="00146FE8"/>
    <w:rsid w:val="0014767B"/>
    <w:rsid w:val="00147AED"/>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5F37"/>
    <w:rsid w:val="00236EF7"/>
    <w:rsid w:val="0024058A"/>
    <w:rsid w:val="002410C0"/>
    <w:rsid w:val="00252894"/>
    <w:rsid w:val="00253FA6"/>
    <w:rsid w:val="00254728"/>
    <w:rsid w:val="002550E7"/>
    <w:rsid w:val="002558D4"/>
    <w:rsid w:val="002560E2"/>
    <w:rsid w:val="00264CFA"/>
    <w:rsid w:val="00270DD7"/>
    <w:rsid w:val="00274AB4"/>
    <w:rsid w:val="00276F4A"/>
    <w:rsid w:val="00280BFB"/>
    <w:rsid w:val="00280C88"/>
    <w:rsid w:val="002973A4"/>
    <w:rsid w:val="002A0195"/>
    <w:rsid w:val="002B5B34"/>
    <w:rsid w:val="002B6906"/>
    <w:rsid w:val="002B7215"/>
    <w:rsid w:val="002C0AFD"/>
    <w:rsid w:val="002C59D0"/>
    <w:rsid w:val="002D1A18"/>
    <w:rsid w:val="002D39A8"/>
    <w:rsid w:val="002D6C79"/>
    <w:rsid w:val="002E09F1"/>
    <w:rsid w:val="002E1104"/>
    <w:rsid w:val="002E3FDD"/>
    <w:rsid w:val="00300EF4"/>
    <w:rsid w:val="00301353"/>
    <w:rsid w:val="00305FF6"/>
    <w:rsid w:val="00307568"/>
    <w:rsid w:val="00311506"/>
    <w:rsid w:val="00316ADB"/>
    <w:rsid w:val="00317623"/>
    <w:rsid w:val="00335F67"/>
    <w:rsid w:val="003361E9"/>
    <w:rsid w:val="00350A65"/>
    <w:rsid w:val="00361C85"/>
    <w:rsid w:val="00371352"/>
    <w:rsid w:val="00376753"/>
    <w:rsid w:val="0038541D"/>
    <w:rsid w:val="00387818"/>
    <w:rsid w:val="00391A13"/>
    <w:rsid w:val="00391FD0"/>
    <w:rsid w:val="003A1D70"/>
    <w:rsid w:val="003A44FC"/>
    <w:rsid w:val="003B3299"/>
    <w:rsid w:val="003D10A2"/>
    <w:rsid w:val="003D33B8"/>
    <w:rsid w:val="003D624D"/>
    <w:rsid w:val="003D719A"/>
    <w:rsid w:val="003F5EB7"/>
    <w:rsid w:val="003F7FE2"/>
    <w:rsid w:val="004004E7"/>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E752F"/>
    <w:rsid w:val="004F1E37"/>
    <w:rsid w:val="00515198"/>
    <w:rsid w:val="00521C44"/>
    <w:rsid w:val="005274E1"/>
    <w:rsid w:val="00531DDF"/>
    <w:rsid w:val="00535FA6"/>
    <w:rsid w:val="00542AB7"/>
    <w:rsid w:val="0055358D"/>
    <w:rsid w:val="005540C8"/>
    <w:rsid w:val="00555809"/>
    <w:rsid w:val="00562165"/>
    <w:rsid w:val="005756AF"/>
    <w:rsid w:val="00575A4A"/>
    <w:rsid w:val="00591B6F"/>
    <w:rsid w:val="005A1DAF"/>
    <w:rsid w:val="005C17C8"/>
    <w:rsid w:val="005C2098"/>
    <w:rsid w:val="005C2E6C"/>
    <w:rsid w:val="005D0CCF"/>
    <w:rsid w:val="005D1C01"/>
    <w:rsid w:val="005E297D"/>
    <w:rsid w:val="005E3F12"/>
    <w:rsid w:val="005F627E"/>
    <w:rsid w:val="0061652E"/>
    <w:rsid w:val="006205E9"/>
    <w:rsid w:val="00622D0B"/>
    <w:rsid w:val="006270DA"/>
    <w:rsid w:val="00630B75"/>
    <w:rsid w:val="0063102F"/>
    <w:rsid w:val="00634DFF"/>
    <w:rsid w:val="00635337"/>
    <w:rsid w:val="0064265B"/>
    <w:rsid w:val="0064519C"/>
    <w:rsid w:val="0065082E"/>
    <w:rsid w:val="006512D0"/>
    <w:rsid w:val="006560A3"/>
    <w:rsid w:val="00656301"/>
    <w:rsid w:val="006600C9"/>
    <w:rsid w:val="006664F1"/>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732A1"/>
    <w:rsid w:val="00774C4A"/>
    <w:rsid w:val="00782BBB"/>
    <w:rsid w:val="00792479"/>
    <w:rsid w:val="007A0690"/>
    <w:rsid w:val="007A078F"/>
    <w:rsid w:val="007B34D4"/>
    <w:rsid w:val="007C0633"/>
    <w:rsid w:val="007D086C"/>
    <w:rsid w:val="007F1BE1"/>
    <w:rsid w:val="007F4463"/>
    <w:rsid w:val="007F707F"/>
    <w:rsid w:val="007F794C"/>
    <w:rsid w:val="007F7AC9"/>
    <w:rsid w:val="00803B42"/>
    <w:rsid w:val="008073EF"/>
    <w:rsid w:val="0081095C"/>
    <w:rsid w:val="00810C41"/>
    <w:rsid w:val="008212FF"/>
    <w:rsid w:val="0082593B"/>
    <w:rsid w:val="00827537"/>
    <w:rsid w:val="008468EA"/>
    <w:rsid w:val="00867140"/>
    <w:rsid w:val="00881134"/>
    <w:rsid w:val="008904F0"/>
    <w:rsid w:val="008961DA"/>
    <w:rsid w:val="008B2F27"/>
    <w:rsid w:val="008B4A72"/>
    <w:rsid w:val="008B585E"/>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A0E5F"/>
    <w:rsid w:val="009F1AF3"/>
    <w:rsid w:val="009F233E"/>
    <w:rsid w:val="00A024AB"/>
    <w:rsid w:val="00A050A5"/>
    <w:rsid w:val="00A05B8B"/>
    <w:rsid w:val="00A1372F"/>
    <w:rsid w:val="00A170EC"/>
    <w:rsid w:val="00A217B3"/>
    <w:rsid w:val="00A23D04"/>
    <w:rsid w:val="00A277D9"/>
    <w:rsid w:val="00A30CEB"/>
    <w:rsid w:val="00A31318"/>
    <w:rsid w:val="00A503AD"/>
    <w:rsid w:val="00A5432A"/>
    <w:rsid w:val="00A55F8A"/>
    <w:rsid w:val="00A9670E"/>
    <w:rsid w:val="00AA1423"/>
    <w:rsid w:val="00AB7996"/>
    <w:rsid w:val="00AC43C3"/>
    <w:rsid w:val="00AE2EAD"/>
    <w:rsid w:val="00AF77BE"/>
    <w:rsid w:val="00B11CEE"/>
    <w:rsid w:val="00B23428"/>
    <w:rsid w:val="00B264BF"/>
    <w:rsid w:val="00B3387B"/>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E0305"/>
    <w:rsid w:val="00BF15F0"/>
    <w:rsid w:val="00BF7DF9"/>
    <w:rsid w:val="00C03559"/>
    <w:rsid w:val="00C05395"/>
    <w:rsid w:val="00C22AD7"/>
    <w:rsid w:val="00C272C1"/>
    <w:rsid w:val="00C32A68"/>
    <w:rsid w:val="00C34282"/>
    <w:rsid w:val="00C35350"/>
    <w:rsid w:val="00C3564B"/>
    <w:rsid w:val="00C42B49"/>
    <w:rsid w:val="00C53721"/>
    <w:rsid w:val="00C64D2E"/>
    <w:rsid w:val="00C70F97"/>
    <w:rsid w:val="00C7497C"/>
    <w:rsid w:val="00C757A2"/>
    <w:rsid w:val="00C75966"/>
    <w:rsid w:val="00C76577"/>
    <w:rsid w:val="00C80225"/>
    <w:rsid w:val="00C80B66"/>
    <w:rsid w:val="00C81349"/>
    <w:rsid w:val="00C93139"/>
    <w:rsid w:val="00CA08A0"/>
    <w:rsid w:val="00CA32D2"/>
    <w:rsid w:val="00CA4E07"/>
    <w:rsid w:val="00CA737D"/>
    <w:rsid w:val="00CB1EF5"/>
    <w:rsid w:val="00CC05D4"/>
    <w:rsid w:val="00CC7166"/>
    <w:rsid w:val="00CF5275"/>
    <w:rsid w:val="00CF6136"/>
    <w:rsid w:val="00D0023D"/>
    <w:rsid w:val="00D00418"/>
    <w:rsid w:val="00D006C6"/>
    <w:rsid w:val="00D14A65"/>
    <w:rsid w:val="00D162B9"/>
    <w:rsid w:val="00D22932"/>
    <w:rsid w:val="00D251E2"/>
    <w:rsid w:val="00D254F4"/>
    <w:rsid w:val="00D263A7"/>
    <w:rsid w:val="00D26B5D"/>
    <w:rsid w:val="00D33159"/>
    <w:rsid w:val="00D33A19"/>
    <w:rsid w:val="00D355B5"/>
    <w:rsid w:val="00D43DC3"/>
    <w:rsid w:val="00D51791"/>
    <w:rsid w:val="00D5281E"/>
    <w:rsid w:val="00D6531B"/>
    <w:rsid w:val="00D6612D"/>
    <w:rsid w:val="00D71AD9"/>
    <w:rsid w:val="00D73C02"/>
    <w:rsid w:val="00D872ED"/>
    <w:rsid w:val="00D913C6"/>
    <w:rsid w:val="00DA0236"/>
    <w:rsid w:val="00DA5D51"/>
    <w:rsid w:val="00DA5E29"/>
    <w:rsid w:val="00DA61CA"/>
    <w:rsid w:val="00DB66BB"/>
    <w:rsid w:val="00DB73AF"/>
    <w:rsid w:val="00DC2865"/>
    <w:rsid w:val="00DD0894"/>
    <w:rsid w:val="00DE1888"/>
    <w:rsid w:val="00DF1250"/>
    <w:rsid w:val="00DF6EF7"/>
    <w:rsid w:val="00E05454"/>
    <w:rsid w:val="00E074C3"/>
    <w:rsid w:val="00E10F3F"/>
    <w:rsid w:val="00E23329"/>
    <w:rsid w:val="00E24D6D"/>
    <w:rsid w:val="00E341B2"/>
    <w:rsid w:val="00E42633"/>
    <w:rsid w:val="00E5699E"/>
    <w:rsid w:val="00E570E1"/>
    <w:rsid w:val="00E72773"/>
    <w:rsid w:val="00E76739"/>
    <w:rsid w:val="00E81946"/>
    <w:rsid w:val="00E82BB7"/>
    <w:rsid w:val="00E86D13"/>
    <w:rsid w:val="00E936C2"/>
    <w:rsid w:val="00E95346"/>
    <w:rsid w:val="00EA0CEF"/>
    <w:rsid w:val="00EA2E2A"/>
    <w:rsid w:val="00EB79D2"/>
    <w:rsid w:val="00EC0174"/>
    <w:rsid w:val="00ED3EEB"/>
    <w:rsid w:val="00ED5749"/>
    <w:rsid w:val="00ED5FA3"/>
    <w:rsid w:val="00ED68C4"/>
    <w:rsid w:val="00ED6A4E"/>
    <w:rsid w:val="00ED72EA"/>
    <w:rsid w:val="00EE3A4F"/>
    <w:rsid w:val="00EE60A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DC31556"/>
    <w:rsid w:val="1A3D6143"/>
    <w:rsid w:val="1C013801"/>
    <w:rsid w:val="1FE72727"/>
    <w:rsid w:val="2D527252"/>
    <w:rsid w:val="2EAE55F2"/>
    <w:rsid w:val="2EDF4302"/>
    <w:rsid w:val="30C8463D"/>
    <w:rsid w:val="3F901919"/>
    <w:rsid w:val="40EB768D"/>
    <w:rsid w:val="47550EBA"/>
    <w:rsid w:val="48427933"/>
    <w:rsid w:val="503F681A"/>
    <w:rsid w:val="6636451A"/>
    <w:rsid w:val="6EF65E9C"/>
    <w:rsid w:val="71397E03"/>
    <w:rsid w:val="77FFA8F9"/>
    <w:rsid w:val="7A9314AC"/>
    <w:rsid w:val="7C631402"/>
    <w:rsid w:val="7E140770"/>
    <w:rsid w:val="7FEFB5DD"/>
    <w:rsid w:val="B5F66F24"/>
    <w:rsid w:val="C5B3F496"/>
    <w:rsid w:val="DDD7453A"/>
    <w:rsid w:val="DFE75A3D"/>
    <w:rsid w:val="DFEF594B"/>
    <w:rsid w:val="F1F9A9B5"/>
    <w:rsid w:val="FABF7411"/>
    <w:rsid w:val="FEFD95B3"/>
    <w:rsid w:val="FF2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99"/>
    <w:pPr>
      <w:tabs>
        <w:tab w:val="center" w:pos="4153"/>
        <w:tab w:val="right" w:pos="8306"/>
      </w:tabs>
      <w:snapToGrid w:val="0"/>
      <w:jc w:val="left"/>
    </w:pPr>
    <w:rPr>
      <w:rFonts w:eastAsia="宋体"/>
      <w:sz w:val="18"/>
      <w:szCs w:val="18"/>
    </w:rPr>
  </w:style>
  <w:style w:type="paragraph" w:styleId="3">
    <w:name w:val="Document Map"/>
    <w:basedOn w:val="1"/>
    <w:link w:val="13"/>
    <w:qFormat/>
    <w:uiPriority w:val="0"/>
    <w:rPr>
      <w:rFonts w:ascii="宋体" w:eastAsia="宋体"/>
      <w:sz w:val="18"/>
      <w:szCs w:val="18"/>
    </w:rPr>
  </w:style>
  <w:style w:type="paragraph" w:styleId="4">
    <w:name w:val="Balloon Text"/>
    <w:basedOn w:val="1"/>
    <w:semiHidden/>
    <w:qFormat/>
    <w:uiPriority w:val="0"/>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四号正文"/>
    <w:basedOn w:val="1"/>
    <w:link w:val="12"/>
    <w:qFormat/>
    <w:uiPriority w:val="0"/>
    <w:pPr>
      <w:spacing w:line="360" w:lineRule="auto"/>
    </w:pPr>
    <w:rPr>
      <w:rFonts w:ascii="??" w:hAnsi="??" w:eastAsia="宋体" w:cs="宋体"/>
      <w:color w:val="000000"/>
      <w:kern w:val="0"/>
      <w:sz w:val="28"/>
      <w:szCs w:val="21"/>
    </w:rPr>
  </w:style>
  <w:style w:type="character" w:customStyle="1" w:styleId="12">
    <w:name w:val="四号正文 Char"/>
    <w:basedOn w:val="9"/>
    <w:link w:val="11"/>
    <w:qFormat/>
    <w:uiPriority w:val="0"/>
    <w:rPr>
      <w:rFonts w:ascii="??" w:hAnsi="??" w:eastAsia="宋体" w:cs="宋体"/>
      <w:color w:val="000000"/>
      <w:sz w:val="28"/>
      <w:szCs w:val="21"/>
      <w:lang w:val="en-US" w:eastAsia="zh-CN" w:bidi="ar-SA"/>
    </w:rPr>
  </w:style>
  <w:style w:type="character" w:customStyle="1" w:styleId="13">
    <w:name w:val="文档结构图 Char"/>
    <w:basedOn w:val="9"/>
    <w:link w:val="3"/>
    <w:qFormat/>
    <w:uiPriority w:val="0"/>
    <w:rPr>
      <w:rFonts w:ascii="宋体"/>
      <w:kern w:val="2"/>
      <w:sz w:val="18"/>
      <w:szCs w:val="18"/>
    </w:rPr>
  </w:style>
  <w:style w:type="paragraph" w:customStyle="1" w:styleId="14">
    <w:name w:val="a"/>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5">
    <w:name w:val="页脚 Char"/>
    <w:basedOn w:val="9"/>
    <w:link w:val="2"/>
    <w:qFormat/>
    <w:uiPriority w:val="99"/>
    <w:rPr>
      <w:kern w:val="2"/>
      <w:sz w:val="18"/>
      <w:szCs w:val="18"/>
    </w:rPr>
  </w:style>
  <w:style w:type="character" w:customStyle="1" w:styleId="16">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PSZX</Company>
  <Pages>1</Pages>
  <Words>50</Words>
  <Characters>285</Characters>
  <Lines>2</Lines>
  <Paragraphs>1</Paragraphs>
  <TotalTime>1</TotalTime>
  <ScaleCrop>false</ScaleCrop>
  <LinksUpToDate>false</LinksUpToDate>
  <CharactersWithSpaces>334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2019-05-16T11:06:00Z</dcterms:created>
  <dc:creator>陈萍</dc:creator>
  <cp:lastModifiedBy>卫</cp:lastModifiedBy>
  <cp:lastPrinted>2022-03-26T08:26:00Z</cp:lastPrinted>
  <dcterms:modified xsi:type="dcterms:W3CDTF">2024-05-24T09:04:32Z</dcterms:modified>
  <dc:title>区域性就业培训基地建设项目</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BFE204847F754B9B9F76FEFCA2B83E32</vt:lpwstr>
  </property>
</Properties>
</file>