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2023年退役军人、现役军人家属和“三属”春节慰问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田镇位于攀枝花市仁和区东南部，东与大龙潭乡接壤，西临啊喇乡，南与平地镇交界。大田镇全镇人口8759人，纯农业型乡镇，农业人口7725人，全镇幅员面积105平方公里，全镇辖5个行政村及1个社区，分别是片那立村、榴园村、银鹿村、乌喇么村、小啊喇村、大田街社区，村（社区）下辖32个村民小组和1个居民小组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</w:t>
      </w:r>
      <w:r>
        <w:rPr>
          <w:rFonts w:ascii="仿宋_GB2312" w:hAnsi="仿宋_GB2312" w:eastAsia="仿宋_GB2312" w:cs="仿宋_GB2312"/>
          <w:sz w:val="32"/>
          <w:szCs w:val="32"/>
        </w:rPr>
        <w:t>扎实做好拥军优属、拥政爱民工作，不断巩固和发展坚如磐石的军政军民关系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按每人100元的标准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2023年退役军人、现役军人家属和“三属”春节慰问</w:t>
      </w:r>
      <w:r>
        <w:rPr>
          <w:rFonts w:hint="eastAsia" w:ascii="仿宋_GB2312" w:hAnsi="宋体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金</w:t>
      </w:r>
      <w:r>
        <w:rPr>
          <w:rFonts w:ascii="仿宋_GB2312" w:hAnsi="仿宋_GB2312" w:eastAsia="仿宋_GB2312" w:cs="仿宋_GB2312"/>
          <w:sz w:val="32"/>
          <w:szCs w:val="32"/>
        </w:rPr>
        <w:t>年初预算数申报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16700元，</w:t>
      </w:r>
      <w:r>
        <w:rPr>
          <w:rFonts w:ascii="仿宋_GB2312" w:hAnsi="仿宋_GB2312" w:eastAsia="仿宋_GB2312" w:cs="仿宋_GB2312"/>
          <w:sz w:val="32"/>
          <w:szCs w:val="32"/>
        </w:rPr>
        <w:t>批复数为</w:t>
      </w:r>
      <w:r>
        <w:rPr>
          <w:rFonts w:hint="eastAsia" w:ascii="仿宋_GB2312" w:hAnsi="仿宋_GB2312" w:eastAsia="仿宋_GB2312" w:cs="仿宋_GB2312"/>
          <w:sz w:val="32"/>
          <w:szCs w:val="32"/>
        </w:rPr>
        <w:t>16700</w:t>
      </w:r>
      <w:r>
        <w:rPr>
          <w:rFonts w:ascii="仿宋_GB2312" w:hAnsi="仿宋_GB2312" w:eastAsia="仿宋_GB2312" w:cs="仿宋_GB2312"/>
          <w:sz w:val="32"/>
          <w:szCs w:val="32"/>
        </w:rPr>
        <w:t>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</w:t>
      </w:r>
      <w:r>
        <w:rPr>
          <w:rFonts w:ascii="仿宋_GB2312" w:hAnsi="仿宋_GB2312" w:eastAsia="仿宋_GB2312" w:cs="仿宋_GB2312"/>
          <w:sz w:val="32"/>
          <w:szCs w:val="32"/>
        </w:rPr>
        <w:t>做好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退役军人、现役军人家属和“三属”春节慰问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工作，以</w:t>
      </w:r>
      <w:r>
        <w:rPr>
          <w:rFonts w:ascii="仿宋_GB2312" w:hAnsi="仿宋_GB2312" w:eastAsia="仿宋_GB2312" w:cs="仿宋_GB2312"/>
          <w:sz w:val="32"/>
          <w:szCs w:val="32"/>
        </w:rPr>
        <w:t>100 元/人标准进行慰</w:t>
      </w:r>
      <w:r>
        <w:rPr>
          <w:rFonts w:hint="eastAsia" w:ascii="仿宋_GB2312" w:hAnsi="仿宋_GB2312" w:eastAsia="仿宋_GB2312" w:cs="仿宋_GB2312"/>
          <w:sz w:val="32"/>
          <w:szCs w:val="32"/>
        </w:rPr>
        <w:t>问，切实增强了退役军人、现役军人家属和“三属”荣誉感、获得感和幸福感。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pStyle w:val="2"/>
        <w:ind w:firstLine="640" w:firstLineChars="200"/>
        <w:jc w:val="both"/>
        <w:rPr>
          <w:rFonts w:hint="eastAsia" w:ascii="仿宋_GB2312" w:hAnsi="宋体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</w:rPr>
        <w:t>该项目资金属区级财政的当年财政拨款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2023年退役军人、现役军人家属和“三属”春节慰问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年初预算申报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16700元</w:t>
      </w:r>
      <w:r>
        <w:rPr>
          <w:rFonts w:ascii="仿宋_GB2312" w:hAnsi="仿宋_GB2312" w:eastAsia="仿宋_GB2312" w:cs="仿宋_GB2312"/>
          <w:sz w:val="32"/>
          <w:szCs w:val="32"/>
        </w:rPr>
        <w:t>，已全部到位。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资金支付范围、支付标准、支付进度、支付依据等与预算相符，符合相关规定。到202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年底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退役军人、现役军人家属和“三属”春节慰问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的实际支出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pStyle w:val="2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该项目支出纳入区财政预算统一管理，在项目奖施过程中，我单位严格依据《中华人民共和国会计法》《中华人民共和国预算法》做好项目实施的日常工作实施和监管，提前做好项目资金核算和预算编制，各环节的工作程序合理合法，工作开展依法依规。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完成数量。完成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退役军人、现役军人家属和“三属”春节</w:t>
      </w:r>
      <w:r>
        <w:rPr>
          <w:rFonts w:hint="eastAsia" w:ascii="仿宋_GB2312" w:hAnsi="仿宋_GB2312" w:eastAsia="仿宋_GB2312" w:cs="仿宋_GB2312"/>
          <w:sz w:val="32"/>
          <w:szCs w:val="32"/>
        </w:rPr>
        <w:t>慰问</w:t>
      </w:r>
      <w:r>
        <w:rPr>
          <w:rFonts w:ascii="仿宋_GB2312" w:hAnsi="仿宋_GB2312" w:eastAsia="仿宋_GB2312" w:cs="仿宋_GB2312"/>
          <w:sz w:val="32"/>
          <w:szCs w:val="32"/>
        </w:rPr>
        <w:t>发放。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2.完成质量。该项目严格按照预定计划执行，且效果良好，受益群体满意度高。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3.完成时效。根据任务量，202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年按照审批进行资金发放。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4.完成成本。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退役军人、现役军人家属和“三属”春节慰问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年初预算数申报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16700元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，支付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元，项目资金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被区财政收回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该项资金通过</w:t>
      </w:r>
      <w:r>
        <w:rPr>
          <w:rFonts w:ascii="仿宋_GB2312" w:hAnsi="仿宋_GB2312" w:eastAsia="仿宋_GB2312" w:cs="仿宋_GB2312"/>
          <w:sz w:val="32"/>
          <w:szCs w:val="32"/>
        </w:rPr>
        <w:t>走访慰问与关爱帮扶相结合，主动了</w:t>
      </w:r>
      <w:r>
        <w:rPr>
          <w:rFonts w:hint="eastAsia" w:ascii="仿宋_GB2312" w:hAnsi="仿宋_GB2312" w:eastAsia="仿宋_GB2312" w:cs="仿宋_GB2312"/>
          <w:sz w:val="32"/>
          <w:szCs w:val="32"/>
        </w:rPr>
        <w:t>解退役军人、现役军人家属和其他重点优抚对象家庭情况， 特别是对生活困难或因遭受自然灾害、重大疾病等变故存在特殊困难的，主动帮助解决实际困难，</w:t>
      </w:r>
      <w:r>
        <w:rPr>
          <w:rFonts w:ascii="仿宋_GB2312" w:hAnsi="仿宋_GB2312" w:eastAsia="仿宋_GB2312" w:cs="仿宋_GB2312"/>
          <w:sz w:val="32"/>
          <w:szCs w:val="32"/>
        </w:rPr>
        <w:t>不断增强</w:t>
      </w:r>
      <w:r>
        <w:rPr>
          <w:rFonts w:hint="eastAsia" w:ascii="仿宋_GB2312" w:hAnsi="仿宋_GB2312" w:eastAsia="仿宋_GB2312" w:cs="仿宋_GB2312"/>
          <w:sz w:val="32"/>
          <w:szCs w:val="32"/>
        </w:rPr>
        <w:t>退役军人、“三属”</w:t>
      </w:r>
      <w:r>
        <w:rPr>
          <w:rFonts w:ascii="仿宋_GB2312" w:hAnsi="仿宋_GB2312" w:eastAsia="仿宋_GB2312" w:cs="仿宋_GB2312"/>
          <w:sz w:val="32"/>
          <w:szCs w:val="32"/>
        </w:rPr>
        <w:t>的安全感、获得感和幸福感。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bookmarkStart w:id="0" w:name="_GoBack"/>
      <w:bookmarkEnd w:id="0"/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ind w:firstLine="640" w:firstLineChars="200"/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pStyle w:val="2"/>
      </w:pPr>
    </w:p>
    <w:p>
      <w:pPr>
        <w:pStyle w:val="3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10543CB3"/>
    <w:rsid w:val="1CBD2265"/>
    <w:rsid w:val="200027AF"/>
    <w:rsid w:val="24C43BCA"/>
    <w:rsid w:val="291C455A"/>
    <w:rsid w:val="2B477DFA"/>
    <w:rsid w:val="2FA207B7"/>
    <w:rsid w:val="3419615F"/>
    <w:rsid w:val="36135008"/>
    <w:rsid w:val="36926D0C"/>
    <w:rsid w:val="3A2E09CA"/>
    <w:rsid w:val="47EA3F8A"/>
    <w:rsid w:val="4DAF2BCF"/>
    <w:rsid w:val="4DDB6F66"/>
    <w:rsid w:val="502732A5"/>
    <w:rsid w:val="535E70DC"/>
    <w:rsid w:val="53FD4CE8"/>
    <w:rsid w:val="5444217D"/>
    <w:rsid w:val="62F71BC5"/>
    <w:rsid w:val="67302E47"/>
    <w:rsid w:val="6AA40870"/>
    <w:rsid w:val="714A2EA1"/>
    <w:rsid w:val="716C062B"/>
    <w:rsid w:val="73630622"/>
    <w:rsid w:val="74853268"/>
    <w:rsid w:val="774D72FF"/>
    <w:rsid w:val="792F2AEE"/>
    <w:rsid w:val="7D150892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蒋太琼</cp:lastModifiedBy>
  <cp:lastPrinted>2024-05-16T03:02:03Z</cp:lastPrinted>
  <dcterms:modified xsi:type="dcterms:W3CDTF">2024-05-16T03:02:05Z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