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lang w:val="en-US" w:eastAsia="zh-CN"/>
        </w:rPr>
      </w:pPr>
      <w:r>
        <w:rPr>
          <w:rFonts w:hint="eastAsia" w:ascii="黑体" w:hAnsi="黑体" w:eastAsia="黑体"/>
        </w:rPr>
        <w:t>附件</w:t>
      </w:r>
      <w:r>
        <w:rPr>
          <w:rFonts w:hint="eastAsia" w:ascii="黑体" w:hAnsi="黑体" w:eastAsia="黑体"/>
          <w:lang w:val="en-US" w:eastAsia="zh-CN"/>
        </w:rPr>
        <w:t>5</w:t>
      </w:r>
    </w:p>
    <w:p>
      <w:pPr>
        <w:pStyle w:val="6"/>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rightChars="0" w:firstLine="680"/>
        <w:jc w:val="left"/>
        <w:textAlignment w:val="auto"/>
        <w:outlineLvl w:val="9"/>
        <w:rPr>
          <w:rFonts w:hint="default" w:ascii="方正小标宋简体" w:hAnsi="宋体" w:eastAsia="方正小标宋简体" w:cs="Times New Roman"/>
          <w:color w:val="000000"/>
          <w:kern w:val="0"/>
          <w:sz w:val="44"/>
          <w:szCs w:val="44"/>
          <w:lang w:val="zh-CN" w:eastAsia="zh-CN" w:bidi="ar-SA"/>
        </w:rPr>
      </w:pPr>
    </w:p>
    <w:p>
      <w:pPr>
        <w:pStyle w:val="6"/>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right="0" w:rightChars="0"/>
        <w:jc w:val="center"/>
        <w:textAlignment w:val="auto"/>
        <w:outlineLvl w:val="9"/>
        <w:rPr>
          <w:rFonts w:hint="default" w:ascii="方正小标宋简体" w:hAnsi="宋体" w:eastAsia="方正小标宋简体" w:cs="Times New Roman"/>
          <w:color w:val="000000"/>
          <w:kern w:val="0"/>
          <w:sz w:val="44"/>
          <w:szCs w:val="44"/>
          <w:lang w:val="zh-CN" w:eastAsia="zh-CN" w:bidi="ar-SA"/>
        </w:rPr>
      </w:pPr>
      <w:r>
        <w:rPr>
          <w:rFonts w:hint="default" w:ascii="方正小标宋简体" w:hAnsi="宋体" w:eastAsia="方正小标宋简体" w:cs="Times New Roman"/>
          <w:color w:val="000000"/>
          <w:kern w:val="0"/>
          <w:sz w:val="44"/>
          <w:szCs w:val="44"/>
          <w:lang w:val="zh-CN" w:eastAsia="zh-CN" w:bidi="ar-SA"/>
        </w:rPr>
        <w:t>攀枝花市仁和区大田镇人民政府</w:t>
      </w:r>
    </w:p>
    <w:p>
      <w:pPr>
        <w:tabs>
          <w:tab w:val="left" w:pos="1440"/>
        </w:tabs>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lang w:val="en-US"/>
        </w:rPr>
        <w:t>2023年</w:t>
      </w:r>
      <w:r>
        <w:rPr>
          <w:rFonts w:hint="eastAsia" w:ascii="方正小标宋简体" w:hAnsi="宋体" w:eastAsia="方正小标宋简体"/>
          <w:sz w:val="44"/>
          <w:szCs w:val="44"/>
        </w:rPr>
        <w:t>项目支出绩效自评报告</w:t>
      </w:r>
    </w:p>
    <w:p>
      <w:pPr>
        <w:pStyle w:val="9"/>
        <w:spacing w:line="560" w:lineRule="exact"/>
        <w:jc w:val="center"/>
        <w:rPr>
          <w:rFonts w:ascii="仿宋_GB2312" w:hAnsi="宋体" w:eastAsia="仿宋_GB2312"/>
          <w:color w:val="auto"/>
          <w:kern w:val="2"/>
          <w:sz w:val="32"/>
          <w:szCs w:val="32"/>
        </w:rPr>
      </w:pPr>
      <w:r>
        <w:rPr>
          <w:rFonts w:hint="eastAsia" w:ascii="仿宋_GB2312" w:hAnsi="宋体" w:eastAsia="仿宋_GB2312"/>
          <w:color w:val="auto"/>
          <w:kern w:val="2"/>
          <w:sz w:val="32"/>
          <w:szCs w:val="32"/>
        </w:rPr>
        <w:t>（</w:t>
      </w:r>
      <w:r>
        <w:rPr>
          <w:rFonts w:hint="eastAsia" w:ascii="仿宋_GB2312" w:hAnsi="宋体" w:eastAsia="仿宋_GB2312" w:cs="Times New Roman"/>
          <w:color w:val="auto"/>
          <w:kern w:val="2"/>
          <w:sz w:val="32"/>
          <w:szCs w:val="32"/>
          <w:highlight w:val="none"/>
          <w:lang w:val="zh-CN" w:eastAsia="zh-CN" w:bidi="ar-SA"/>
        </w:rPr>
        <w:t>仁和区大田镇特色农产品集散交易中心（2021年收回资金）</w:t>
      </w:r>
      <w:r>
        <w:rPr>
          <w:rFonts w:hint="eastAsia" w:ascii="仿宋_GB2312" w:hAnsi="宋体" w:eastAsia="仿宋_GB2312"/>
          <w:color w:val="auto"/>
          <w:kern w:val="2"/>
          <w:sz w:val="32"/>
          <w:szCs w:val="32"/>
        </w:rPr>
        <w:t>）</w:t>
      </w:r>
    </w:p>
    <w:p>
      <w:pPr>
        <w:pStyle w:val="9"/>
        <w:spacing w:line="560" w:lineRule="exact"/>
        <w:ind w:firstLine="640"/>
        <w:jc w:val="center"/>
        <w:rPr>
          <w:rFonts w:ascii="宋体" w:hAnsi="宋体"/>
          <w:color w:val="auto"/>
          <w:kern w:val="2"/>
          <w:sz w:val="32"/>
          <w:szCs w:val="32"/>
        </w:rPr>
      </w:pPr>
    </w:p>
    <w:p>
      <w:pPr>
        <w:numPr>
          <w:ilvl w:val="0"/>
          <w:numId w:val="1"/>
        </w:numPr>
        <w:adjustRightInd w:val="0"/>
        <w:snapToGrid w:val="0"/>
        <w:spacing w:line="560" w:lineRule="exact"/>
        <w:ind w:firstLine="720"/>
        <w:rPr>
          <w:rFonts w:hint="eastAsia" w:ascii="黑体" w:hAnsi="宋体" w:eastAsia="黑体"/>
          <w:lang w:val="zh-CN"/>
        </w:rPr>
      </w:pPr>
      <w:r>
        <w:rPr>
          <w:rFonts w:hint="eastAsia" w:ascii="黑体" w:hAnsi="宋体" w:eastAsia="黑体"/>
          <w:lang w:val="zh-CN"/>
        </w:rPr>
        <w:t>项目概况</w:t>
      </w:r>
    </w:p>
    <w:p>
      <w:pPr>
        <w:numPr>
          <w:ilvl w:val="0"/>
          <w:numId w:val="2"/>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项目资金申报及批复情况</w:t>
      </w:r>
    </w:p>
    <w:p>
      <w:pPr>
        <w:adjustRightInd w:val="0"/>
        <w:snapToGrid w:val="0"/>
        <w:spacing w:line="560" w:lineRule="exact"/>
        <w:ind w:firstLine="720"/>
        <w:rPr>
          <w:rFonts w:ascii="仿宋_GB2312" w:hAnsi="宋体"/>
          <w:lang w:val="zh-CN"/>
        </w:rPr>
      </w:pPr>
      <w:r>
        <w:rPr>
          <w:rFonts w:hint="eastAsia" w:ascii="仿宋_GB2312" w:hAnsi="宋体" w:eastAsia="仿宋_GB2312" w:cs="Times New Roman"/>
          <w:color w:val="auto"/>
          <w:kern w:val="2"/>
          <w:sz w:val="32"/>
          <w:szCs w:val="32"/>
          <w:highlight w:val="none"/>
          <w:lang w:val="zh-CN" w:eastAsia="zh-CN" w:bidi="ar-SA"/>
        </w:rPr>
        <w:t>仁和区大田镇特色农产品集散交易中心（2021年收回资金）</w:t>
      </w:r>
      <w:r>
        <w:rPr>
          <w:rFonts w:hint="eastAsia" w:ascii="仿宋_GB2312" w:hAnsi="宋体"/>
          <w:sz w:val="32"/>
          <w:szCs w:val="32"/>
          <w:lang w:val="en-US" w:eastAsia="zh-CN"/>
        </w:rPr>
        <w:t>2023年下达指标220000</w:t>
      </w:r>
      <w:r>
        <w:rPr>
          <w:rFonts w:hint="eastAsia" w:ascii="仿宋_GB2312" w:hAnsi="宋体" w:eastAsia="仿宋_GB2312"/>
          <w:sz w:val="32"/>
          <w:szCs w:val="32"/>
          <w:lang w:val="zh-CN"/>
        </w:rPr>
        <w:t>元，符合资金管理办法等相关规定。</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60" w:lineRule="exact"/>
        <w:ind w:firstLine="720"/>
        <w:rPr>
          <w:rFonts w:ascii="仿宋_GB2312" w:hAnsi="宋体"/>
          <w:lang w:val="zh-CN"/>
        </w:rPr>
      </w:pPr>
      <w:r>
        <w:rPr>
          <w:rFonts w:hint="eastAsia"/>
          <w:kern w:val="0"/>
        </w:rPr>
        <w:t>攀枝花市仁和区大田镇班庄村实施大田镇特色农产品集散交易中心项目建设，主要是特色农产品集散交易中心加工储存基地和石榴农产品包装和分拣、仓储、交易场所的建设，项目占地15300㎡，停车场等基础设施3000㎡。农业农村基础设施得到提升，保障农产品质量安全</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（三）项目资金申报相符性</w:t>
      </w:r>
    </w:p>
    <w:p>
      <w:pPr>
        <w:adjustRightInd w:val="0"/>
        <w:snapToGrid w:val="0"/>
        <w:spacing w:line="560" w:lineRule="exact"/>
        <w:ind w:firstLine="720"/>
        <w:rPr>
          <w:rFonts w:hint="eastAsia" w:ascii="仿宋_GB2312" w:hAnsi="宋体"/>
          <w:lang w:val="zh-CN"/>
        </w:rPr>
      </w:pPr>
      <w:r>
        <w:rPr>
          <w:rFonts w:hint="eastAsia" w:ascii="仿宋_GB2312" w:hAnsi="宋体"/>
          <w:lang w:val="zh-CN"/>
        </w:rPr>
        <w:t>项目申报内容与具体实施内容相符、申报目标合理可行。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hint="eastAsia"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numPr>
          <w:ilvl w:val="0"/>
          <w:numId w:val="3"/>
        </w:num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lang w:val="zh-CN"/>
        </w:rPr>
        <w:t>资金计划及到位</w:t>
      </w:r>
    </w:p>
    <w:p>
      <w:pPr>
        <w:adjustRightInd w:val="0"/>
        <w:snapToGrid w:val="0"/>
        <w:spacing w:line="560" w:lineRule="exact"/>
        <w:ind w:firstLine="720"/>
        <w:rPr>
          <w:rFonts w:hint="eastAsia" w:ascii="仿宋_GB2312" w:hAnsi="宋体"/>
          <w:lang w:val="zh-CN"/>
        </w:rPr>
      </w:pPr>
      <w:r>
        <w:rPr>
          <w:rFonts w:hint="eastAsia" w:ascii="仿宋_GB2312" w:hAnsi="宋体" w:eastAsia="仿宋_GB2312" w:cs="Times New Roman"/>
          <w:color w:val="auto"/>
          <w:kern w:val="2"/>
          <w:sz w:val="32"/>
          <w:szCs w:val="32"/>
          <w:highlight w:val="none"/>
          <w:lang w:val="zh-CN" w:eastAsia="zh-CN" w:bidi="ar-SA"/>
        </w:rPr>
        <w:t>仁和区大田镇特色农产品集散交易中心（2021年收回资金）</w:t>
      </w:r>
      <w:r>
        <w:rPr>
          <w:rFonts w:hint="eastAsia" w:ascii="仿宋_GB2312" w:hAnsi="宋体"/>
          <w:sz w:val="32"/>
          <w:szCs w:val="32"/>
          <w:lang w:val="en-US" w:eastAsia="zh-CN"/>
        </w:rPr>
        <w:t>2023年下达指标220000</w:t>
      </w:r>
      <w:r>
        <w:rPr>
          <w:rFonts w:hint="eastAsia" w:ascii="仿宋_GB2312" w:hAnsi="宋体" w:eastAsia="仿宋_GB2312"/>
          <w:sz w:val="32"/>
          <w:szCs w:val="32"/>
          <w:lang w:val="zh-CN"/>
        </w:rPr>
        <w:t>元</w:t>
      </w:r>
      <w:r>
        <w:rPr>
          <w:rFonts w:hint="eastAsia" w:ascii="仿宋_GB2312" w:hAnsi="宋体"/>
          <w:lang w:val="zh-CN"/>
        </w:rPr>
        <w:t>。资金到位与资金计划一致，资金到位率</w:t>
      </w:r>
      <w:r>
        <w:rPr>
          <w:rFonts w:hint="eastAsia" w:ascii="仿宋_GB2312" w:hAnsi="宋体"/>
        </w:rPr>
        <w:t>100％</w:t>
      </w:r>
      <w:r>
        <w:rPr>
          <w:rFonts w:hint="eastAsia" w:ascii="仿宋_GB2312" w:hAnsi="宋体"/>
          <w:lang w:val="zh-CN"/>
        </w:rPr>
        <w:t>、到位及时</w:t>
      </w:r>
      <w:r>
        <w:rPr>
          <w:rFonts w:hint="eastAsia" w:ascii="仿宋_GB2312" w:hAnsi="宋体"/>
        </w:rPr>
        <w:t>。</w:t>
      </w:r>
    </w:p>
    <w:p>
      <w:pPr>
        <w:adjustRightInd w:val="0"/>
        <w:snapToGrid w:val="0"/>
        <w:spacing w:line="560" w:lineRule="exact"/>
        <w:ind w:firstLine="720"/>
        <w:rPr>
          <w:rFonts w:hint="eastAsia" w:ascii="楷体_GB2312" w:hAnsi="宋体" w:eastAsia="楷体_GB2312"/>
          <w:lang w:val="zh-CN"/>
        </w:rPr>
      </w:pPr>
      <w:r>
        <w:rPr>
          <w:rFonts w:hint="eastAsia" w:ascii="楷体_GB2312" w:hAnsi="宋体" w:eastAsia="楷体_GB2312"/>
        </w:rPr>
        <w:t>2.</w:t>
      </w:r>
      <w:r>
        <w:rPr>
          <w:rFonts w:hint="eastAsia" w:ascii="楷体_GB2312" w:hAnsi="宋体" w:eastAsia="楷体_GB2312"/>
          <w:lang w:val="zh-CN"/>
        </w:rPr>
        <w:t>资金使用</w:t>
      </w:r>
    </w:p>
    <w:p>
      <w:pPr>
        <w:adjustRightInd w:val="0"/>
        <w:snapToGrid w:val="0"/>
        <w:spacing w:line="560" w:lineRule="exact"/>
        <w:ind w:firstLine="720"/>
        <w:rPr>
          <w:rFonts w:hint="eastAsia" w:ascii="仿宋_GB2312" w:hAnsi="宋体"/>
          <w:lang w:val="zh-CN"/>
        </w:rPr>
      </w:pPr>
      <w:r>
        <w:rPr>
          <w:rFonts w:hint="eastAsia" w:ascii="仿宋_GB2312" w:hAnsi="宋体"/>
          <w:lang w:val="zh-CN" w:eastAsia="zh-CN"/>
        </w:rPr>
        <w:t>截止</w:t>
      </w:r>
      <w:r>
        <w:rPr>
          <w:rFonts w:hint="eastAsia" w:ascii="仿宋_GB2312" w:hAnsi="宋体"/>
          <w:lang w:val="en-US" w:eastAsia="zh-CN"/>
        </w:rPr>
        <w:t>2023年12月31日，</w:t>
      </w:r>
      <w:r>
        <w:rPr>
          <w:rFonts w:hint="eastAsia" w:ascii="仿宋_GB2312" w:hAnsi="宋体"/>
        </w:rPr>
        <w:t>该项目资金</w:t>
      </w:r>
      <w:r>
        <w:rPr>
          <w:rFonts w:hint="eastAsia" w:ascii="仿宋_GB2312" w:hAnsi="宋体"/>
          <w:lang w:val="en-US" w:eastAsia="zh-CN"/>
        </w:rPr>
        <w:t>已支付220000元</w:t>
      </w:r>
      <w:r>
        <w:rPr>
          <w:rFonts w:hint="eastAsia" w:ascii="仿宋_GB2312" w:hAnsi="仿宋_GB2312" w:cs="仿宋_GB2312"/>
          <w:sz w:val="32"/>
          <w:szCs w:val="32"/>
          <w:lang w:val="en-US" w:eastAsia="zh-CN"/>
        </w:rPr>
        <w:t>，</w:t>
      </w:r>
      <w:r>
        <w:rPr>
          <w:rFonts w:hint="eastAsia" w:ascii="仿宋_GB2312" w:hAnsi="仿宋_GB2312" w:eastAsia="仿宋_GB2312" w:cs="仿宋_GB2312"/>
          <w:color w:val="000000"/>
          <w:kern w:val="0"/>
          <w:sz w:val="32"/>
          <w:szCs w:val="32"/>
        </w:rPr>
        <w:t>完成率</w:t>
      </w:r>
      <w:r>
        <w:rPr>
          <w:rFonts w:hint="eastAsia" w:ascii="仿宋_GB2312" w:hAnsi="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w:t>
      </w:r>
      <w:r>
        <w:rPr>
          <w:rFonts w:hint="eastAsia" w:ascii="仿宋_GB2312" w:hAnsi="仿宋_GB2312" w:cs="仿宋_GB2312"/>
          <w:color w:val="000000"/>
          <w:kern w:val="0"/>
          <w:sz w:val="32"/>
          <w:szCs w:val="32"/>
          <w:lang w:eastAsia="zh-CN"/>
        </w:rPr>
        <w:t>。</w:t>
      </w:r>
      <w:r>
        <w:rPr>
          <w:rFonts w:hint="eastAsia" w:ascii="仿宋_GB2312" w:hAnsi="宋体"/>
          <w:lang w:val="zh-CN"/>
        </w:rPr>
        <w:t>支付依据合规合法，资金支付与预算相符。</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autoSpaceDE w:val="0"/>
        <w:autoSpaceDN w:val="0"/>
        <w:adjustRightInd w:val="0"/>
        <w:spacing w:line="600" w:lineRule="exact"/>
        <w:ind w:firstLine="640" w:firstLineChars="200"/>
        <w:jc w:val="left"/>
        <w:rPr>
          <w:lang w:val="zh-CN"/>
        </w:rPr>
      </w:pPr>
      <w:r>
        <w:rPr>
          <w:rFonts w:hint="eastAsia"/>
          <w:kern w:val="0"/>
        </w:rPr>
        <w:t>健全财务管理制度建设，在工作推进中严格依照《中华人民共和国会计法》《中华人民共和国预算法》及相关财务管理规定执行财务管理。通过对202</w:t>
      </w:r>
      <w:r>
        <w:rPr>
          <w:rFonts w:hint="eastAsia"/>
          <w:kern w:val="0"/>
          <w:lang w:val="en-US" w:eastAsia="zh-CN"/>
        </w:rPr>
        <w:t>3</w:t>
      </w:r>
      <w:r>
        <w:rPr>
          <w:rFonts w:hint="eastAsia"/>
          <w:kern w:val="0"/>
        </w:rPr>
        <w:t>年单位项目预算执行进行全面的控制和管理，费用支出做到依法依规、专款专用，</w:t>
      </w:r>
      <w:r>
        <w:rPr>
          <w:rFonts w:hint="eastAsia"/>
          <w:kern w:val="0"/>
          <w:lang w:val="zh-CN"/>
        </w:rPr>
        <w:t>财务处理及时、会计核算规范，</w:t>
      </w:r>
      <w:r>
        <w:rPr>
          <w:rFonts w:hint="eastAsia"/>
          <w:kern w:val="0"/>
        </w:rPr>
        <w:t>未出现资金违规使用情况。</w:t>
      </w:r>
    </w:p>
    <w:p>
      <w:pPr>
        <w:adjustRightInd w:val="0"/>
        <w:snapToGrid w:val="0"/>
        <w:spacing w:line="560" w:lineRule="exact"/>
        <w:ind w:firstLine="720"/>
        <w:rPr>
          <w:rFonts w:ascii="楷体_GB2312" w:hAnsi="宋体" w:eastAsia="楷体_GB2312"/>
          <w:b/>
          <w:color w:val="000000" w:themeColor="text1"/>
          <w:lang w:val="zh-CN"/>
          <w14:textFill>
            <w14:solidFill>
              <w14:schemeClr w14:val="tx1"/>
            </w14:solidFill>
          </w14:textFill>
        </w:rPr>
      </w:pPr>
      <w:r>
        <w:rPr>
          <w:rFonts w:hint="eastAsia" w:ascii="楷体_GB2312" w:hAnsi="宋体" w:eastAsia="楷体_GB2312"/>
          <w:b/>
          <w:color w:val="000000" w:themeColor="text1"/>
          <w:lang w:val="zh-CN"/>
          <w14:textFill>
            <w14:solidFill>
              <w14:schemeClr w14:val="tx1"/>
            </w14:solidFill>
          </w14:textFill>
        </w:rPr>
        <w:t>（三）项目组织实施情况</w:t>
      </w:r>
    </w:p>
    <w:p>
      <w:pPr>
        <w:autoSpaceDE w:val="0"/>
        <w:autoSpaceDN w:val="0"/>
        <w:adjustRightInd w:val="0"/>
        <w:spacing w:line="600" w:lineRule="exact"/>
        <w:ind w:firstLine="640" w:firstLineChars="200"/>
        <w:jc w:val="left"/>
        <w:rPr>
          <w:rFonts w:hint="eastAsia"/>
          <w:lang w:val="en-US" w:eastAsia="zh-CN"/>
        </w:rPr>
      </w:pPr>
      <w:r>
        <w:rPr>
          <w:rFonts w:hint="eastAsia"/>
          <w:kern w:val="0"/>
        </w:rPr>
        <w:t>该项目支出纳入区财政预算统一管理，在项目实施过程中，我单位严格依据《中华人民共和国会计法》《中华人民共和国预算法》做好项目实施的日常工作实施和监管，提前做好项目资金核算和预算编制，各环节的工作程序合理合法，工作开展依法依规，项目实施公开、透明，工作管理、补助资金支付与要求相符。</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60" w:lineRule="exact"/>
        <w:ind w:firstLine="720"/>
        <w:rPr>
          <w:rFonts w:hint="eastAsia" w:ascii="仿宋_GB2312"/>
          <w:kern w:val="0"/>
          <w:sz w:val="32"/>
          <w:szCs w:val="32"/>
          <w:lang w:val="en-US" w:eastAsia="zh-CN"/>
        </w:rPr>
      </w:pPr>
      <w:r>
        <w:rPr>
          <w:rFonts w:hint="eastAsia" w:ascii="仿宋_GB2312" w:hAnsi="宋体"/>
          <w:lang w:val="zh-CN"/>
        </w:rPr>
        <w:t>项目按时按量完成，</w:t>
      </w:r>
      <w:r>
        <w:rPr>
          <w:rFonts w:hint="eastAsia" w:ascii="宋体" w:hAnsi="宋体"/>
          <w:szCs w:val="21"/>
        </w:rPr>
        <w:t>无违规记录</w:t>
      </w:r>
      <w:r>
        <w:rPr>
          <w:rFonts w:hint="eastAsia" w:ascii="仿宋_GB2312" w:hAnsi="宋体"/>
          <w:lang w:val="zh-CN"/>
        </w:rPr>
        <w:t>等，按照项目计划全面完成目标，截至评价时点的任务量全面完成、进度按照计划全面完成、成本严格按照目标进行控制。</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（二）项目效益情况</w:t>
      </w:r>
    </w:p>
    <w:p>
      <w:pPr>
        <w:adjustRightInd w:val="0"/>
        <w:snapToGrid w:val="0"/>
        <w:spacing w:line="560" w:lineRule="exact"/>
        <w:ind w:firstLine="720"/>
        <w:rPr>
          <w:rFonts w:hint="eastAsia" w:ascii="仿宋_GB2312" w:hAnsi="宋体"/>
          <w:color w:val="FF0000"/>
          <w:lang w:val="zh-CN"/>
        </w:rPr>
      </w:pPr>
      <w:r>
        <w:rPr>
          <w:rFonts w:hint="eastAsia" w:ascii="仿宋_GB2312" w:hAnsi="宋体"/>
          <w:color w:val="auto"/>
          <w:lang w:val="zh-CN"/>
        </w:rPr>
        <w:t>解决农村部分就业问题，带动农民增收，推进村集体经济发展，农业农村基础设施得到提升，保障农产品质量安全。</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adjustRightInd w:val="0"/>
        <w:snapToGrid w:val="0"/>
        <w:spacing w:line="560" w:lineRule="exact"/>
        <w:ind w:firstLine="720"/>
        <w:rPr>
          <w:rFonts w:hint="eastAsia" w:ascii="仿宋_GB2312" w:hAnsi="宋体"/>
          <w:color w:val="000000" w:themeColor="text1"/>
          <w:lang w:val="zh-CN"/>
          <w14:textFill>
            <w14:solidFill>
              <w14:schemeClr w14:val="tx1"/>
            </w14:solidFill>
          </w14:textFill>
        </w:rPr>
      </w:pPr>
      <w:r>
        <w:rPr>
          <w:rFonts w:hint="eastAsia" w:ascii="仿宋_GB2312" w:hAnsi="宋体"/>
          <w:color w:val="000000" w:themeColor="text1"/>
          <w:lang w:val="zh-CN"/>
          <w14:textFill>
            <w14:solidFill>
              <w14:schemeClr w14:val="tx1"/>
            </w14:solidFill>
          </w14:textFill>
        </w:rPr>
        <w:t>无</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（二）相关建议</w:t>
      </w:r>
    </w:p>
    <w:p>
      <w:pPr>
        <w:pStyle w:val="2"/>
        <w:ind w:firstLine="640" w:firstLineChars="200"/>
        <w:rPr>
          <w:rFonts w:hint="eastAsia" w:ascii="仿宋_GB2312" w:hAnsi="宋体"/>
          <w:color w:val="000000" w:themeColor="text1"/>
          <w:lang w:val="zh-CN"/>
          <w14:textFill>
            <w14:solidFill>
              <w14:schemeClr w14:val="tx1"/>
            </w14:solidFill>
          </w14:textFill>
        </w:rPr>
      </w:pPr>
      <w:r>
        <w:rPr>
          <w:rFonts w:hint="eastAsia" w:ascii="仿宋_GB2312" w:hAnsi="宋体"/>
          <w:color w:val="000000" w:themeColor="text1"/>
          <w:lang w:val="zh-CN"/>
          <w14:textFill>
            <w14:solidFill>
              <w14:schemeClr w14:val="tx1"/>
            </w14:solidFill>
          </w14:textFill>
        </w:rPr>
        <w:t>无</w:t>
      </w:r>
    </w:p>
    <w:p>
      <w:pPr>
        <w:pStyle w:val="3"/>
        <w:rPr>
          <w:rFonts w:hint="eastAsia" w:ascii="仿宋_GB2312" w:hAnsi="宋体"/>
          <w:color w:val="000000" w:themeColor="text1"/>
          <w:lang w:val="zh-CN"/>
          <w14:textFill>
            <w14:solidFill>
              <w14:schemeClr w14:val="tx1"/>
            </w14:solidFill>
          </w14:textFill>
        </w:rPr>
      </w:pPr>
    </w:p>
    <w:p>
      <w:pPr>
        <w:pStyle w:val="3"/>
        <w:rPr>
          <w:rFonts w:hint="eastAsia" w:ascii="仿宋_GB2312" w:hAnsi="宋体"/>
          <w:color w:val="000000" w:themeColor="text1"/>
          <w:lang w:val="zh-CN"/>
          <w14:textFill>
            <w14:solidFill>
              <w14:schemeClr w14:val="tx1"/>
            </w14:solidFill>
          </w14:textFill>
        </w:rPr>
      </w:pPr>
    </w:p>
    <w:p>
      <w:pPr>
        <w:jc w:val="right"/>
        <w:rPr>
          <w:rFonts w:hint="eastAsia" w:ascii="仿宋_GB2312" w:hAnsi="方正仿宋_GBK" w:eastAsia="仿宋_GB2312" w:cs="方正仿宋_GBK"/>
          <w:sz w:val="32"/>
          <w:szCs w:val="32"/>
          <w:lang w:val="zh-CN"/>
        </w:rPr>
      </w:pPr>
      <w:bookmarkStart w:id="0" w:name="_GoBack"/>
      <w:bookmarkEnd w:id="0"/>
      <w:r>
        <w:rPr>
          <w:rFonts w:hint="eastAsia" w:ascii="仿宋_GB2312" w:hAnsi="方正仿宋_GBK" w:eastAsia="仿宋_GB2312" w:cs="方正仿宋_GBK"/>
          <w:sz w:val="32"/>
          <w:szCs w:val="32"/>
          <w:lang w:val="zh-CN"/>
        </w:rPr>
        <w:t>攀枝花市仁和区大田镇人民政府</w:t>
      </w:r>
    </w:p>
    <w:p>
      <w:pPr>
        <w:ind w:firstLine="4800" w:firstLineChars="1500"/>
      </w:pPr>
      <w:r>
        <w:rPr>
          <w:rFonts w:hint="eastAsia" w:ascii="仿宋_GB2312" w:eastAsia="仿宋_GB2312"/>
          <w:sz w:val="32"/>
          <w:szCs w:val="32"/>
          <w:lang w:val="zh-CN"/>
        </w:rPr>
        <w:t xml:space="preserve"> 20</w:t>
      </w:r>
      <w:r>
        <w:rPr>
          <w:rFonts w:hint="eastAsia" w:ascii="仿宋_GB2312" w:eastAsia="仿宋_GB2312"/>
          <w:sz w:val="32"/>
          <w:szCs w:val="32"/>
        </w:rPr>
        <w:t>2</w:t>
      </w:r>
      <w:r>
        <w:rPr>
          <w:rFonts w:hint="eastAsia" w:ascii="仿宋_GB2312"/>
          <w:sz w:val="32"/>
          <w:szCs w:val="32"/>
          <w:lang w:val="en-US" w:eastAsia="zh-CN"/>
        </w:rPr>
        <w:t>4</w:t>
      </w:r>
      <w:r>
        <w:rPr>
          <w:rFonts w:hint="eastAsia" w:ascii="仿宋_GB2312" w:eastAsia="仿宋_GB2312"/>
          <w:sz w:val="32"/>
          <w:szCs w:val="32"/>
          <w:lang w:val="zh-CN"/>
        </w:rPr>
        <w:t>年</w:t>
      </w:r>
      <w:r>
        <w:rPr>
          <w:rFonts w:hint="eastAsia" w:ascii="仿宋_GB2312" w:eastAsia="仿宋_GB2312"/>
          <w:sz w:val="32"/>
          <w:szCs w:val="32"/>
        </w:rPr>
        <w:t>5</w:t>
      </w:r>
      <w:r>
        <w:rPr>
          <w:rFonts w:hint="eastAsia" w:ascii="仿宋_GB2312" w:eastAsia="仿宋_GB2312"/>
          <w:sz w:val="32"/>
          <w:szCs w:val="32"/>
          <w:lang w:val="zh-CN"/>
        </w:rPr>
        <w:t>月</w:t>
      </w:r>
      <w:r>
        <w:rPr>
          <w:rFonts w:hint="eastAsia" w:ascii="仿宋_GB2312"/>
          <w:sz w:val="32"/>
          <w:szCs w:val="32"/>
          <w:lang w:val="en-US" w:eastAsia="zh-CN"/>
        </w:rPr>
        <w:t>14</w:t>
      </w:r>
      <w:r>
        <w:rPr>
          <w:rFonts w:hint="eastAsia" w:ascii="仿宋_GB2312" w:eastAsia="仿宋_GB2312"/>
          <w:sz w:val="32"/>
          <w:szCs w:val="32"/>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仿宋简体">
    <w:altName w:val="微软雅黑"/>
    <w:panose1 w:val="03000509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alibri Light">
    <w:altName w:val="Times New Roman"/>
    <w:panose1 w:val="00000000000000000000"/>
    <w:charset w:val="00"/>
    <w:family w:val="roman"/>
    <w:pitch w:val="default"/>
    <w:sig w:usb0="00000000" w:usb1="00000000" w:usb2="00000000" w:usb3="00000000" w:csb0="00000000" w:csb1="00000000"/>
  </w:font>
  <w:font w:name="Luxi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1D11F"/>
    <w:multiLevelType w:val="singleLevel"/>
    <w:tmpl w:val="6641D11F"/>
    <w:lvl w:ilvl="0" w:tentative="0">
      <w:start w:val="1"/>
      <w:numFmt w:val="decimal"/>
      <w:suff w:val="nothing"/>
      <w:lvlText w:val="%1."/>
      <w:lvlJc w:val="left"/>
    </w:lvl>
  </w:abstractNum>
  <w:abstractNum w:abstractNumId="1">
    <w:nsid w:val="66430081"/>
    <w:multiLevelType w:val="singleLevel"/>
    <w:tmpl w:val="66430081"/>
    <w:lvl w:ilvl="0" w:tentative="0">
      <w:start w:val="1"/>
      <w:numFmt w:val="chineseCounting"/>
      <w:suff w:val="nothing"/>
      <w:lvlText w:val="%1、"/>
      <w:lvlJc w:val="left"/>
    </w:lvl>
  </w:abstractNum>
  <w:abstractNum w:abstractNumId="2">
    <w:nsid w:val="66430096"/>
    <w:multiLevelType w:val="singleLevel"/>
    <w:tmpl w:val="66430096"/>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490474"/>
    <w:rsid w:val="00515A0C"/>
    <w:rsid w:val="00866E99"/>
    <w:rsid w:val="00FA5FA5"/>
    <w:rsid w:val="058964B3"/>
    <w:rsid w:val="06E6590B"/>
    <w:rsid w:val="06FE45F1"/>
    <w:rsid w:val="07A64650"/>
    <w:rsid w:val="0EDB478C"/>
    <w:rsid w:val="0FD82BE5"/>
    <w:rsid w:val="10543CB3"/>
    <w:rsid w:val="1CBD2265"/>
    <w:rsid w:val="200027AF"/>
    <w:rsid w:val="24C43BCA"/>
    <w:rsid w:val="291C455A"/>
    <w:rsid w:val="2B477DFA"/>
    <w:rsid w:val="2FA207B7"/>
    <w:rsid w:val="313B4D55"/>
    <w:rsid w:val="3419615F"/>
    <w:rsid w:val="36135008"/>
    <w:rsid w:val="36926D0C"/>
    <w:rsid w:val="3A2E09CA"/>
    <w:rsid w:val="47EA3F8A"/>
    <w:rsid w:val="4DAF2BCF"/>
    <w:rsid w:val="4DDB6F66"/>
    <w:rsid w:val="502732A5"/>
    <w:rsid w:val="535E70DC"/>
    <w:rsid w:val="53FD4CE8"/>
    <w:rsid w:val="5444217D"/>
    <w:rsid w:val="62F71BC5"/>
    <w:rsid w:val="67302E47"/>
    <w:rsid w:val="716C062B"/>
    <w:rsid w:val="74853268"/>
    <w:rsid w:val="792F2AEE"/>
    <w:rsid w:val="7D150892"/>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Plain Text"/>
    <w:basedOn w:val="1"/>
    <w:qFormat/>
    <w:uiPriority w:val="0"/>
    <w:rPr>
      <w:rFonts w:ascii="宋体" w:hAnsi="Courier New"/>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四号正文"/>
    <w:basedOn w:val="1"/>
    <w:qFormat/>
    <w:uiPriority w:val="0"/>
    <w:pPr>
      <w:spacing w:line="360" w:lineRule="auto"/>
    </w:pPr>
    <w:rPr>
      <w:rFonts w:ascii="??" w:hAnsi="??" w:eastAsia="宋体"/>
      <w:color w:val="000000"/>
      <w:kern w:val="0"/>
      <w:sz w:val="28"/>
      <w:szCs w:val="21"/>
      <w:lang w:val="zh-CN"/>
    </w:rPr>
  </w:style>
  <w:style w:type="character" w:customStyle="1" w:styleId="10">
    <w:name w:val="页眉 Char"/>
    <w:basedOn w:val="7"/>
    <w:link w:val="5"/>
    <w:qFormat/>
    <w:uiPriority w:val="0"/>
    <w:rPr>
      <w:rFonts w:ascii="Times New Roman" w:hAnsi="Times New Roman" w:eastAsia="仿宋_GB2312" w:cs="Times New Roman"/>
      <w:kern w:val="2"/>
      <w:sz w:val="18"/>
      <w:szCs w:val="18"/>
    </w:rPr>
  </w:style>
  <w:style w:type="character" w:customStyle="1" w:styleId="11">
    <w:name w:val="页脚 Char"/>
    <w:basedOn w:val="7"/>
    <w:link w:val="4"/>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132</Words>
  <Characters>753</Characters>
  <Lines>6</Lines>
  <Paragraphs>1</Paragraphs>
  <ScaleCrop>false</ScaleCrop>
  <LinksUpToDate>false</LinksUpToDate>
  <CharactersWithSpaces>884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2024-05-16T02:19:50Z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37AB5441F8464A27A92ADD3B0F807CE3</vt:lpwstr>
  </property>
</Properties>
</file>