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jc w:val="center"/>
        <w:rPr>
          <w:rFonts w:hint="eastAsia" w:eastAsia="宋体"/>
          <w:b/>
          <w:sz w:val="44"/>
          <w:szCs w:val="44"/>
          <w:shd w:val="clear" w:color="auto" w:fill="FFFFFF"/>
          <w:lang w:eastAsia="zh-CN"/>
        </w:rPr>
      </w:pPr>
      <w:r>
        <w:rPr>
          <w:rFonts w:hint="eastAsia" w:eastAsia="宋体"/>
          <w:b/>
          <w:sz w:val="44"/>
          <w:szCs w:val="44"/>
          <w:shd w:val="clear" w:color="auto" w:fill="FFFFFF"/>
          <w:lang w:eastAsia="zh-CN"/>
        </w:rPr>
        <w:t>攀枝花市仁和区太平乡卫生院</w:t>
      </w:r>
    </w:p>
    <w:p>
      <w:pPr>
        <w:widowControl/>
        <w:spacing w:line="580" w:lineRule="exact"/>
        <w:contextualSpacing/>
        <w:jc w:val="center"/>
        <w:rPr>
          <w:rFonts w:eastAsia="宋体"/>
          <w:b/>
          <w:sz w:val="44"/>
          <w:szCs w:val="44"/>
          <w:shd w:val="clear" w:color="auto" w:fill="FFFFFF"/>
        </w:rPr>
      </w:pPr>
      <w:r>
        <w:rPr>
          <w:rFonts w:eastAsia="宋体"/>
          <w:b/>
          <w:sz w:val="44"/>
          <w:szCs w:val="44"/>
          <w:shd w:val="clear" w:color="auto" w:fill="FFFFFF"/>
        </w:rPr>
        <w:t>2023年部门整体支出绩效评价报告</w:t>
      </w:r>
    </w:p>
    <w:p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zh-CN"/>
        </w:rPr>
        <w:t>部门概况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（一）机构组成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太平乡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太平乡</w:t>
      </w:r>
      <w:r>
        <w:rPr>
          <w:rFonts w:hint="eastAsia" w:ascii="仿宋_GB2312" w:hAnsi="仿宋_GB2312" w:eastAsia="仿宋_GB2312" w:cs="仿宋_GB2312"/>
          <w:sz w:val="32"/>
          <w:szCs w:val="32"/>
        </w:rPr>
        <w:t>妇幼保健站）下设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个内设机构。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）办公室。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负责党务、监督检查、财务、行政、</w:t>
      </w:r>
      <w:r>
        <w:rPr>
          <w:rFonts w:hint="eastAsia" w:ascii="仿宋_GB2312" w:hAnsi="仿宋_GB2312" w:eastAsia="仿宋_GB2312" w:cs="仿宋_GB2312"/>
          <w:spacing w:val="22"/>
          <w:w w:val="95"/>
          <w:sz w:val="32"/>
          <w:szCs w:val="32"/>
        </w:rPr>
        <w:t>人事、宣传、信息、精神文明、档案、信访维稳、安全生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产、后勤保障等工作。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）全科医疗科。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负责卫生院范围内的基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医疗工作，开展门诊、住院、会诊、出诊和急诊急救等工作。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）公共卫生科。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负责预防接种、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健康档案、</w:t>
      </w:r>
      <w:r>
        <w:rPr>
          <w:rFonts w:hint="eastAsia" w:ascii="仿宋_GB2312" w:hAnsi="仿宋_GB2312" w:eastAsia="仿宋_GB2312" w:cs="仿宋_GB2312"/>
          <w:sz w:val="32"/>
          <w:szCs w:val="32"/>
        </w:rPr>
        <w:t>母婴保健、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慢病管理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、重大传染病防治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、中医药保健</w:t>
      </w:r>
      <w:r>
        <w:rPr>
          <w:rFonts w:hint="eastAsia" w:ascii="仿宋_GB2312" w:hAnsi="仿宋_GB2312" w:eastAsia="仿宋_GB2312" w:cs="仿宋_GB2312"/>
          <w:sz w:val="32"/>
          <w:szCs w:val="32"/>
        </w:rPr>
        <w:t>等国家基本公共卫生服务相关工作。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4"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）药剂科。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负责药品调剂，药械采购、储存验收维护和医保结算等工作。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）医技科。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负责院内超声、心电、医疗检验等工作。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40"/>
          <w:pgMar w:top="1580" w:right="1160" w:bottom="1820" w:left="1460" w:header="0" w:footer="1625" w:gutter="0"/>
          <w:cols w:space="720" w:num="1"/>
        </w:sect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）护理部。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负责临床护理工作及院内感染控制等工作。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机构职能。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太平乡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太平乡</w:t>
      </w:r>
      <w:r>
        <w:rPr>
          <w:rFonts w:hint="eastAsia" w:ascii="仿宋_GB2312" w:hAnsi="仿宋_GB2312" w:eastAsia="仿宋_GB2312" w:cs="仿宋_GB2312"/>
          <w:sz w:val="32"/>
          <w:szCs w:val="32"/>
        </w:rPr>
        <w:t>妇幼保健站）实行党组织领导下的院长负责制，院党支部发挥把方向、管大局、作决策、促改革、保落实的领导作用，决定本单位重大问题，支持院长依法依规独立负责地行使职权。院长一般作为法定代表人，在院党支部领导下，全面负责医院医疗、教学、科研、行政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太平乡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太平乡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妇幼保健站）贯彻落实党中央和省市区关于卫生健康工作的方针政策和决策部署。主要职责是：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7" w:line="520" w:lineRule="exact"/>
        <w:ind w:right="159" w:firstLine="7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29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12"/>
          <w:w w:val="95"/>
          <w:sz w:val="32"/>
          <w:szCs w:val="32"/>
        </w:rPr>
        <w:t xml:space="preserve">基本医疗服务：负责辖区一般常见病、多发病、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地方病的基本医疗服务；现场救护和转诊服务；慢性病管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理服务；母婴保健技术服务等。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5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共卫生服务：坚持预防为主，及时处理辖区重大疫情和公共卫生突发事件；重点预防控制地方病、传染病、职业病等重大疾病；开展医学康复、精神卫生、基本职业卫生、保健咨询服务；建立城乡居民健康档案，提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供健康教育、预防接种、儿童健康管理、孕产妇健康管理、 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老年人健康管理、慢性病患者健康管理、严重精神障碍患者管理、结核病患者管理、中医药健康管理、传染病和突发公共卫生事件报告和处理、卫生计生监督协管等基本公共卫生服务。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4" w:line="520" w:lineRule="exact"/>
        <w:ind w:right="159" w:firstLine="7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）综合管理服务：协助政府制定和组织实施辖区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内卫生健康事业发展规划；管理、指导村卫生室业务工作， </w:t>
      </w:r>
      <w:r>
        <w:rPr>
          <w:rFonts w:hint="eastAsia" w:ascii="仿宋_GB2312" w:hAnsi="仿宋_GB2312" w:eastAsia="仿宋_GB2312" w:cs="仿宋_GB2312"/>
          <w:sz w:val="32"/>
          <w:szCs w:val="32"/>
        </w:rPr>
        <w:t>并对乡村医生开展相关技能培训；开展医保政策法规宣传咨询，配合做好即时补偿结算等工作。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334" w:firstLine="7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1"/>
          <w:w w:val="95"/>
          <w:sz w:val="32"/>
          <w:szCs w:val="32"/>
        </w:rPr>
        <w:t xml:space="preserve">完成攀枝花市仁和区卫生健康局交办的其他工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作任务。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（三）人员概况。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太平乡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卫生院（攀枝花市仁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和区</w:t>
      </w:r>
      <w:r>
        <w:rPr>
          <w:rFonts w:hint="eastAsia" w:ascii="仿宋_GB2312" w:hAnsi="仿宋_GB2312" w:cs="仿宋_GB2312"/>
          <w:w w:val="95"/>
          <w:sz w:val="32"/>
          <w:szCs w:val="32"/>
          <w:lang w:eastAsia="zh-CN"/>
        </w:rPr>
        <w:t>太平乡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妇幼保健站）</w:t>
      </w:r>
      <w:r>
        <w:rPr>
          <w:rFonts w:hint="eastAsia" w:ascii="仿宋_GB2312" w:hAnsi="仿宋_GB2312" w:cs="仿宋_GB2312"/>
          <w:w w:val="95"/>
          <w:sz w:val="32"/>
          <w:szCs w:val="32"/>
          <w:lang w:eastAsia="zh-CN"/>
        </w:rPr>
        <w:t>核定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事业编制13名，</w:t>
      </w:r>
      <w:r>
        <w:rPr>
          <w:rFonts w:hint="eastAsia" w:ascii="仿宋_GB2312" w:hAnsi="仿宋_GB2312" w:cs="仿宋_GB2312"/>
          <w:w w:val="95"/>
          <w:sz w:val="32"/>
          <w:szCs w:val="32"/>
          <w:lang w:eastAsia="zh-CN"/>
        </w:rPr>
        <w:t>现实有编制人数</w:t>
      </w:r>
      <w:r>
        <w:rPr>
          <w:rFonts w:hint="eastAsia" w:ascii="仿宋_GB2312" w:hAnsi="仿宋_GB2312" w:cs="仿宋_GB2312"/>
          <w:w w:val="95"/>
          <w:sz w:val="32"/>
          <w:szCs w:val="32"/>
          <w:lang w:val="en-US" w:eastAsia="zh-CN"/>
        </w:rPr>
        <w:t>12人；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领导职数</w:t>
      </w:r>
      <w:r>
        <w:rPr>
          <w:rFonts w:hint="eastAsia" w:ascii="仿宋_GB2312" w:hAnsi="仿宋_GB2312" w:cs="仿宋_GB2312"/>
          <w:w w:val="9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名，其 中：党支部书记、院长1名， </w:t>
      </w:r>
      <w:r>
        <w:rPr>
          <w:rFonts w:hint="eastAsia" w:ascii="仿宋_GB2312" w:hAnsi="仿宋_GB2312" w:eastAsia="仿宋_GB2312" w:cs="仿宋_GB2312"/>
          <w:sz w:val="32"/>
          <w:szCs w:val="32"/>
        </w:rPr>
        <w:t>副院长2名。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现有专业技术人员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11人，现有临聘人员8人。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二、部门财政资金收支情况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（一）部门财政资金收入情况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年</w:t>
      </w:r>
      <w:r>
        <w:rPr>
          <w:rFonts w:hint="eastAsia" w:ascii="仿宋_GB2312" w:hAnsi="仿宋_GB2312" w:cs="仿宋_GB2312"/>
          <w:spacing w:val="30"/>
          <w:sz w:val="32"/>
          <w:szCs w:val="32"/>
          <w:highlight w:val="none"/>
          <w:lang w:eastAsia="zh-CN"/>
        </w:rPr>
        <w:t>太平乡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  <w:lang w:eastAsia="zh-CN"/>
        </w:rPr>
        <w:t>卫生院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预算安排总额为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281.96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万元，其中：当年财政拨款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基本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151.22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万元，项目收入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129.68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,2022年结转结余资金1.06万元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太平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卫生院决算收入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281.96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万元，其中一般公共预算财政拨款收入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281.96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万元，政府性基金预算财政拨款收入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（二）部门财政资金支出情况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攀枝花市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太平乡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卫生院202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年支出总额为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230.27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万元，其中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经费为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151.22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万元，部门预算项目支出为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77.99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万元，专项项目支出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,2022年结转结余支出1.06万元。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部门整体预算绩效管理情况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目标制定：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我单位严格按照规定使用财政拨付资金进行以下工作：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辖区一般常见病、多发病、地方病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基本医疗服务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建立城乡居民健康档案，提供健康教育、预防接种、儿童健康管理、孕产妇健康管理、老年人健康管理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等公共卫生服务。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③开展乡村医生技能培训、医保政策宣传等综合管理服务。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2.目标实现：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人员类：完成了对工资、津补贴、绩效、保险、职业年金、住房公积金、抚恤金的支付。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运转类：医疗卫生管理经费完成了对药品、材料、试剂、疫苗、检测、杂支等费用的部分支付；医疗服务与保障能力提升（中医药事业传承与发展部分）完成了对中医馆购买设备费用的支付。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3.支出控制、及时处置：对资金的支出严格按相关规定进行支付、控制，并对工作中支付失败的资金及时进行了重付。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4.执行进度：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（1）基药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资金预算下达数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32.87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万元，已使用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15.19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万元，使用率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46.21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%。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基本公共卫生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88.07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57.93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65.77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（3）重大公共卫生补助资金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4.93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0.45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0.09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（4）村卫生室补助资金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1.0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（5）村医养老保险补助资金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（6）医疗卫生管理经费2022年度结转 1.06万元，已使用 1.06万元，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(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)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基本支出资金预算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151.22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万元，已使用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151.22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5.预算完成情况：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从我单位决算报表反映202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年总收入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281.96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万元，其中：一般公共预算财政拨款收入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151.22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万元,政府性基金预算财政拨款收入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万元，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部门预算项目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收入：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129.68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2022年结转结余收入 1.06万元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。202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年实际支出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230.27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基本支出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151.22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，项目支出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77.99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万元, 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结转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结余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支出1.06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万元。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6.本年度我单位无资金违规记录。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（二）结果应用情况。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、基本医疗服务：医院门诊人次在202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年基础上增加3%。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、基本公共卫生：已完成全年基本公共卫生工作指标；高血压管理率达90%、糖尿病管理率达90%、老年人管理率达90%、孕产妇管理率达100%、儿童管理率达95%。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财政资金完成情况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4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数量指标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仁和区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太平乡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卫生院202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年财政供养人数1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人，实际完成数1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人，完成率100%。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质量指标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人员经费保障率100%。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③、时效指标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人员支出保障时限为202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年1--12月，已经100%完成。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、成本指标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年全年支出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281.96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、社会效益指标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提高卫生院在群众中的知晓率和满意度，推动卫生健康事业高质量发展，群众满意度达到9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、可持续影响指标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推动卫生健康事业高质量发展，完成率95%。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、满意度指标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群众满意度达到9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自评质量。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经过对我院202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年项目支出情况进行总体评估，我院完善了院内财务内控制度，所有支出均按照财务相关规定支付，不存在违规支付、超标准支付等情况。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四、评价结论及建议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（一）评价结论。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项目支出符合财政管理规定。经过对我院202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年项目支出情况进行总体评估，我院完善了院内财务内控制度，所有支出均按照财务相关规定支付，不存在违规支付、超标准支付等情况。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存在问题。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预算数低于决算数，是因为预算不够精确，预算水平有待进一步提高。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改进建议。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加强预算人员培训学习，提升预算人员专业技能水平，提升预算准确性。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6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FDD749"/>
    <w:multiLevelType w:val="singleLevel"/>
    <w:tmpl w:val="D2FDD74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EFBDCD"/>
    <w:multiLevelType w:val="singleLevel"/>
    <w:tmpl w:val="31EFBDC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794925"/>
    <w:multiLevelType w:val="singleLevel"/>
    <w:tmpl w:val="3E7949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441F12B"/>
    <w:multiLevelType w:val="singleLevel"/>
    <w:tmpl w:val="6441F12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YWYyNjZmNWNhMDIxNWFhMGVhMDViOGUyZDc1YWU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3CB78CE"/>
    <w:rsid w:val="03ED77D3"/>
    <w:rsid w:val="055B3585"/>
    <w:rsid w:val="09581A6F"/>
    <w:rsid w:val="0C2648BA"/>
    <w:rsid w:val="0C6B0EE1"/>
    <w:rsid w:val="0D591029"/>
    <w:rsid w:val="0DC31556"/>
    <w:rsid w:val="0DFC7883"/>
    <w:rsid w:val="10BE1D2E"/>
    <w:rsid w:val="1A3D6143"/>
    <w:rsid w:val="1B936EF8"/>
    <w:rsid w:val="1C013801"/>
    <w:rsid w:val="1D794956"/>
    <w:rsid w:val="1DDB32DF"/>
    <w:rsid w:val="208E703F"/>
    <w:rsid w:val="21647A64"/>
    <w:rsid w:val="22AE3062"/>
    <w:rsid w:val="23897A75"/>
    <w:rsid w:val="25C5042C"/>
    <w:rsid w:val="2A903EAD"/>
    <w:rsid w:val="2B124DD6"/>
    <w:rsid w:val="2C0A01B3"/>
    <w:rsid w:val="2D527252"/>
    <w:rsid w:val="2DD85AA2"/>
    <w:rsid w:val="2EAE55F2"/>
    <w:rsid w:val="2EDF4302"/>
    <w:rsid w:val="335833CC"/>
    <w:rsid w:val="3D675EB7"/>
    <w:rsid w:val="40443034"/>
    <w:rsid w:val="43E63E97"/>
    <w:rsid w:val="46DD455B"/>
    <w:rsid w:val="47550EBA"/>
    <w:rsid w:val="47F12A63"/>
    <w:rsid w:val="48737158"/>
    <w:rsid w:val="49E6291A"/>
    <w:rsid w:val="4A424663"/>
    <w:rsid w:val="4A477539"/>
    <w:rsid w:val="4ACF16AD"/>
    <w:rsid w:val="4B481211"/>
    <w:rsid w:val="501F45BB"/>
    <w:rsid w:val="533C17E0"/>
    <w:rsid w:val="59A9020E"/>
    <w:rsid w:val="5A7A4C80"/>
    <w:rsid w:val="5BA631F6"/>
    <w:rsid w:val="5BCF2793"/>
    <w:rsid w:val="5E5513A3"/>
    <w:rsid w:val="5EDB6441"/>
    <w:rsid w:val="5F0A19FF"/>
    <w:rsid w:val="62B4751F"/>
    <w:rsid w:val="66040357"/>
    <w:rsid w:val="6636451A"/>
    <w:rsid w:val="690754B2"/>
    <w:rsid w:val="6A415D0D"/>
    <w:rsid w:val="6D0112EE"/>
    <w:rsid w:val="6EF65E9C"/>
    <w:rsid w:val="71397E03"/>
    <w:rsid w:val="71601583"/>
    <w:rsid w:val="77C3049B"/>
    <w:rsid w:val="77FFA8F9"/>
    <w:rsid w:val="7A9314AC"/>
    <w:rsid w:val="7B186C77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qFormat/>
    <w:uiPriority w:val="1"/>
    <w:pPr>
      <w:ind w:left="128"/>
    </w:pPr>
    <w:rPr>
      <w:rFonts w:ascii="Arial Unicode MS" w:hAnsi="Arial Unicode MS" w:eastAsia="Arial Unicode MS" w:cs="Arial Unicode MS"/>
      <w:sz w:val="33"/>
      <w:szCs w:val="33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10"/>
    <w:link w:val="12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4">
    <w:name w:val="文档结构图 Char"/>
    <w:basedOn w:val="10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114</Words>
  <Characters>650</Characters>
  <Lines>5</Lines>
  <Paragraphs>1</Paragraphs>
  <TotalTime>48</TotalTime>
  <ScaleCrop>false</ScaleCrop>
  <LinksUpToDate>false</LinksUpToDate>
  <CharactersWithSpaces>763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我愿自生自灭</cp:lastModifiedBy>
  <cp:lastPrinted>2022-03-26T08:26:00Z</cp:lastPrinted>
  <dcterms:modified xsi:type="dcterms:W3CDTF">2024-05-17T07:30:17Z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E6F3C2D9CD52452F82A230D7B40F29AA</vt:lpwstr>
  </property>
</Properties>
</file>