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p>
    <w:p>
      <w:pPr>
        <w:widowControl/>
        <w:spacing w:line="580" w:lineRule="exact"/>
        <w:contextualSpacing/>
        <w:rPr>
          <w:rFonts w:eastAsia="宋体"/>
          <w:b/>
          <w:sz w:val="44"/>
          <w:szCs w:val="44"/>
          <w:shd w:val="clear" w:color="auto" w:fill="FFFFFF"/>
        </w:rPr>
      </w:pPr>
      <w:r>
        <w:rPr>
          <w:b/>
          <w:sz w:val="36"/>
          <w:szCs w:val="36"/>
        </w:rPr>
        <w:pict>
          <v:shape id="_x0000_s1026" o:spid="_x0000_s1026" o:spt="136" type="#_x0000_t136" style="position:absolute;left:0pt;margin-left:31.8pt;margin-top:13.05pt;height:54.6pt;width:441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攀枝花市仁和区布德镇卫生院文件" style="font-family:方正小标宋简体;font-size:36pt;v-text-align:center;"/>
          </v:shape>
        </w:pict>
      </w:r>
    </w:p>
    <w:p>
      <w:pPr>
        <w:widowControl/>
        <w:spacing w:line="580" w:lineRule="exact"/>
        <w:contextualSpacing/>
        <w:jc w:val="center"/>
        <w:rPr>
          <w:rFonts w:eastAsia="宋体"/>
          <w:b/>
          <w:sz w:val="44"/>
          <w:szCs w:val="44"/>
          <w:shd w:val="clear" w:color="auto" w:fill="FFFFFF"/>
        </w:rPr>
      </w:pPr>
    </w:p>
    <w:p>
      <w:pPr>
        <w:snapToGrid w:val="0"/>
        <w:spacing w:line="300" w:lineRule="auto"/>
        <w:ind w:firstLine="714" w:firstLineChars="800"/>
        <w:rPr>
          <w:rFonts w:hint="eastAsia" w:ascii="仿宋_GB2312" w:hAnsi="宋体" w:eastAsia="仿宋_GB2312"/>
          <w:b/>
          <w:color w:val="FF0000"/>
          <w:spacing w:val="-36"/>
          <w:w w:val="50"/>
          <w:sz w:val="32"/>
          <w:szCs w:val="32"/>
        </w:rPr>
      </w:pPr>
    </w:p>
    <w:p>
      <w:pPr>
        <w:snapToGrid w:val="0"/>
        <w:spacing w:line="300" w:lineRule="auto"/>
        <w:ind w:firstLine="714" w:firstLineChars="800"/>
        <w:rPr>
          <w:rFonts w:ascii="仿宋_GB2312" w:hAnsi="宋体" w:eastAsia="仿宋_GB2312"/>
          <w:b/>
          <w:color w:val="FF0000"/>
          <w:spacing w:val="-36"/>
          <w:w w:val="50"/>
          <w:sz w:val="32"/>
          <w:szCs w:val="32"/>
        </w:rPr>
      </w:pPr>
      <w:r>
        <w:rPr>
          <w:rFonts w:hint="eastAsia" w:ascii="仿宋_GB2312" w:hAnsi="宋体" w:eastAsia="仿宋_GB2312"/>
          <w:b/>
          <w:color w:val="FF0000"/>
          <w:spacing w:val="-36"/>
          <w:w w:val="50"/>
          <w:sz w:val="32"/>
          <w:szCs w:val="32"/>
        </w:rPr>
        <w:t>━━━━━━━━━━━━━━━━━━━━━━━━━━━━━━━━━━━━━━━━━━━━━━━━━━━━━━━━━━━</w:t>
      </w:r>
      <w:r>
        <w:rPr>
          <w:rFonts w:ascii="仿宋_GB2312" w:hAnsi="宋体" w:eastAsia="仿宋_GB2312"/>
          <w:b/>
          <w:color w:val="FF0000"/>
          <w:spacing w:val="-36"/>
          <w:w w:val="50"/>
          <w:sz w:val="32"/>
          <w:szCs w:val="32"/>
        </w:rPr>
        <w:t xml:space="preserve">            </w:t>
      </w:r>
      <w:r>
        <w:rPr>
          <w:rFonts w:hint="eastAsia" w:ascii="仿宋_GB2312" w:hAnsi="宋体" w:eastAsia="仿宋_GB2312"/>
          <w:b/>
          <w:color w:val="FF0000"/>
          <w:spacing w:val="-36"/>
          <w:w w:val="50"/>
          <w:sz w:val="32"/>
          <w:szCs w:val="32"/>
        </w:rPr>
        <w:t>━━━━             ━━━━━━━━━━━━━━━━━━━━━━━━━━━</w:t>
      </w:r>
      <w:r>
        <w:rPr>
          <w:rFonts w:ascii="仿宋_GB2312" w:hAnsi="宋体" w:eastAsia="仿宋_GB2312"/>
          <w:b/>
          <w:color w:val="FF0000"/>
          <w:spacing w:val="-36"/>
          <w:w w:val="50"/>
          <w:sz w:val="32"/>
          <w:szCs w:val="32"/>
        </w:rPr>
        <w:t xml:space="preserve">   </w:t>
      </w:r>
      <w:r>
        <w:rPr>
          <w:rFonts w:hint="eastAsia" w:ascii="仿宋_GB2312" w:hAnsi="宋体" w:eastAsia="仿宋_GB2312"/>
          <w:b/>
          <w:color w:val="FF0000"/>
          <w:spacing w:val="-36"/>
          <w:w w:val="50"/>
          <w:sz w:val="32"/>
          <w:szCs w:val="32"/>
        </w:rPr>
        <w:t xml:space="preserve">   </w:t>
      </w:r>
      <w:r>
        <w:rPr>
          <w:rFonts w:ascii="仿宋_GB2312" w:hAnsi="宋体" w:eastAsia="仿宋_GB2312"/>
          <w:b/>
          <w:color w:val="FF0000"/>
          <w:spacing w:val="-36"/>
          <w:w w:val="50"/>
          <w:sz w:val="32"/>
          <w:szCs w:val="32"/>
        </w:rPr>
        <w:t xml:space="preserve">       </w:t>
      </w:r>
    </w:p>
    <w:p>
      <w:pPr>
        <w:pStyle w:val="6"/>
        <w:jc w:val="center"/>
        <w:rPr>
          <w:rFonts w:eastAsia="宋体"/>
          <w:b/>
          <w:sz w:val="44"/>
          <w:szCs w:val="44"/>
          <w:shd w:val="clear" w:color="auto" w:fill="FFFFFF"/>
        </w:rPr>
      </w:pPr>
      <w:r>
        <w:rPr>
          <w:rFonts w:hint="eastAsia" w:ascii="宋体" w:hAnsi="宋体" w:eastAsia="宋体" w:cs="宋体"/>
          <w:kern w:val="0"/>
          <w:sz w:val="44"/>
          <w:szCs w:val="44"/>
          <w:lang w:val="en-US" w:eastAsia="zh-CN"/>
        </w:rPr>
        <w:t xml:space="preserve"> </w:t>
      </w:r>
      <w:r>
        <w:rPr>
          <w:rFonts w:eastAsia="宋体"/>
          <w:b/>
          <w:sz w:val="44"/>
          <w:szCs w:val="44"/>
          <w:shd w:val="clear" w:color="auto" w:fill="FFFFFF"/>
        </w:rPr>
        <w:t>20</w:t>
      </w:r>
      <w:r>
        <w:rPr>
          <w:rFonts w:hint="eastAsia" w:eastAsia="宋体"/>
          <w:b/>
          <w:sz w:val="44"/>
          <w:szCs w:val="44"/>
          <w:shd w:val="clear" w:color="auto" w:fill="FFFFFF"/>
          <w:lang w:val="en-US" w:eastAsia="zh-CN"/>
        </w:rPr>
        <w:t>23</w:t>
      </w:r>
      <w:r>
        <w:rPr>
          <w:rFonts w:eastAsia="宋体"/>
          <w:b/>
          <w:sz w:val="44"/>
          <w:szCs w:val="44"/>
          <w:shd w:val="clear" w:color="auto" w:fill="FFFFFF"/>
        </w:rPr>
        <w:t>年</w:t>
      </w:r>
      <w:r>
        <w:rPr>
          <w:rFonts w:hint="eastAsia" w:eastAsia="宋体"/>
          <w:b/>
          <w:sz w:val="44"/>
          <w:szCs w:val="44"/>
          <w:shd w:val="clear" w:color="auto" w:fill="FFFFFF"/>
          <w:lang w:val="en-US" w:eastAsia="zh-CN"/>
        </w:rPr>
        <w:t>布德镇卫生院部门</w:t>
      </w:r>
      <w:r>
        <w:rPr>
          <w:rFonts w:eastAsia="宋体"/>
          <w:b/>
          <w:sz w:val="44"/>
          <w:szCs w:val="44"/>
          <w:shd w:val="clear" w:color="auto" w:fill="FFFFFF"/>
        </w:rPr>
        <w:t>整体支出</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w:t>
      </w:r>
      <w:r>
        <w:rPr>
          <w:rFonts w:hint="eastAsia" w:eastAsia="宋体"/>
          <w:b/>
          <w:sz w:val="44"/>
          <w:szCs w:val="44"/>
          <w:shd w:val="clear" w:color="auto" w:fill="FFFFFF"/>
          <w:lang w:val="en-US" w:eastAsia="zh-CN"/>
        </w:rPr>
        <w:t>自评</w:t>
      </w:r>
      <w:r>
        <w:rPr>
          <w:rFonts w:eastAsia="宋体"/>
          <w:b/>
          <w:sz w:val="44"/>
          <w:szCs w:val="44"/>
          <w:shd w:val="clear" w:color="auto" w:fill="FFFFFF"/>
        </w:rPr>
        <w:t>报告</w:t>
      </w:r>
    </w:p>
    <w:p>
      <w:pPr>
        <w:widowControl/>
        <w:adjustRightInd w:val="0"/>
        <w:snapToGrid w:val="0"/>
        <w:spacing w:line="580" w:lineRule="exact"/>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color w:val="000000"/>
          <w:kern w:val="0"/>
          <w:szCs w:val="32"/>
          <w:shd w:val="clear" w:color="auto" w:fill="FFFFFF"/>
          <w:lang w:val="zh-CN"/>
        </w:rPr>
        <w:t>（一）</w:t>
      </w:r>
      <w:r>
        <w:rPr>
          <w:rFonts w:hint="eastAsia"/>
          <w:color w:val="000000"/>
          <w:kern w:val="0"/>
          <w:szCs w:val="32"/>
          <w:shd w:val="clear" w:color="auto" w:fill="FFFFFF"/>
          <w:lang w:val="en-US" w:eastAsia="zh-CN"/>
        </w:rPr>
        <w:t>机构组成。</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仿宋_GB2312"/>
          <w:sz w:val="32"/>
          <w:szCs w:val="32"/>
        </w:rPr>
        <w:t>攀枝花市仁和区布德镇卫生院属于基层医疗卫生机构，</w:t>
      </w:r>
      <w:r>
        <w:rPr>
          <w:rFonts w:hint="eastAsia" w:ascii="仿宋_GB2312" w:hAnsi="仿宋_GB2312" w:cs="仿宋_GB2312"/>
          <w:sz w:val="32"/>
          <w:szCs w:val="32"/>
        </w:rPr>
        <w:t>主管部门攀枝花市仁和区卫生健康局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2023年卫生院设立</w:t>
      </w:r>
      <w:r>
        <w:rPr>
          <w:rFonts w:hint="eastAsia" w:ascii="仿宋_GB2312" w:hAnsi="仿宋_GB2312" w:eastAsia="仿宋_GB2312" w:cs="仿宋_GB2312"/>
          <w:b w:val="0"/>
          <w:bCs/>
          <w:sz w:val="32"/>
          <w:szCs w:val="32"/>
        </w:rPr>
        <w:t>办公室</w:t>
      </w:r>
      <w:r>
        <w:rPr>
          <w:rFonts w:hint="eastAsia" w:ascii="仿宋_GB2312" w:hAnsi="仿宋_GB2312" w:cs="仿宋_GB2312"/>
          <w:b w:val="0"/>
          <w:bCs/>
          <w:sz w:val="32"/>
          <w:szCs w:val="32"/>
          <w:lang w:eastAsia="zh-CN"/>
        </w:rPr>
        <w:t>、</w:t>
      </w:r>
      <w:r>
        <w:rPr>
          <w:rFonts w:hint="eastAsia" w:ascii="仿宋_GB2312" w:hAnsi="仿宋_GB2312" w:cs="仿宋_GB2312"/>
          <w:b w:val="0"/>
          <w:bCs/>
          <w:sz w:val="32"/>
          <w:szCs w:val="32"/>
          <w:lang w:val="en-US" w:eastAsia="zh-CN"/>
        </w:rPr>
        <w:t>临床组、</w:t>
      </w:r>
      <w:r>
        <w:rPr>
          <w:rFonts w:hint="eastAsia" w:ascii="仿宋_GB2312" w:hAnsi="仿宋_GB2312" w:eastAsia="仿宋_GB2312" w:cs="仿宋_GB2312"/>
          <w:b w:val="0"/>
          <w:bCs/>
          <w:sz w:val="32"/>
          <w:szCs w:val="32"/>
        </w:rPr>
        <w:t>公共卫生科</w:t>
      </w:r>
      <w:r>
        <w:rPr>
          <w:rFonts w:hint="eastAsia" w:ascii="仿宋_GB2312" w:hAnsi="仿宋_GB2312" w:cs="仿宋_GB2312"/>
          <w:b w:val="0"/>
          <w:bCs/>
          <w:sz w:val="32"/>
          <w:szCs w:val="32"/>
          <w:lang w:eastAsia="zh-CN"/>
        </w:rPr>
        <w:t>、综合</w:t>
      </w:r>
      <w:r>
        <w:rPr>
          <w:rFonts w:hint="eastAsia" w:ascii="仿宋_GB2312" w:hAnsi="仿宋_GB2312" w:cs="仿宋_GB2312"/>
          <w:b w:val="0"/>
          <w:bCs/>
          <w:sz w:val="32"/>
          <w:szCs w:val="32"/>
          <w:lang w:val="en-US" w:eastAsia="zh-CN"/>
        </w:rPr>
        <w:t>科、</w:t>
      </w:r>
      <w:r>
        <w:rPr>
          <w:rFonts w:hint="eastAsia" w:ascii="仿宋_GB2312" w:hAnsi="仿宋_GB2312" w:eastAsia="仿宋_GB2312" w:cs="仿宋_GB2312"/>
          <w:b w:val="0"/>
          <w:bCs/>
          <w:sz w:val="32"/>
          <w:szCs w:val="32"/>
        </w:rPr>
        <w:t>护理</w:t>
      </w:r>
      <w:r>
        <w:rPr>
          <w:rFonts w:hint="eastAsia" w:ascii="仿宋_GB2312" w:hAnsi="仿宋_GB2312" w:cs="仿宋_GB2312"/>
          <w:b w:val="0"/>
          <w:bCs/>
          <w:sz w:val="32"/>
          <w:szCs w:val="32"/>
          <w:lang w:eastAsia="zh-CN"/>
        </w:rPr>
        <w:t>组共计</w:t>
      </w:r>
      <w:r>
        <w:rPr>
          <w:rFonts w:hint="eastAsia" w:ascii="仿宋_GB2312" w:hAnsi="仿宋_GB2312" w:cs="仿宋_GB2312"/>
          <w:b w:val="0"/>
          <w:bCs/>
          <w:sz w:val="32"/>
          <w:szCs w:val="32"/>
          <w:lang w:val="en-US" w:eastAsia="zh-CN"/>
        </w:rPr>
        <w:t>六个科室</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机构职能</w:t>
      </w:r>
    </w:p>
    <w:p>
      <w:pPr>
        <w:pStyle w:val="7"/>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基本医疗服务：负责辖区一般常见病、多发病、地方病的基本医疗服务；现场救护和转诊服务；慢性病管理服务；母婴保健技术服务等。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者管理、结核病患者管理、中医药健康管理、传染病和突发公共卫生事件报告和处理、卫生计生监督协管等基本公共卫生服务。综合管理服务：协助政府制定和组织实施辖区内卫生健康事业发展规划；管理、指导村卫生室业务工作，并对乡村医生开展相关技能培训；开展医保政策法规宣传咨询，配合做好即时补偿结算等工作。完成攀枝花市仁和区卫生健康局交办的其他工作任务。    </w:t>
      </w:r>
    </w:p>
    <w:p>
      <w:pPr>
        <w:widowControl/>
        <w:numPr>
          <w:ilvl w:val="0"/>
          <w:numId w:val="1"/>
        </w:numPr>
        <w:adjustRightInd w:val="0"/>
        <w:snapToGrid w:val="0"/>
        <w:spacing w:line="580" w:lineRule="exact"/>
        <w:ind w:left="0" w:leftChars="0" w:firstLine="640" w:firstLineChars="200"/>
        <w:contextualSpacing/>
        <w:jc w:val="left"/>
        <w:rPr>
          <w:rFonts w:hint="eastAsia" w:ascii="仿宋_GB2312" w:hAnsi="仿宋_GB2312" w:eastAsia="仿宋_GB2312" w:cs="仿宋_GB2312"/>
          <w:color w:val="000000"/>
          <w:kern w:val="0"/>
          <w:szCs w:val="32"/>
          <w:shd w:val="clear" w:color="auto" w:fill="FFFFFF"/>
          <w:lang w:val="zh-CN"/>
        </w:rPr>
      </w:pPr>
      <w:r>
        <w:rPr>
          <w:rFonts w:hint="eastAsia" w:ascii="仿宋_GB2312" w:hAnsi="仿宋_GB2312" w:eastAsia="仿宋_GB2312" w:cs="仿宋_GB2312"/>
          <w:color w:val="000000"/>
          <w:kern w:val="0"/>
          <w:szCs w:val="32"/>
          <w:shd w:val="clear" w:color="auto" w:fill="FFFFFF"/>
          <w:lang w:val="zh-CN"/>
        </w:rPr>
        <w:t>人员概况。</w:t>
      </w:r>
    </w:p>
    <w:p>
      <w:pPr>
        <w:pStyle w:val="7"/>
        <w:widowControl/>
        <w:shd w:val="clear" w:color="auto" w:fill="FFFFFF"/>
        <w:spacing w:before="255" w:beforeAutospacing="0" w:after="255" w:afterAutospacing="0" w:line="560" w:lineRule="atLeast"/>
        <w:ind w:firstLine="640"/>
        <w:rPr>
          <w:rFonts w:ascii="仿宋" w:hAnsi="仿宋" w:eastAsia="仿宋" w:cs="仿宋"/>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年度年末</w:t>
      </w:r>
      <w:r>
        <w:rPr>
          <w:rFonts w:hint="eastAsia" w:ascii="仿宋_GB2312" w:hAnsi="仿宋_GB2312" w:eastAsia="仿宋_GB2312" w:cs="仿宋_GB2312"/>
          <w:color w:val="333333"/>
          <w:sz w:val="32"/>
          <w:szCs w:val="32"/>
          <w:shd w:val="clear" w:color="auto" w:fill="FFFFFF"/>
          <w:lang w:eastAsia="zh-CN"/>
        </w:rPr>
        <w:t>编制人数</w:t>
      </w:r>
      <w:r>
        <w:rPr>
          <w:rFonts w:hint="eastAsia" w:ascii="仿宋_GB2312" w:hAnsi="仿宋_GB2312" w:eastAsia="仿宋_GB2312" w:cs="仿宋_GB2312"/>
          <w:color w:val="333333"/>
          <w:sz w:val="32"/>
          <w:szCs w:val="32"/>
          <w:shd w:val="clear" w:color="auto" w:fill="FFFFFF"/>
          <w:lang w:val="en-US" w:eastAsia="zh-CN"/>
        </w:rPr>
        <w:t>21人，</w:t>
      </w:r>
      <w:r>
        <w:rPr>
          <w:rFonts w:hint="eastAsia" w:ascii="仿宋_GB2312" w:hAnsi="仿宋_GB2312" w:eastAsia="仿宋_GB2312" w:cs="仿宋_GB2312"/>
          <w:color w:val="333333"/>
          <w:sz w:val="32"/>
          <w:szCs w:val="32"/>
          <w:shd w:val="clear" w:color="auto" w:fill="FFFFFF"/>
        </w:rPr>
        <w:t>在职人数3</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人（其中：在编在岗1</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人，临聘专业技术人员1</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人）；退休人员</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人</w:t>
      </w:r>
      <w:r>
        <w:rPr>
          <w:rFonts w:hint="eastAsia" w:ascii="仿宋" w:hAnsi="仿宋" w:eastAsia="仿宋" w:cs="仿宋"/>
          <w:color w:val="333333"/>
          <w:sz w:val="32"/>
          <w:szCs w:val="32"/>
          <w:shd w:val="clear" w:color="auto" w:fill="FFFFFF"/>
        </w:rPr>
        <w:t>。</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val="zh-CN"/>
        </w:rPr>
      </w:pPr>
      <w:r>
        <w:rPr>
          <w:rFonts w:hint="eastAsia" w:ascii="仿宋_GB2312" w:hAnsi="仿宋_GB2312" w:eastAsia="仿宋_GB2312" w:cs="仿宋_GB2312"/>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333333"/>
          <w:szCs w:val="32"/>
          <w:shd w:val="clear" w:color="auto" w:fill="FFFFFF"/>
        </w:rPr>
        <w:t>202</w:t>
      </w:r>
      <w:r>
        <w:rPr>
          <w:rFonts w:hint="eastAsia" w:ascii="仿宋_GB2312" w:hAnsi="仿宋_GB2312" w:eastAsia="仿宋_GB2312" w:cs="仿宋_GB2312"/>
          <w:color w:val="333333"/>
          <w:szCs w:val="32"/>
          <w:shd w:val="clear" w:color="auto" w:fill="FFFFFF"/>
          <w:lang w:val="en-US" w:eastAsia="zh-CN"/>
        </w:rPr>
        <w:t>3</w:t>
      </w:r>
      <w:r>
        <w:rPr>
          <w:rFonts w:hint="eastAsia" w:ascii="仿宋_GB2312" w:hAnsi="仿宋_GB2312" w:eastAsia="仿宋_GB2312" w:cs="仿宋_GB2312"/>
          <w:color w:val="333333"/>
          <w:szCs w:val="32"/>
          <w:shd w:val="clear" w:color="auto" w:fill="FFFFFF"/>
        </w:rPr>
        <w:t>年布德镇卫生院财政资金收入</w:t>
      </w:r>
      <w:r>
        <w:rPr>
          <w:rFonts w:hint="eastAsia" w:ascii="仿宋_GB2312" w:hAnsi="仿宋_GB2312" w:cs="仿宋_GB2312"/>
          <w:color w:val="333333"/>
          <w:szCs w:val="32"/>
          <w:shd w:val="clear" w:color="auto" w:fill="FFFFFF"/>
          <w:lang w:val="en-US" w:eastAsia="zh-CN"/>
        </w:rPr>
        <w:t>452.66</w:t>
      </w:r>
      <w:r>
        <w:rPr>
          <w:rFonts w:hint="eastAsia" w:ascii="仿宋_GB2312" w:hAnsi="仿宋_GB2312" w:eastAsia="仿宋_GB2312" w:cs="仿宋_GB2312"/>
          <w:color w:val="333333"/>
          <w:szCs w:val="32"/>
          <w:shd w:val="clear" w:color="auto" w:fill="FFFFFF"/>
        </w:rPr>
        <w:t>万元，其中</w:t>
      </w:r>
      <w:r>
        <w:rPr>
          <w:rFonts w:hint="eastAsia" w:ascii="仿宋_GB2312" w:hAnsi="仿宋_GB2312" w:eastAsia="仿宋_GB2312" w:cs="仿宋_GB2312"/>
          <w:kern w:val="0"/>
          <w:szCs w:val="32"/>
        </w:rPr>
        <w:t>一般公共预算拨款收入</w:t>
      </w:r>
      <w:bookmarkStart w:id="0" w:name="_GoBack"/>
      <w:bookmarkEnd w:id="0"/>
      <w:r>
        <w:rPr>
          <w:rFonts w:hint="eastAsia" w:ascii="仿宋_GB2312" w:hAnsi="仿宋_GB2312" w:cs="仿宋_GB2312"/>
          <w:kern w:val="0"/>
          <w:szCs w:val="32"/>
          <w:lang w:val="en-US" w:eastAsia="zh-CN"/>
        </w:rPr>
        <w:t>439.27</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、政府性基金预算拨款收入</w:t>
      </w:r>
      <w:r>
        <w:rPr>
          <w:rFonts w:hint="eastAsia" w:ascii="仿宋_GB2312" w:hAnsi="仿宋_GB2312" w:eastAsia="仿宋_GB2312" w:cs="仿宋_GB2312"/>
          <w:kern w:val="0"/>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、国有资本经营预算拨款收入</w:t>
      </w:r>
      <w:r>
        <w:rPr>
          <w:rFonts w:hint="eastAsia" w:ascii="仿宋_GB2312" w:hAnsi="仿宋_GB2312" w:eastAsia="仿宋_GB2312" w:cs="仿宋_GB2312"/>
          <w:szCs w:val="32"/>
        </w:rPr>
        <w:t>0万元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上年结转结余13.39万元。</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val="zh-CN"/>
        </w:rPr>
      </w:pPr>
    </w:p>
    <w:p>
      <w:pPr>
        <w:widowControl/>
        <w:numPr>
          <w:ilvl w:val="0"/>
          <w:numId w:val="2"/>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val="zh-CN"/>
        </w:rPr>
      </w:pPr>
      <w:r>
        <w:rPr>
          <w:rFonts w:hint="eastAsia" w:ascii="仿宋_GB2312" w:hAnsi="仿宋_GB2312" w:eastAsia="仿宋_GB2312" w:cs="仿宋_GB2312"/>
          <w:color w:val="000000"/>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eastAsia="zh-CN"/>
        </w:rPr>
      </w:pPr>
      <w:r>
        <w:rPr>
          <w:rFonts w:hint="eastAsia" w:ascii="仿宋_GB2312" w:hAnsi="仿宋_GB2312" w:eastAsia="仿宋_GB2312" w:cs="仿宋_GB2312"/>
          <w:color w:val="333333"/>
          <w:szCs w:val="32"/>
          <w:shd w:val="clear" w:color="auto" w:fill="FFFFFF"/>
        </w:rPr>
        <w:t>202</w:t>
      </w:r>
      <w:r>
        <w:rPr>
          <w:rFonts w:hint="eastAsia" w:ascii="仿宋_GB2312" w:hAnsi="仿宋_GB2312" w:cs="仿宋_GB2312"/>
          <w:color w:val="333333"/>
          <w:szCs w:val="32"/>
          <w:shd w:val="clear" w:color="auto" w:fill="FFFFFF"/>
          <w:lang w:val="en-US" w:eastAsia="zh-CN"/>
        </w:rPr>
        <w:t>3</w:t>
      </w:r>
      <w:r>
        <w:rPr>
          <w:rFonts w:hint="eastAsia" w:ascii="仿宋_GB2312" w:hAnsi="仿宋_GB2312" w:eastAsia="仿宋_GB2312" w:cs="仿宋_GB2312"/>
          <w:color w:val="333333"/>
          <w:szCs w:val="32"/>
          <w:shd w:val="clear" w:color="auto" w:fill="FFFFFF"/>
        </w:rPr>
        <w:t>年部门财政资金支出</w:t>
      </w:r>
      <w:r>
        <w:rPr>
          <w:rFonts w:hint="eastAsia" w:ascii="仿宋_GB2312" w:hAnsi="仿宋_GB2312" w:eastAsia="仿宋_GB2312" w:cs="仿宋_GB2312"/>
          <w:color w:val="333333"/>
          <w:szCs w:val="32"/>
          <w:shd w:val="clear" w:color="auto" w:fill="FFFFFF"/>
          <w:lang w:val="en-US" w:eastAsia="zh-CN"/>
        </w:rPr>
        <w:t>383</w:t>
      </w:r>
      <w:r>
        <w:rPr>
          <w:rFonts w:hint="eastAsia" w:ascii="仿宋_GB2312" w:hAnsi="仿宋_GB2312" w:eastAsia="仿宋_GB2312" w:cs="仿宋_GB2312"/>
          <w:color w:val="333333"/>
          <w:szCs w:val="32"/>
          <w:shd w:val="clear" w:color="auto" w:fill="FFFFFF"/>
        </w:rPr>
        <w:t>万元。其中基本资金支出</w:t>
      </w:r>
      <w:r>
        <w:rPr>
          <w:rFonts w:hint="eastAsia" w:ascii="仿宋_GB2312" w:hAnsi="仿宋_GB2312" w:eastAsia="仿宋_GB2312" w:cs="仿宋_GB2312"/>
          <w:color w:val="333333"/>
          <w:szCs w:val="32"/>
          <w:shd w:val="clear" w:color="auto" w:fill="FFFFFF"/>
          <w:lang w:val="en-US" w:eastAsia="zh-CN"/>
        </w:rPr>
        <w:t>237.25</w:t>
      </w:r>
      <w:r>
        <w:rPr>
          <w:rFonts w:hint="eastAsia" w:ascii="仿宋_GB2312" w:hAnsi="仿宋_GB2312" w:eastAsia="仿宋_GB2312" w:cs="仿宋_GB2312"/>
          <w:color w:val="333333"/>
          <w:szCs w:val="32"/>
          <w:shd w:val="clear" w:color="auto" w:fill="FFFFFF"/>
        </w:rPr>
        <w:t>万元，是用于保障攀枝花市仁和区布德镇卫生</w:t>
      </w:r>
      <w:r>
        <w:rPr>
          <w:rFonts w:hint="eastAsia" w:ascii="仿宋_GB2312" w:hAnsi="仿宋_GB2312" w:eastAsia="仿宋_GB2312" w:cs="仿宋_GB2312"/>
          <w:color w:val="333333"/>
          <w:szCs w:val="32"/>
          <w:shd w:val="clear" w:color="auto" w:fill="FFFFFF"/>
          <w:lang w:eastAsia="zh-CN"/>
        </w:rPr>
        <w:t>院人员</w:t>
      </w:r>
      <w:r>
        <w:rPr>
          <w:rFonts w:hint="eastAsia" w:ascii="仿宋_GB2312" w:hAnsi="仿宋_GB2312" w:eastAsia="仿宋_GB2312" w:cs="仿宋_GB2312"/>
          <w:color w:val="333333"/>
          <w:szCs w:val="32"/>
          <w:shd w:val="clear" w:color="auto" w:fill="FFFFFF"/>
        </w:rPr>
        <w:t>支出，包括基本工资、津贴补贴、离退休费、住房公积金、社会保障等经费</w:t>
      </w:r>
      <w:r>
        <w:rPr>
          <w:rFonts w:hint="eastAsia" w:ascii="仿宋_GB2312" w:hAnsi="仿宋_GB2312" w:eastAsia="仿宋_GB2312" w:cs="仿宋_GB2312"/>
          <w:color w:val="333333"/>
          <w:szCs w:val="32"/>
          <w:shd w:val="clear" w:color="auto" w:fill="FFFFFF"/>
          <w:lang w:eastAsia="zh-CN"/>
        </w:rPr>
        <w:t>；</w:t>
      </w:r>
      <w:r>
        <w:rPr>
          <w:rFonts w:hint="eastAsia" w:ascii="仿宋_GB2312" w:hAnsi="仿宋_GB2312" w:cs="仿宋_GB2312"/>
          <w:color w:val="333333"/>
          <w:szCs w:val="32"/>
          <w:shd w:val="clear" w:color="auto" w:fill="FFFFFF"/>
          <w:lang w:val="en-US" w:eastAsia="zh-CN"/>
        </w:rPr>
        <w:t>基本公共卫生项目资金支出107.10万元、基本药物制度项目资金支出25.26万元、上年结转结余项目资金13.39万元，合计项目资金支出</w:t>
      </w:r>
      <w:r>
        <w:rPr>
          <w:rFonts w:hint="eastAsia" w:ascii="仿宋_GB2312" w:hAnsi="仿宋_GB2312" w:eastAsia="仿宋_GB2312" w:cs="仿宋_GB2312"/>
          <w:color w:val="333333"/>
          <w:szCs w:val="32"/>
          <w:shd w:val="clear" w:color="auto" w:fill="FFFFFF"/>
          <w:lang w:val="en-US" w:eastAsia="zh-CN"/>
        </w:rPr>
        <w:t>145.75</w:t>
      </w:r>
      <w:r>
        <w:rPr>
          <w:rFonts w:hint="eastAsia" w:ascii="仿宋_GB2312" w:hAnsi="仿宋_GB2312" w:eastAsia="仿宋_GB2312" w:cs="仿宋_GB2312"/>
          <w:color w:val="333333"/>
          <w:szCs w:val="32"/>
          <w:shd w:val="clear" w:color="auto" w:fill="FFFFFF"/>
        </w:rPr>
        <w:t>万元，用于保障攀枝花市仁和区布德镇卫生</w:t>
      </w:r>
      <w:r>
        <w:rPr>
          <w:rFonts w:hint="eastAsia" w:ascii="仿宋_GB2312" w:hAnsi="仿宋_GB2312" w:eastAsia="仿宋_GB2312" w:cs="仿宋_GB2312"/>
          <w:color w:val="333333"/>
          <w:szCs w:val="32"/>
          <w:shd w:val="clear" w:color="auto" w:fill="FFFFFF"/>
          <w:lang w:eastAsia="zh-CN"/>
        </w:rPr>
        <w:t>院</w:t>
      </w:r>
      <w:r>
        <w:rPr>
          <w:rFonts w:hint="eastAsia" w:ascii="仿宋_GB2312" w:hAnsi="仿宋_GB2312" w:eastAsia="仿宋_GB2312" w:cs="仿宋_GB2312"/>
          <w:color w:val="333333"/>
          <w:szCs w:val="32"/>
          <w:shd w:val="clear" w:color="auto" w:fill="FFFFFF"/>
        </w:rPr>
        <w:t>正常运转</w:t>
      </w:r>
      <w:r>
        <w:rPr>
          <w:rFonts w:hint="eastAsia" w:ascii="仿宋_GB2312" w:hAnsi="仿宋_GB2312" w:eastAsia="仿宋_GB2312" w:cs="仿宋_GB2312"/>
          <w:color w:val="333333"/>
          <w:szCs w:val="32"/>
          <w:shd w:val="clear" w:color="auto" w:fill="FFFFFF"/>
          <w:lang w:val="en-US" w:eastAsia="zh-CN"/>
        </w:rPr>
        <w:t>的</w:t>
      </w:r>
      <w:r>
        <w:rPr>
          <w:rStyle w:val="18"/>
          <w:rFonts w:hint="eastAsia" w:ascii="仿宋_GB2312" w:hAnsi="仿宋_GB2312" w:eastAsia="仿宋_GB2312" w:cs="仿宋_GB2312"/>
          <w:szCs w:val="32"/>
        </w:rPr>
        <w:t>人员</w:t>
      </w:r>
      <w:r>
        <w:rPr>
          <w:rStyle w:val="18"/>
          <w:rFonts w:hint="eastAsia" w:ascii="仿宋_GB2312" w:hAnsi="仿宋_GB2312" w:eastAsia="仿宋_GB2312" w:cs="仿宋_GB2312"/>
          <w:szCs w:val="32"/>
          <w:lang w:val="en-US" w:eastAsia="zh-CN"/>
        </w:rPr>
        <w:t>经费</w:t>
      </w:r>
      <w:r>
        <w:rPr>
          <w:rStyle w:val="18"/>
          <w:rFonts w:hint="eastAsia" w:ascii="仿宋_GB2312" w:hAnsi="仿宋_GB2312" w:eastAsia="仿宋_GB2312" w:cs="仿宋_GB2312"/>
          <w:szCs w:val="32"/>
        </w:rPr>
        <w:t>、办公经费、医药成本及</w:t>
      </w:r>
      <w:r>
        <w:rPr>
          <w:rFonts w:hint="eastAsia" w:ascii="仿宋_GB2312" w:hAnsi="仿宋_GB2312" w:eastAsia="仿宋_GB2312" w:cs="仿宋_GB2312"/>
          <w:color w:val="333333"/>
          <w:szCs w:val="32"/>
          <w:shd w:val="clear" w:color="auto" w:fill="FFFFFF"/>
        </w:rPr>
        <w:t>日常公用经费等</w:t>
      </w:r>
      <w:r>
        <w:rPr>
          <w:rFonts w:hint="eastAsia" w:ascii="仿宋_GB2312" w:hAnsi="仿宋_GB2312" w:eastAsia="仿宋_GB2312" w:cs="仿宋_GB2312"/>
          <w:color w:val="333333"/>
          <w:szCs w:val="32"/>
          <w:shd w:val="clear" w:color="auto" w:fill="FFFFFF"/>
          <w:lang w:eastAsia="zh-CN"/>
        </w:rPr>
        <w:t>。</w:t>
      </w:r>
    </w:p>
    <w:p>
      <w:pPr>
        <w:widowControl/>
        <w:numPr>
          <w:ilvl w:val="0"/>
          <w:numId w:val="0"/>
        </w:numPr>
        <w:adjustRightInd w:val="0"/>
        <w:snapToGrid w:val="0"/>
        <w:spacing w:line="580" w:lineRule="exact"/>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1、绩效目标制定：仁和区布德镇卫生院2023年部门预算按照财政部门要求编制基本支出预算，基本支出为人员经费。编制部门预算项目0个，无50万元以上特定目标类项目，部门绩效目标要素完整、细化量化并进行集体决策。</w:t>
      </w:r>
    </w:p>
    <w:p>
      <w:pPr>
        <w:pStyle w:val="7"/>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2、目标实现：</w:t>
      </w:r>
    </w:p>
    <w:p>
      <w:pPr>
        <w:pStyle w:val="7"/>
        <w:widowControl/>
        <w:shd w:val="clear" w:color="auto" w:fill="FFFFFF"/>
        <w:spacing w:before="255" w:beforeAutospacing="0" w:after="255" w:afterAutospacing="0" w:line="600" w:lineRule="atLeast"/>
        <w:ind w:firstLine="320" w:firstLineChars="1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（1）人员类年初预算</w:t>
      </w:r>
      <w:r>
        <w:rPr>
          <w:rFonts w:hint="eastAsia" w:ascii="仿宋_GB2312" w:hAnsi="仿宋_GB2312" w:cs="仿宋_GB2312"/>
          <w:color w:val="000000"/>
          <w:sz w:val="32"/>
          <w:szCs w:val="32"/>
          <w:shd w:val="clear" w:color="auto" w:fill="FFFFFF"/>
          <w:lang w:val="en-US" w:eastAsia="zh-CN"/>
        </w:rPr>
        <w:t>217.76</w:t>
      </w:r>
      <w:r>
        <w:rPr>
          <w:rFonts w:hint="eastAsia" w:ascii="仿宋_GB2312" w:hAnsi="仿宋_GB2312" w:eastAsia="仿宋_GB2312" w:cs="仿宋_GB2312"/>
          <w:color w:val="000000"/>
          <w:sz w:val="32"/>
          <w:szCs w:val="32"/>
          <w:shd w:val="clear" w:color="auto" w:fill="FFFFFF"/>
        </w:rPr>
        <w:t>万元，追加</w:t>
      </w:r>
      <w:r>
        <w:rPr>
          <w:rFonts w:hint="eastAsia" w:ascii="仿宋_GB2312" w:hAnsi="仿宋_GB2312" w:cs="仿宋_GB2312"/>
          <w:color w:val="000000"/>
          <w:sz w:val="32"/>
          <w:szCs w:val="32"/>
          <w:shd w:val="clear" w:color="auto" w:fill="FFFFFF"/>
          <w:lang w:val="en-US" w:eastAsia="zh-CN"/>
        </w:rPr>
        <w:t>19.49</w:t>
      </w:r>
      <w:r>
        <w:rPr>
          <w:rFonts w:hint="eastAsia" w:ascii="仿宋_GB2312" w:hAnsi="仿宋_GB2312" w:eastAsia="仿宋_GB2312" w:cs="仿宋_GB2312"/>
          <w:color w:val="000000"/>
          <w:sz w:val="32"/>
          <w:szCs w:val="32"/>
          <w:shd w:val="clear" w:color="auto" w:fill="FFFFFF"/>
        </w:rPr>
        <w:t>万元，合计</w:t>
      </w:r>
      <w:r>
        <w:rPr>
          <w:rFonts w:hint="eastAsia" w:ascii="仿宋_GB2312" w:hAnsi="仿宋_GB2312" w:cs="仿宋_GB2312"/>
          <w:color w:val="000000"/>
          <w:sz w:val="32"/>
          <w:szCs w:val="32"/>
          <w:shd w:val="clear" w:color="auto" w:fill="FFFFFF"/>
          <w:lang w:val="en-US" w:eastAsia="zh-CN"/>
        </w:rPr>
        <w:t>237.25</w:t>
      </w:r>
      <w:r>
        <w:rPr>
          <w:rFonts w:hint="eastAsia" w:ascii="仿宋_GB2312" w:hAnsi="仿宋_GB2312" w:eastAsia="仿宋_GB2312" w:cs="仿宋_GB2312"/>
          <w:color w:val="000000"/>
          <w:sz w:val="32"/>
          <w:szCs w:val="32"/>
          <w:shd w:val="clear" w:color="auto" w:fill="FFFFFF"/>
        </w:rPr>
        <w:t>万元，全年实际完成</w:t>
      </w:r>
      <w:r>
        <w:rPr>
          <w:rFonts w:hint="eastAsia" w:ascii="仿宋_GB2312" w:hAnsi="仿宋_GB2312" w:cs="仿宋_GB2312"/>
          <w:color w:val="000000"/>
          <w:sz w:val="32"/>
          <w:szCs w:val="32"/>
          <w:shd w:val="clear" w:color="auto" w:fill="FFFFFF"/>
          <w:lang w:val="en-US" w:eastAsia="zh-CN"/>
        </w:rPr>
        <w:t>237.25</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完成率</w:t>
      </w:r>
      <w:r>
        <w:rPr>
          <w:rFonts w:hint="eastAsia" w:ascii="仿宋_GB2312" w:hAnsi="仿宋_GB2312" w:cs="仿宋_GB2312"/>
          <w:color w:val="000000"/>
          <w:sz w:val="32"/>
          <w:szCs w:val="32"/>
          <w:shd w:val="clear" w:color="auto" w:fill="FFFFFF"/>
          <w:lang w:val="en-US" w:eastAsia="zh-CN"/>
        </w:rPr>
        <w:t>100</w:t>
      </w:r>
      <w:r>
        <w:rPr>
          <w:rFonts w:hint="eastAsia" w:ascii="仿宋_GB2312" w:hAnsi="仿宋_GB2312" w:eastAsia="仿宋_GB2312" w:cs="仿宋_GB2312"/>
          <w:color w:val="000000"/>
          <w:sz w:val="32"/>
          <w:szCs w:val="32"/>
          <w:shd w:val="clear" w:color="auto" w:fill="FFFFFF"/>
        </w:rPr>
        <w:t>%。</w:t>
      </w:r>
    </w:p>
    <w:p>
      <w:pPr>
        <w:pStyle w:val="7"/>
        <w:widowControl/>
        <w:shd w:val="clear" w:color="auto" w:fill="FFFFFF"/>
        <w:spacing w:before="255" w:beforeAutospacing="0" w:after="255" w:afterAutospacing="0" w:line="600" w:lineRule="atLeast"/>
        <w:ind w:firstLine="640"/>
        <w:rPr>
          <w:rFonts w:hint="eastAsia" w:ascii="仿宋_GB2312" w:hAnsi="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en-US" w:eastAsia="zh-CN"/>
        </w:rPr>
        <w:t>运转</w:t>
      </w:r>
      <w:r>
        <w:rPr>
          <w:rFonts w:hint="eastAsia" w:ascii="仿宋_GB2312" w:hAnsi="仿宋_GB2312" w:eastAsia="仿宋_GB2312" w:cs="仿宋_GB2312"/>
          <w:color w:val="000000"/>
          <w:sz w:val="32"/>
          <w:szCs w:val="32"/>
          <w:shd w:val="clear" w:color="auto" w:fill="FFFFFF"/>
        </w:rPr>
        <w:t>目标类：</w:t>
      </w:r>
      <w:r>
        <w:rPr>
          <w:rFonts w:hint="eastAsia" w:ascii="仿宋_GB2312" w:hAnsi="仿宋_GB2312" w:cs="仿宋_GB2312"/>
          <w:color w:val="000000"/>
          <w:sz w:val="32"/>
          <w:szCs w:val="32"/>
          <w:shd w:val="clear" w:color="auto" w:fill="FFFFFF"/>
          <w:lang w:eastAsia="zh-CN"/>
        </w:rPr>
        <w:t>部门预算项目</w:t>
      </w:r>
      <w:r>
        <w:rPr>
          <w:rFonts w:hint="eastAsia" w:ascii="仿宋_GB2312" w:hAnsi="仿宋_GB2312" w:cs="仿宋_GB2312"/>
          <w:color w:val="000000"/>
          <w:sz w:val="32"/>
          <w:szCs w:val="32"/>
          <w:shd w:val="clear" w:color="auto" w:fill="FFFFFF"/>
          <w:lang w:val="en-US" w:eastAsia="zh-CN"/>
        </w:rPr>
        <w:t>0万元</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eastAsia="zh-CN"/>
        </w:rPr>
        <w:t>追加</w:t>
      </w:r>
      <w:r>
        <w:rPr>
          <w:rFonts w:hint="eastAsia" w:ascii="仿宋_GB2312" w:hAnsi="仿宋_GB2312" w:cs="仿宋_GB2312"/>
          <w:color w:val="000000"/>
          <w:sz w:val="32"/>
          <w:szCs w:val="32"/>
          <w:shd w:val="clear" w:color="auto" w:fill="FFFFFF"/>
          <w:lang w:val="en-US" w:eastAsia="zh-CN"/>
        </w:rPr>
        <w:t>132.36万元，</w:t>
      </w:r>
      <w:r>
        <w:rPr>
          <w:rFonts w:hint="eastAsia" w:ascii="仿宋_GB2312" w:hAnsi="仿宋_GB2312" w:eastAsia="仿宋_GB2312" w:cs="仿宋_GB2312"/>
          <w:color w:val="000000"/>
          <w:sz w:val="32"/>
          <w:szCs w:val="32"/>
          <w:shd w:val="clear" w:color="auto" w:fill="FFFFFF"/>
        </w:rPr>
        <w:t>上年结转资金</w:t>
      </w:r>
      <w:r>
        <w:rPr>
          <w:rFonts w:hint="eastAsia" w:ascii="仿宋_GB2312" w:hAnsi="仿宋_GB2312" w:cs="仿宋_GB2312"/>
          <w:color w:val="000000"/>
          <w:sz w:val="32"/>
          <w:szCs w:val="32"/>
          <w:shd w:val="clear" w:color="auto" w:fill="FFFFFF"/>
          <w:lang w:val="en-US" w:eastAsia="zh-CN"/>
        </w:rPr>
        <w:t>13.39</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合计</w:t>
      </w:r>
      <w:r>
        <w:rPr>
          <w:rFonts w:hint="eastAsia" w:ascii="仿宋_GB2312" w:hAnsi="仿宋_GB2312" w:cs="仿宋_GB2312"/>
          <w:color w:val="000000"/>
          <w:sz w:val="32"/>
          <w:szCs w:val="32"/>
          <w:shd w:val="clear" w:color="auto" w:fill="FFFFFF"/>
          <w:lang w:val="en-US" w:eastAsia="zh-CN"/>
        </w:rPr>
        <w:t>145.75万元</w:t>
      </w:r>
      <w:r>
        <w:rPr>
          <w:rFonts w:hint="eastAsia" w:ascii="仿宋_GB2312" w:hAnsi="仿宋_GB2312" w:eastAsia="仿宋_GB2312" w:cs="仿宋_GB2312"/>
          <w:color w:val="000000"/>
          <w:sz w:val="32"/>
          <w:szCs w:val="32"/>
          <w:shd w:val="clear" w:color="auto" w:fill="FFFFFF"/>
        </w:rPr>
        <w:t>，全年实际完</w:t>
      </w:r>
      <w:r>
        <w:rPr>
          <w:rFonts w:hint="eastAsia" w:ascii="仿宋_GB2312" w:hAnsi="仿宋_GB2312" w:cs="仿宋_GB2312"/>
          <w:color w:val="000000"/>
          <w:sz w:val="32"/>
          <w:szCs w:val="32"/>
          <w:shd w:val="clear" w:color="auto" w:fill="FFFFFF"/>
          <w:lang w:val="en-US" w:eastAsia="zh-CN"/>
        </w:rPr>
        <w:t>145.75万元，完成</w:t>
      </w:r>
      <w:r>
        <w:rPr>
          <w:rFonts w:hint="eastAsia" w:ascii="仿宋_GB2312" w:hAnsi="仿宋_GB2312" w:eastAsia="仿宋_GB2312" w:cs="仿宋_GB2312"/>
          <w:color w:val="000000"/>
          <w:sz w:val="32"/>
          <w:szCs w:val="32"/>
          <w:shd w:val="clear" w:color="auto" w:fill="FFFFFF"/>
        </w:rPr>
        <w:t>率</w:t>
      </w:r>
      <w:r>
        <w:rPr>
          <w:rFonts w:hint="eastAsia" w:ascii="仿宋_GB2312" w:hAnsi="仿宋_GB2312" w:cs="仿宋_GB2312"/>
          <w:color w:val="000000"/>
          <w:sz w:val="32"/>
          <w:szCs w:val="32"/>
          <w:shd w:val="clear" w:color="auto" w:fill="FFFFFF"/>
          <w:lang w:val="en-US" w:eastAsia="zh-CN"/>
        </w:rPr>
        <w:t>100</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政府性基金</w:t>
      </w:r>
      <w:r>
        <w:rPr>
          <w:rFonts w:hint="eastAsia" w:ascii="仿宋_GB2312" w:hAnsi="仿宋_GB2312" w:cs="仿宋_GB2312"/>
          <w:color w:val="000000"/>
          <w:sz w:val="32"/>
          <w:szCs w:val="32"/>
          <w:shd w:val="clear" w:color="auto" w:fill="FFFFFF"/>
          <w:lang w:eastAsia="zh-CN"/>
        </w:rPr>
        <w:t>安排</w:t>
      </w:r>
      <w:r>
        <w:rPr>
          <w:rFonts w:hint="eastAsia" w:ascii="仿宋_GB2312" w:hAnsi="仿宋_GB2312" w:cs="仿宋_GB2312"/>
          <w:color w:val="000000"/>
          <w:sz w:val="32"/>
          <w:szCs w:val="32"/>
          <w:shd w:val="clear" w:color="auto" w:fill="FFFFFF"/>
          <w:lang w:val="en-US" w:eastAsia="zh-CN"/>
        </w:rPr>
        <w:t>0万元。</w:t>
      </w:r>
    </w:p>
    <w:p>
      <w:pPr>
        <w:pStyle w:val="7"/>
        <w:widowControl/>
        <w:shd w:val="clear" w:color="auto" w:fill="FFFFFF"/>
        <w:spacing w:before="255" w:beforeAutospacing="0" w:after="255" w:afterAutospacing="0" w:line="600" w:lineRule="atLeast"/>
        <w:ind w:firstLine="64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rPr>
        <w:t>）特定目标类</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年初预算</w:t>
      </w:r>
      <w:r>
        <w:rPr>
          <w:rFonts w:hint="eastAsia" w:ascii="仿宋" w:hAnsi="仿宋" w:eastAsia="仿宋" w:cs="仿宋"/>
          <w:color w:val="000000"/>
          <w:kern w:val="0"/>
          <w:sz w:val="32"/>
          <w:szCs w:val="32"/>
          <w:shd w:val="clear" w:color="auto" w:fill="FFFFFF"/>
          <w:lang w:val="en-US" w:eastAsia="zh-CN"/>
        </w:rPr>
        <w:t>0</w:t>
      </w:r>
      <w:r>
        <w:rPr>
          <w:rFonts w:hint="eastAsia" w:ascii="仿宋" w:hAnsi="仿宋" w:eastAsia="仿宋" w:cs="仿宋"/>
          <w:color w:val="000000"/>
          <w:kern w:val="0"/>
          <w:sz w:val="32"/>
          <w:szCs w:val="32"/>
          <w:shd w:val="clear" w:color="auto" w:fill="FFFFFF"/>
        </w:rPr>
        <w:t>万元</w:t>
      </w:r>
    </w:p>
    <w:p>
      <w:pPr>
        <w:pStyle w:val="7"/>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3、内部管理：已制定预算资金管理办法、内部财务管理制度、会计核算制度等管理制度；相关管理制度合法、合规、完整；并严格按照相关管理制度有效执行预算管理</w:t>
      </w:r>
    </w:p>
    <w:p>
      <w:pPr>
        <w:pStyle w:val="7"/>
        <w:widowControl/>
        <w:shd w:val="clear" w:color="auto" w:fill="FFFFFF"/>
        <w:spacing w:before="255" w:beforeAutospacing="0" w:after="255" w:afterAutospacing="0" w:line="600" w:lineRule="atLeas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支出控制：我单位202</w:t>
      </w:r>
      <w:r>
        <w:rPr>
          <w:rFonts w:hint="eastAsia" w:ascii="仿宋_GB2312" w:hAnsi="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三公</w:t>
      </w: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经费及</w:t>
      </w:r>
      <w:r>
        <w:rPr>
          <w:rFonts w:hint="eastAsia" w:ascii="仿宋_GB2312" w:hAnsi="仿宋_GB2312" w:eastAsia="仿宋_GB2312" w:cs="仿宋_GB2312"/>
          <w:color w:val="000000"/>
          <w:sz w:val="32"/>
          <w:szCs w:val="32"/>
          <w:shd w:val="clear" w:color="auto" w:fill="FFFFFF"/>
        </w:rPr>
        <w:t>日常公用经费支出</w:t>
      </w:r>
      <w:r>
        <w:rPr>
          <w:rFonts w:hint="eastAsia" w:ascii="仿宋_GB2312" w:hAnsi="仿宋_GB2312" w:eastAsia="仿宋_GB2312" w:cs="仿宋_GB2312"/>
          <w:color w:val="000000"/>
          <w:sz w:val="32"/>
          <w:szCs w:val="32"/>
          <w:shd w:val="clear" w:color="auto" w:fill="FFFFFF"/>
          <w:lang w:val="en-US" w:eastAsia="zh-CN"/>
        </w:rPr>
        <w:t>预算。</w:t>
      </w:r>
    </w:p>
    <w:p>
      <w:pPr>
        <w:pStyle w:val="7"/>
        <w:widowControl/>
        <w:shd w:val="clear" w:color="auto" w:fill="FFFFFF"/>
        <w:spacing w:before="255" w:beforeAutospacing="0" w:after="255" w:afterAutospacing="0" w:line="600" w:lineRule="atLeas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cs="仿宋_GB2312"/>
          <w:color w:val="000000"/>
          <w:sz w:val="32"/>
          <w:szCs w:val="32"/>
          <w:shd w:val="clear" w:color="auto" w:fill="FFFFFF"/>
          <w:lang w:val="en-US" w:eastAsia="zh-CN"/>
        </w:rPr>
        <w:t>5、</w:t>
      </w:r>
      <w:r>
        <w:rPr>
          <w:rFonts w:hint="eastAsia" w:ascii="仿宋_GB2312" w:hAnsi="仿宋_GB2312" w:cs="仿宋_GB2312"/>
          <w:color w:val="000000"/>
          <w:sz w:val="32"/>
          <w:szCs w:val="32"/>
          <w:shd w:val="clear" w:color="auto" w:fill="FFFFFF"/>
          <w:lang w:eastAsia="zh-CN"/>
        </w:rPr>
        <w:t>及时处置：</w:t>
      </w:r>
      <w:r>
        <w:rPr>
          <w:rFonts w:hint="eastAsia" w:ascii="仿宋_GB2312" w:hAnsi="仿宋_GB2312" w:eastAsia="仿宋_GB2312" w:cs="仿宋_GB2312"/>
          <w:color w:val="000000"/>
          <w:sz w:val="32"/>
          <w:szCs w:val="32"/>
          <w:shd w:val="clear" w:color="auto" w:fill="FFFFFF"/>
        </w:rPr>
        <w:t>布德镇卫生院20</w:t>
      </w:r>
      <w:r>
        <w:rPr>
          <w:rFonts w:hint="eastAsia" w:ascii="仿宋_GB2312" w:hAnsi="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年未开展绩效监控结果运用，经财政局核实不具备开展绩效结果应用</w:t>
      </w: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无及时处置情况。</w:t>
      </w:r>
    </w:p>
    <w:p>
      <w:pPr>
        <w:pStyle w:val="7"/>
        <w:widowControl/>
        <w:shd w:val="clear" w:color="auto" w:fill="FFFFFF"/>
        <w:spacing w:before="255" w:beforeAutospacing="0" w:after="255" w:afterAutospacing="0" w:line="600" w:lineRule="atLeast"/>
        <w:ind w:firstLine="640" w:firstLineChars="200"/>
        <w:rPr>
          <w:rFonts w:hint="eastAsia" w:ascii="仿宋_GB2312" w:hAnsi="仿宋_GB2312" w:cs="仿宋_GB2312"/>
          <w:color w:val="000000"/>
          <w:sz w:val="32"/>
          <w:szCs w:val="32"/>
          <w:shd w:val="clear" w:color="auto" w:fill="FFFFFF"/>
          <w:lang w:val="en-US" w:eastAsia="zh-CN"/>
        </w:rPr>
      </w:pPr>
      <w:r>
        <w:rPr>
          <w:rFonts w:hint="eastAsia" w:ascii="仿宋_GB2312" w:hAnsi="仿宋_GB2312" w:cs="仿宋_GB2312"/>
          <w:color w:val="000000"/>
          <w:sz w:val="32"/>
          <w:szCs w:val="32"/>
          <w:shd w:val="clear" w:color="auto" w:fill="FFFFFF"/>
          <w:lang w:val="en-US" w:eastAsia="zh-CN"/>
        </w:rPr>
        <w:t>6、</w:t>
      </w:r>
      <w:r>
        <w:rPr>
          <w:rFonts w:hint="eastAsia" w:ascii="仿宋_GB2312" w:hAnsi="仿宋_GB2312" w:cs="仿宋_GB2312"/>
          <w:color w:val="000000"/>
          <w:sz w:val="32"/>
          <w:szCs w:val="32"/>
          <w:shd w:val="clear" w:color="auto" w:fill="FFFFFF"/>
          <w:lang w:eastAsia="zh-CN"/>
        </w:rPr>
        <w:t>执行进度：</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年布德镇卫生院执行进度</w:t>
      </w:r>
      <w:r>
        <w:rPr>
          <w:rFonts w:hint="eastAsia" w:ascii="仿宋_GB2312" w:hAnsi="仿宋_GB2312" w:cs="仿宋_GB2312"/>
          <w:color w:val="000000"/>
          <w:sz w:val="32"/>
          <w:szCs w:val="32"/>
          <w:shd w:val="clear" w:color="auto" w:fill="FFFFFF"/>
          <w:lang w:val="en-US" w:eastAsia="zh-CN"/>
        </w:rPr>
        <w:t>截止12月完成全年支付的100%。6</w:t>
      </w:r>
      <w:r>
        <w:rPr>
          <w:rFonts w:hint="eastAsia" w:ascii="仿宋_GB2312" w:hAnsi="仿宋_GB2312" w:eastAsia="仿宋_GB2312" w:cs="仿宋_GB2312"/>
          <w:color w:val="000000"/>
          <w:sz w:val="32"/>
          <w:szCs w:val="32"/>
          <w:shd w:val="clear" w:color="auto" w:fill="FFFFFF"/>
        </w:rPr>
        <w:t>月实际支付完成</w:t>
      </w:r>
      <w:r>
        <w:rPr>
          <w:rFonts w:hint="eastAsia" w:ascii="仿宋_GB2312" w:hAnsi="仿宋_GB2312" w:cs="仿宋_GB2312"/>
          <w:color w:val="000000"/>
          <w:sz w:val="32"/>
          <w:szCs w:val="32"/>
          <w:shd w:val="clear" w:color="auto" w:fill="FFFFFF"/>
          <w:lang w:val="en-US" w:eastAsia="zh-CN"/>
        </w:rPr>
        <w:t>171.44</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完成全年支出</w:t>
      </w:r>
      <w:r>
        <w:rPr>
          <w:rFonts w:hint="eastAsia" w:ascii="仿宋_GB2312" w:hAnsi="仿宋_GB2312" w:cs="仿宋_GB2312"/>
          <w:color w:val="000000"/>
          <w:sz w:val="32"/>
          <w:szCs w:val="32"/>
          <w:shd w:val="clear" w:color="auto" w:fill="FFFFFF"/>
          <w:lang w:val="en-US" w:eastAsia="zh-CN"/>
        </w:rPr>
        <w:t>44.76</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、9月完成实际支付</w:t>
      </w:r>
      <w:r>
        <w:rPr>
          <w:rFonts w:hint="eastAsia" w:ascii="仿宋_GB2312" w:hAnsi="仿宋_GB2312" w:cs="仿宋_GB2312"/>
          <w:color w:val="000000"/>
          <w:sz w:val="32"/>
          <w:szCs w:val="32"/>
          <w:shd w:val="clear" w:color="auto" w:fill="FFFFFF"/>
          <w:lang w:val="en-US" w:eastAsia="zh-CN"/>
        </w:rPr>
        <w:t>284.23</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完成实际支付的</w:t>
      </w:r>
      <w:r>
        <w:rPr>
          <w:rFonts w:hint="eastAsia" w:ascii="仿宋_GB2312" w:hAnsi="仿宋_GB2312" w:cs="仿宋_GB2312"/>
          <w:color w:val="000000"/>
          <w:sz w:val="32"/>
          <w:szCs w:val="32"/>
          <w:shd w:val="clear" w:color="auto" w:fill="FFFFFF"/>
          <w:lang w:val="en-US" w:eastAsia="zh-CN"/>
        </w:rPr>
        <w:t>74.21</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、11月完成实际支付</w:t>
      </w:r>
      <w:r>
        <w:rPr>
          <w:rFonts w:hint="eastAsia" w:ascii="仿宋_GB2312" w:hAnsi="仿宋_GB2312" w:cs="仿宋_GB2312"/>
          <w:color w:val="000000"/>
          <w:sz w:val="32"/>
          <w:szCs w:val="32"/>
          <w:shd w:val="clear" w:color="auto" w:fill="FFFFFF"/>
          <w:lang w:val="en-US" w:eastAsia="zh-CN"/>
        </w:rPr>
        <w:t>329.85</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完成全年支付的</w:t>
      </w:r>
      <w:r>
        <w:rPr>
          <w:rFonts w:hint="eastAsia" w:ascii="仿宋_GB2312" w:hAnsi="仿宋_GB2312" w:cs="仿宋_GB2312"/>
          <w:color w:val="000000"/>
          <w:sz w:val="32"/>
          <w:szCs w:val="32"/>
          <w:shd w:val="clear" w:color="auto" w:fill="FFFFFF"/>
          <w:lang w:val="en-US" w:eastAsia="zh-CN"/>
        </w:rPr>
        <w:t>86.12</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cs="仿宋_GB2312"/>
          <w:color w:val="000000"/>
          <w:sz w:val="32"/>
          <w:szCs w:val="32"/>
          <w:shd w:val="clear" w:color="auto" w:fill="FFFFFF"/>
          <w:lang w:val="en-US" w:eastAsia="zh-CN"/>
        </w:rPr>
        <w:t>。</w:t>
      </w:r>
    </w:p>
    <w:p>
      <w:pPr>
        <w:pStyle w:val="7"/>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333333"/>
          <w:sz w:val="32"/>
          <w:szCs w:val="32"/>
          <w:lang w:eastAsia="zh-CN"/>
        </w:rPr>
      </w:pP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7</w:t>
      </w:r>
      <w:r>
        <w:rPr>
          <w:rFonts w:hint="eastAsia" w:ascii="仿宋_GB2312" w:hAnsi="仿宋_GB2312" w:cs="仿宋_GB2312"/>
          <w:color w:val="000000"/>
          <w:sz w:val="32"/>
          <w:szCs w:val="32"/>
          <w:shd w:val="clear" w:color="auto" w:fill="FFFFFF"/>
          <w:lang w:eastAsia="zh-CN"/>
        </w:rPr>
        <w:t>）完成效率：</w:t>
      </w:r>
      <w:r>
        <w:rPr>
          <w:rFonts w:hint="eastAsia" w:ascii="仿宋_GB2312" w:hAnsi="仿宋_GB2312" w:eastAsia="仿宋_GB2312" w:cs="仿宋_GB2312"/>
          <w:color w:val="000000"/>
          <w:sz w:val="32"/>
          <w:szCs w:val="32"/>
          <w:shd w:val="clear" w:color="auto" w:fill="FFFFFF"/>
        </w:rPr>
        <w:t>部门预算项目</w:t>
      </w:r>
      <w:r>
        <w:rPr>
          <w:rFonts w:hint="eastAsia" w:ascii="仿宋_GB2312" w:hAnsi="仿宋_GB2312" w:cs="仿宋_GB2312"/>
          <w:color w:val="000000"/>
          <w:sz w:val="32"/>
          <w:szCs w:val="32"/>
          <w:shd w:val="clear" w:color="auto" w:fill="FFFFFF"/>
          <w:lang w:val="en-US" w:eastAsia="zh-CN"/>
        </w:rPr>
        <w:t>基本公共卫生预算144..53万元，</w:t>
      </w:r>
      <w:r>
        <w:rPr>
          <w:rFonts w:hint="eastAsia" w:ascii="仿宋_GB2312" w:hAnsi="仿宋_GB2312" w:eastAsia="仿宋_GB2312" w:cs="仿宋_GB2312"/>
          <w:color w:val="000000"/>
          <w:sz w:val="32"/>
          <w:szCs w:val="32"/>
          <w:shd w:val="clear" w:color="auto" w:fill="FFFFFF"/>
        </w:rPr>
        <w:t>完成</w:t>
      </w:r>
      <w:r>
        <w:rPr>
          <w:rFonts w:hint="eastAsia" w:ascii="仿宋_GB2312" w:hAnsi="仿宋_GB2312" w:cs="仿宋_GB2312"/>
          <w:color w:val="000000"/>
          <w:sz w:val="32"/>
          <w:szCs w:val="32"/>
          <w:shd w:val="clear" w:color="auto" w:fill="FFFFFF"/>
          <w:lang w:val="en-US" w:eastAsia="zh-CN"/>
        </w:rPr>
        <w:t>支出102.58</w:t>
      </w:r>
      <w:r>
        <w:rPr>
          <w:rFonts w:hint="eastAsia" w:ascii="仿宋_GB2312" w:hAnsi="仿宋_GB2312" w:eastAsia="仿宋_GB2312" w:cs="仿宋_GB2312"/>
          <w:color w:val="000000"/>
          <w:sz w:val="32"/>
          <w:szCs w:val="32"/>
          <w:shd w:val="clear" w:color="auto" w:fill="FFFFFF"/>
        </w:rPr>
        <w:t>万元，实际完成率</w:t>
      </w:r>
      <w:r>
        <w:rPr>
          <w:rFonts w:hint="eastAsia" w:ascii="仿宋_GB2312" w:hAnsi="仿宋_GB2312" w:cs="仿宋_GB2312"/>
          <w:color w:val="000000"/>
          <w:sz w:val="32"/>
          <w:szCs w:val="32"/>
          <w:shd w:val="clear" w:color="auto" w:fill="FFFFFF"/>
          <w:lang w:val="en-US" w:eastAsia="zh-CN"/>
        </w:rPr>
        <w:t>71</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val="en-US" w:eastAsia="zh-CN"/>
        </w:rPr>
        <w:t>基本药物制度预算49.95万元，完成支付24.87实际完成率50%；乡村医生养老保障</w:t>
      </w:r>
      <w:r>
        <w:rPr>
          <w:rFonts w:hint="eastAsia" w:ascii="仿宋_GB2312" w:hAnsi="仿宋_GB2312" w:eastAsia="仿宋_GB2312" w:cs="仿宋_GB2312"/>
          <w:color w:val="000000"/>
          <w:sz w:val="32"/>
          <w:szCs w:val="32"/>
          <w:shd w:val="clear" w:color="auto" w:fill="FFFFFF"/>
        </w:rPr>
        <w:t>预算项目资金</w:t>
      </w:r>
      <w:r>
        <w:rPr>
          <w:rFonts w:hint="eastAsia" w:ascii="仿宋_GB2312" w:hAnsi="仿宋_GB2312" w:cs="仿宋_GB2312"/>
          <w:color w:val="000000"/>
          <w:sz w:val="32"/>
          <w:szCs w:val="32"/>
          <w:shd w:val="clear" w:color="auto" w:fill="FFFFFF"/>
          <w:lang w:val="en-US" w:eastAsia="zh-CN"/>
        </w:rPr>
        <w:t>0.8万元、完成支付0.4万元，实际完成率50%；重大传染病防控中央资金预算5.86万元，完成支付1.37万元，实际完成率23%；迎接党的二十大“强国复兴有我”群众性主题宣传活动（先进模范学习宣传活动）预算0.5万元，完成支付0.5万元，完成实际率100%；医疗卫生管理经费预算12.89，完成支付12.89，实际完成率100%；新并入基本公共卫生中央资金预算0.86万元，完成支付0.11万元，实际完成率13%。项目资金制度</w:t>
      </w:r>
      <w:r>
        <w:rPr>
          <w:rFonts w:hint="eastAsia" w:ascii="仿宋_GB2312" w:hAnsi="仿宋_GB2312" w:eastAsia="仿宋_GB2312" w:cs="仿宋_GB2312"/>
          <w:color w:val="000000"/>
          <w:sz w:val="32"/>
          <w:szCs w:val="32"/>
          <w:shd w:val="clear" w:color="auto" w:fill="FFFFFF"/>
        </w:rPr>
        <w:t>节约率小于0.1的项目</w:t>
      </w:r>
      <w:r>
        <w:rPr>
          <w:rFonts w:hint="eastAsia" w:ascii="仿宋_GB2312" w:hAnsi="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个</w:t>
      </w:r>
      <w:r>
        <w:rPr>
          <w:rFonts w:hint="eastAsia" w:ascii="仿宋_GB2312" w:hAnsi="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cs="仿宋_GB2312"/>
          <w:color w:val="000000"/>
          <w:sz w:val="32"/>
          <w:szCs w:val="32"/>
          <w:shd w:val="clear" w:color="auto" w:fill="FFFFFF"/>
          <w:lang w:val="en-US" w:eastAsia="zh-CN"/>
        </w:rPr>
        <w:t>资金支付</w:t>
      </w:r>
      <w:r>
        <w:rPr>
          <w:rFonts w:hint="eastAsia" w:ascii="仿宋_GB2312" w:hAnsi="仿宋_GB2312" w:eastAsia="仿宋_GB2312" w:cs="仿宋_GB2312"/>
          <w:color w:val="000000"/>
          <w:sz w:val="32"/>
          <w:szCs w:val="32"/>
          <w:shd w:val="clear" w:color="auto" w:fill="FFFFFF"/>
        </w:rPr>
        <w:t>未出现违规记录</w:t>
      </w:r>
      <w:r>
        <w:rPr>
          <w:rFonts w:hint="eastAsia" w:ascii="仿宋_GB2312" w:hAnsi="仿宋_GB2312" w:eastAsia="仿宋_GB2312" w:cs="仿宋_GB2312"/>
          <w:color w:val="000000"/>
          <w:sz w:val="32"/>
          <w:szCs w:val="32"/>
          <w:shd w:val="clear" w:color="auto" w:fill="FFFFFF"/>
          <w:lang w:eastAsia="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numPr>
          <w:ilvl w:val="0"/>
          <w:numId w:val="2"/>
        </w:numPr>
        <w:adjustRightInd w:val="0"/>
        <w:snapToGrid w:val="0"/>
        <w:spacing w:line="58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val="zh-CN" w:eastAsia="zh-CN"/>
        </w:rPr>
      </w:pPr>
      <w:r>
        <w:rPr>
          <w:rFonts w:hint="eastAsia" w:ascii="仿宋_GB2312" w:hAnsi="仿宋_GB2312" w:eastAsia="仿宋_GB2312" w:cs="仿宋_GB2312"/>
          <w:color w:val="333333"/>
          <w:szCs w:val="32"/>
          <w:shd w:val="clear" w:color="auto" w:fill="FFFFFF"/>
        </w:rPr>
        <w:t>结合最终评价结果，严格按照工作计划，合理安排预算资金使用，加强预算管理制度建设</w:t>
      </w:r>
      <w:r>
        <w:rPr>
          <w:rFonts w:hint="eastAsia" w:ascii="仿宋_GB2312" w:hAnsi="仿宋_GB2312" w:cs="仿宋_GB2312"/>
          <w:color w:val="333333"/>
          <w:szCs w:val="32"/>
          <w:shd w:val="clear" w:color="auto" w:fill="FFFFFF"/>
          <w:lang w:eastAsia="zh-CN"/>
        </w:rPr>
        <w:t>；</w:t>
      </w:r>
      <w:r>
        <w:rPr>
          <w:rFonts w:hint="eastAsia" w:ascii="仿宋_GB2312" w:hAnsi="仿宋_GB2312" w:eastAsia="仿宋_GB2312" w:cs="仿宋_GB2312"/>
          <w:color w:val="333333"/>
          <w:szCs w:val="32"/>
          <w:shd w:val="clear" w:color="auto" w:fill="FFFFFF"/>
        </w:rPr>
        <w:t>按要求将预算项目和整体预算绩效评价相关绩效信息随同决算在仁和区公共信息网</w:t>
      </w:r>
      <w:r>
        <w:rPr>
          <w:rFonts w:hint="eastAsia" w:ascii="仿宋_GB2312" w:hAnsi="仿宋_GB2312" w:cs="仿宋_GB2312"/>
          <w:color w:val="333333"/>
          <w:szCs w:val="32"/>
          <w:shd w:val="clear" w:color="auto" w:fill="FFFFFF"/>
          <w:lang w:val="en-US" w:eastAsia="zh-CN"/>
        </w:rPr>
        <w:t>在规定时间内</w:t>
      </w:r>
      <w:r>
        <w:rPr>
          <w:rFonts w:hint="eastAsia" w:ascii="仿宋_GB2312" w:hAnsi="仿宋_GB2312" w:eastAsia="仿宋_GB2312" w:cs="仿宋_GB2312"/>
          <w:color w:val="333333"/>
          <w:szCs w:val="32"/>
          <w:shd w:val="clear" w:color="auto" w:fill="FFFFFF"/>
        </w:rPr>
        <w:t>进行了公开</w:t>
      </w:r>
      <w:r>
        <w:rPr>
          <w:rFonts w:hint="eastAsia" w:ascii="仿宋_GB2312" w:hAnsi="仿宋_GB2312" w:cs="仿宋_GB2312"/>
          <w:color w:val="333333"/>
          <w:szCs w:val="32"/>
          <w:shd w:val="clear" w:color="auto" w:fill="FFFFFF"/>
          <w:lang w:eastAsia="zh-CN"/>
        </w:rPr>
        <w:t>。</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（四）</w:t>
      </w: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rFonts w:hint="default" w:ascii="仿宋_GB2312" w:hAnsi="仿宋_GB2312" w:eastAsia="仿宋_GB2312" w:cs="仿宋_GB2312"/>
          <w:color w:val="000000"/>
          <w:kern w:val="0"/>
          <w:szCs w:val="32"/>
          <w:shd w:val="clear" w:color="auto" w:fill="FFFFFF"/>
          <w:lang w:val="en-US" w:eastAsia="zh-CN"/>
        </w:rPr>
      </w:pPr>
      <w:r>
        <w:rPr>
          <w:color w:val="000000"/>
          <w:kern w:val="0"/>
          <w:szCs w:val="32"/>
          <w:shd w:val="clear" w:color="auto" w:fill="FFFFFF"/>
        </w:rPr>
        <w:t xml:space="preserve">    </w:t>
      </w:r>
      <w:r>
        <w:rPr>
          <w:rFonts w:hint="eastAsia" w:ascii="仿宋_GB2312" w:hAnsi="仿宋_GB2312" w:cs="仿宋_GB2312"/>
          <w:color w:val="000000"/>
          <w:kern w:val="0"/>
          <w:szCs w:val="32"/>
          <w:shd w:val="clear" w:color="auto" w:fill="FFFFFF"/>
          <w:lang w:val="en-US" w:eastAsia="zh-CN"/>
        </w:rPr>
        <w:t>攀枝花市仁和区布德镇卫生院在2023年整体支出绩效评价工作中认真落实预算绩效评价的主体责任，持续扩大绩效自评覆盖面并实现应评尽评，认真开展自评工作，确保真实、客观反映单位财政资金绩效情况</w:t>
      </w:r>
      <w:r>
        <w:rPr>
          <w:rFonts w:hint="eastAsia" w:ascii="仿宋_GB2312" w:hAnsi="仿宋_GB2312" w:eastAsia="仿宋_GB2312" w:cs="仿宋_GB2312"/>
          <w:color w:val="000000"/>
          <w:kern w:val="0"/>
          <w:szCs w:val="32"/>
          <w:shd w:val="clear" w:color="auto" w:fill="FFFFFF"/>
        </w:rPr>
        <w:t>。</w:t>
      </w:r>
      <w:r>
        <w:rPr>
          <w:rFonts w:hint="eastAsia" w:ascii="仿宋_GB2312" w:hAnsi="仿宋_GB2312" w:cs="仿宋_GB2312"/>
          <w:color w:val="000000"/>
          <w:kern w:val="0"/>
          <w:szCs w:val="32"/>
          <w:shd w:val="clear" w:color="auto" w:fill="FFFFFF"/>
          <w:lang w:val="en-US" w:eastAsia="zh-CN"/>
        </w:rPr>
        <w:t>自评工作得分差异率在5%以内。</w:t>
      </w:r>
    </w:p>
    <w:p>
      <w:pPr>
        <w:widowControl/>
        <w:adjustRightInd w:val="0"/>
        <w:snapToGrid w:val="0"/>
        <w:spacing w:line="580" w:lineRule="exact"/>
        <w:contextualSpacing/>
        <w:jc w:val="left"/>
        <w:rPr>
          <w:color w:val="000000"/>
          <w:kern w:val="0"/>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pStyle w:val="7"/>
        <w:widowControl/>
        <w:shd w:val="clear" w:color="auto" w:fill="FFFFFF"/>
        <w:spacing w:before="255" w:beforeAutospacing="0" w:after="255" w:afterAutospacing="0" w:line="560" w:lineRule="atLeast"/>
        <w:ind w:firstLine="640"/>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shd w:val="clear" w:color="auto" w:fill="FFFFFF"/>
        </w:rPr>
        <w:t>本单位支出符合国家财经法规和财务管理制度规定以及有关专项资金管理办法的规定；资金拨付有完整的审批程序和手续；支出符合部门预算批复的用途；资金使用无截留、挤占、挪用、虚列支出等情况，严格执行预决算编制、预算执行、预算管理、绩效目标申报和管理</w:t>
      </w:r>
      <w:r>
        <w:rPr>
          <w:rFonts w:hint="eastAsia" w:ascii="仿宋_GB2312" w:hAnsi="仿宋_GB2312" w:cs="仿宋_GB2312"/>
          <w:color w:val="333333"/>
          <w:sz w:val="32"/>
          <w:szCs w:val="32"/>
          <w:shd w:val="clear" w:color="auto" w:fill="FFFFFF"/>
          <w:lang w:eastAsia="zh-CN"/>
        </w:rPr>
        <w:t>。</w:t>
      </w:r>
      <w:r>
        <w:rPr>
          <w:rFonts w:hint="eastAsia" w:ascii="仿宋_GB2312" w:hAnsi="仿宋_GB2312" w:cs="仿宋_GB2312"/>
          <w:color w:val="333333"/>
          <w:sz w:val="32"/>
          <w:szCs w:val="32"/>
          <w:shd w:val="clear" w:color="auto" w:fill="FFFFFF"/>
          <w:lang w:val="en-US" w:eastAsia="zh-CN"/>
        </w:rPr>
        <w:t>2023年整体绩效自评79分。</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numPr>
          <w:ilvl w:val="0"/>
          <w:numId w:val="3"/>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存在问题。</w:t>
      </w:r>
    </w:p>
    <w:p>
      <w:pPr>
        <w:widowControl/>
        <w:numPr>
          <w:ilvl w:val="0"/>
          <w:numId w:val="0"/>
        </w:numPr>
        <w:adjustRightInd w:val="0"/>
        <w:snapToGrid w:val="0"/>
        <w:spacing w:line="580" w:lineRule="exact"/>
        <w:ind w:firstLine="640" w:firstLineChars="200"/>
        <w:contextualSpacing/>
        <w:jc w:val="left"/>
        <w:rPr>
          <w:rFonts w:hint="default"/>
          <w:color w:val="000000"/>
          <w:kern w:val="0"/>
          <w:szCs w:val="32"/>
          <w:shd w:val="clear" w:color="auto" w:fill="FFFFFF"/>
          <w:lang w:val="en-US"/>
        </w:rPr>
      </w:pPr>
      <w:r>
        <w:rPr>
          <w:rFonts w:hint="eastAsia" w:ascii="仿宋_GB2312" w:hAnsi="仿宋_GB2312" w:cs="仿宋_GB2312"/>
          <w:color w:val="000000"/>
          <w:kern w:val="0"/>
          <w:sz w:val="32"/>
          <w:szCs w:val="32"/>
          <w:shd w:val="clear" w:color="auto" w:fill="FFFFFF"/>
          <w:lang w:val="en-US" w:eastAsia="zh-CN"/>
        </w:rPr>
        <w:t>由于财政资金紧张，部门预算项目资金支出在2023年未能全部支付，导致资金支付完成率较低。</w:t>
      </w:r>
    </w:p>
    <w:p>
      <w:pPr>
        <w:widowControl/>
        <w:numPr>
          <w:ilvl w:val="0"/>
          <w:numId w:val="3"/>
        </w:numPr>
        <w:adjustRightInd w:val="0"/>
        <w:snapToGrid w:val="0"/>
        <w:spacing w:line="58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改进建议。</w:t>
      </w:r>
    </w:p>
    <w:p>
      <w:pPr>
        <w:widowControl/>
        <w:numPr>
          <w:ilvl w:val="0"/>
          <w:numId w:val="0"/>
        </w:numPr>
        <w:adjustRightInd w:val="0"/>
        <w:snapToGrid w:val="0"/>
        <w:spacing w:line="580" w:lineRule="exact"/>
        <w:ind w:leftChars="200"/>
        <w:contextualSpacing/>
        <w:jc w:val="both"/>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积极争取财政资金支持确保项目的资金尽快完成支付。</w:t>
      </w:r>
    </w:p>
    <w:p>
      <w:pPr>
        <w:widowControl/>
        <w:adjustRightInd w:val="0"/>
        <w:snapToGrid w:val="0"/>
        <w:spacing w:line="580" w:lineRule="exact"/>
        <w:contextualSpacing/>
        <w:jc w:val="left"/>
        <w:rPr>
          <w:color w:val="000000"/>
          <w:kern w:val="0"/>
          <w:szCs w:val="32"/>
          <w:shd w:val="clear" w:color="auto" w:fill="FFFFFF"/>
        </w:rPr>
      </w:pP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p>
    <w:p>
      <w:pPr>
        <w:bidi w:val="0"/>
        <w:rPr>
          <w:rFonts w:ascii="Times New Roman" w:hAnsi="Times New Roman" w:eastAsia="仿宋_GB2312" w:cs="Times New Roman"/>
          <w:kern w:val="2"/>
          <w:sz w:val="32"/>
          <w:szCs w:val="24"/>
          <w:lang w:val="zh-CN" w:eastAsia="zh-CN" w:bidi="ar-SA"/>
        </w:rPr>
      </w:pPr>
    </w:p>
    <w:p>
      <w:pPr>
        <w:bidi w:val="0"/>
        <w:jc w:val="center"/>
        <w:rPr>
          <w:rFonts w:hint="eastAsia"/>
          <w:lang w:val="en-US" w:eastAsia="zh-CN"/>
        </w:rPr>
      </w:pPr>
      <w:r>
        <w:rPr>
          <w:rFonts w:hint="eastAsia"/>
          <w:lang w:val="en-US" w:eastAsia="zh-CN"/>
        </w:rPr>
        <w:t>攀枝花市仁和区布德镇卫生院</w:t>
      </w:r>
    </w:p>
    <w:p>
      <w:pPr>
        <w:bidi w:val="0"/>
        <w:rPr>
          <w:rFonts w:hint="default" w:ascii="Times New Roman" w:hAnsi="Times New Roman" w:eastAsia="仿宋_GB2312" w:cs="Times New Roman"/>
          <w:kern w:val="2"/>
          <w:sz w:val="32"/>
          <w:szCs w:val="24"/>
          <w:lang w:val="en-US" w:eastAsia="zh-CN" w:bidi="ar-SA"/>
        </w:rPr>
      </w:pPr>
    </w:p>
    <w:p>
      <w:pPr>
        <w:tabs>
          <w:tab w:val="left" w:pos="2815"/>
        </w:tabs>
        <w:bidi w:val="0"/>
        <w:jc w:val="left"/>
        <w:rPr>
          <w:rFonts w:hint="default"/>
          <w:lang w:val="en-US" w:eastAsia="zh-CN"/>
        </w:rPr>
      </w:pPr>
      <w:r>
        <w:rPr>
          <w:rFonts w:hint="eastAsia"/>
          <w:lang w:val="en-US" w:eastAsia="zh-CN"/>
        </w:rPr>
        <w:tab/>
      </w:r>
      <w:r>
        <w:rPr>
          <w:rFonts w:hint="eastAsia"/>
          <w:lang w:val="en-US" w:eastAsia="zh-CN"/>
        </w:rPr>
        <w:t xml:space="preserve">   2024年5月17日</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8DBEC"/>
    <w:multiLevelType w:val="singleLevel"/>
    <w:tmpl w:val="F058DBEC"/>
    <w:lvl w:ilvl="0" w:tentative="0">
      <w:start w:val="2"/>
      <w:numFmt w:val="chineseCounting"/>
      <w:suff w:val="nothing"/>
      <w:lvlText w:val="（%1）"/>
      <w:lvlJc w:val="left"/>
      <w:rPr>
        <w:rFonts w:hint="eastAsia"/>
      </w:rPr>
    </w:lvl>
  </w:abstractNum>
  <w:abstractNum w:abstractNumId="1">
    <w:nsid w:val="3BC31E73"/>
    <w:multiLevelType w:val="singleLevel"/>
    <w:tmpl w:val="3BC31E73"/>
    <w:lvl w:ilvl="0" w:tentative="0">
      <w:start w:val="2"/>
      <w:numFmt w:val="chineseCounting"/>
      <w:suff w:val="nothing"/>
      <w:lvlText w:val="（%1）"/>
      <w:lvlJc w:val="left"/>
      <w:rPr>
        <w:rFonts w:hint="eastAsia"/>
      </w:rPr>
    </w:lvl>
  </w:abstractNum>
  <w:abstractNum w:abstractNumId="2">
    <w:nsid w:val="4327303F"/>
    <w:multiLevelType w:val="singleLevel"/>
    <w:tmpl w:val="4327303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7C3D31"/>
    <w:rsid w:val="071D5D80"/>
    <w:rsid w:val="0DC31556"/>
    <w:rsid w:val="1A3D6143"/>
    <w:rsid w:val="1C013801"/>
    <w:rsid w:val="1FE72727"/>
    <w:rsid w:val="2D527252"/>
    <w:rsid w:val="2EAE55F2"/>
    <w:rsid w:val="2EDF4302"/>
    <w:rsid w:val="3980717E"/>
    <w:rsid w:val="3EE83483"/>
    <w:rsid w:val="47550EBA"/>
    <w:rsid w:val="4CE61B25"/>
    <w:rsid w:val="50415DC9"/>
    <w:rsid w:val="52B91AB8"/>
    <w:rsid w:val="5F84020B"/>
    <w:rsid w:val="6636451A"/>
    <w:rsid w:val="6EF65E9C"/>
    <w:rsid w:val="71397E03"/>
    <w:rsid w:val="77BF7CE7"/>
    <w:rsid w:val="77FFA8F9"/>
    <w:rsid w:val="7A9314AC"/>
    <w:rsid w:val="7C076613"/>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HTML Preformatted"/>
    <w:basedOn w:val="1"/>
    <w:semiHidden/>
    <w:unhideWhenUsed/>
    <w:qFormat/>
    <w:uiPriority w:val="99"/>
    <w:rPr>
      <w:rFonts w:ascii="Courier New" w:hAnsi="Courier New" w:cs="Courier New"/>
      <w:sz w:val="20"/>
      <w:szCs w:val="20"/>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2"/>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4"/>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8</TotalTime>
  <ScaleCrop>false</ScaleCrop>
  <LinksUpToDate>false</LinksUpToDate>
  <CharactersWithSpaces>334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cp:lastModifiedBy>
  <cp:lastPrinted>2024-05-16T03:57:00Z</cp:lastPrinted>
  <dcterms:modified xsi:type="dcterms:W3CDTF">2024-05-23T01:28:52Z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BFE204847F754B9B9F76FEFCA2B83E32</vt:lpwstr>
  </property>
</Properties>
</file>