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eastAsia" w:eastAsia="宋体"/>
          <w:b/>
          <w:sz w:val="44"/>
          <w:szCs w:val="44"/>
          <w:shd w:val="clear" w:color="auto" w:fill="FFFFFF"/>
          <w:lang w:val="en-US" w:eastAsia="zh-CN"/>
        </w:rPr>
      </w:pPr>
      <w:r>
        <w:rPr>
          <w:rFonts w:hint="eastAsia" w:eastAsia="宋体"/>
          <w:b/>
          <w:sz w:val="44"/>
          <w:szCs w:val="44"/>
          <w:shd w:val="clear" w:color="auto" w:fill="FFFFFF"/>
          <w:lang w:val="en-US" w:eastAsia="zh-CN"/>
        </w:rPr>
        <w:t>攀枝花市仁和区大田医院</w:t>
      </w:r>
    </w:p>
    <w:p>
      <w:pPr>
        <w:widowControl/>
        <w:spacing w:line="580" w:lineRule="exact"/>
        <w:contextualSpacing/>
        <w:jc w:val="center"/>
        <w:rPr>
          <w:rFonts w:eastAsia="黑体"/>
          <w:color w:val="000000"/>
          <w:kern w:val="0"/>
          <w:sz w:val="24"/>
          <w:szCs w:val="32"/>
          <w:shd w:val="clear" w:color="auto" w:fill="FFFFFF"/>
        </w:rPr>
      </w:pPr>
      <w:r>
        <w:rPr>
          <w:rFonts w:hint="eastAsia" w:eastAsia="宋体"/>
          <w:b/>
          <w:sz w:val="44"/>
          <w:szCs w:val="44"/>
          <w:shd w:val="clear" w:color="auto" w:fill="FFFFFF"/>
          <w:lang w:val="en-US" w:eastAsia="zh-CN"/>
        </w:rPr>
        <w:t>2023年</w:t>
      </w:r>
      <w:r>
        <w:rPr>
          <w:rFonts w:eastAsia="宋体"/>
          <w:b/>
          <w:sz w:val="44"/>
          <w:szCs w:val="44"/>
          <w:shd w:val="clear" w:color="auto" w:fill="FFFFFF"/>
        </w:rPr>
        <w:t>整体支出绩效</w:t>
      </w:r>
      <w:r>
        <w:rPr>
          <w:rFonts w:hint="eastAsia" w:eastAsia="宋体"/>
          <w:b/>
          <w:sz w:val="44"/>
          <w:szCs w:val="44"/>
          <w:shd w:val="clear" w:color="auto" w:fill="FFFFFF"/>
        </w:rPr>
        <w:t>自评报告</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sz w:val="32"/>
          <w:szCs w:val="32"/>
        </w:rPr>
        <w:t xml:space="preserve">攀枝花市仁和区大田医院（攀枝花市仁和区大田镇妇幼保健站）下设7个内设机构。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办公室。负责党务、监督检查、财务、行政、人事、宣传、信息、精神文明、档案、信访维稳、安全生 产、后勤保障等工作。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全科医疗科。负责卫生院范围内的基础医疗工 作，开展门诊、住院、会诊、出诊和急诊急救等工作。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公共卫生科。负责预防接种、母婴保健、计划生育、重大传染病防治等国家基本公共卫生服务相关工作。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中医科。负责中医诊断、治疗，开展针灸、拔 罐、刮痧、推拿等中医适宜技术。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药剂科。负责药品调剂，药械采购、储存验收维护和医保结算等工作。 </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医技科。负责院内超声、心电、临床影像、医疗检验等工作。 </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护理部。负责临床护理工作及院内感染控制等工作</w:t>
      </w:r>
      <w:r>
        <w:rPr>
          <w:rFonts w:hint="eastAsia" w:ascii="仿宋_GB2312" w:hAnsi="仿宋_GB2312" w:eastAsia="仿宋_GB2312" w:cs="仿宋_GB2312"/>
          <w:sz w:val="32"/>
          <w:szCs w:val="32"/>
          <w:lang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sz w:val="32"/>
          <w:szCs w:val="32"/>
        </w:rPr>
        <w:t>攀枝花市仁和区大田医院（攀枝花市仁和区大田镇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攀枝花市仁和区大田医院（攀枝花市仁和区大田镇妇幼保健站）贯彻落实党中央和省市区委关于卫生健康工作的方针政策和决策部署。主要职责是：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基本医疗服务：负责辖区一般常见病、多发病、 地方病的基本医疗服务；现场救护和转诊服务；慢性病管理服务；母婴保健技术服务等。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 者管理、结核病患者管理、中医药健康管理、传染病和突发公共卫生事件报告和处理、卫生计生监督协管等基本公共卫生服务。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综合管理服务：协助政府制定和组织实施辖区内卫生健康事业发展规划；管理、指导村卫生室业务工作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并对乡村医生开展相关技能培训；开展医保政策法规宣传咨询，配合做好即时补偿结算等工作。 </w:t>
      </w:r>
    </w:p>
    <w:p>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完成攀枝花市仁和区卫生健康局交办的其他工作任务</w:t>
      </w:r>
      <w:r>
        <w:rPr>
          <w:rFonts w:hint="eastAsia" w:ascii="仿宋_GB2312" w:hAnsi="仿宋_GB2312" w:cs="仿宋_GB2312"/>
          <w:sz w:val="32"/>
          <w:szCs w:val="32"/>
          <w:lang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sz w:val="32"/>
          <w:szCs w:val="32"/>
        </w:rPr>
        <w:t>攀枝花市仁和区大田医院（攀枝花市仁和区大田镇妇幼保健站）</w:t>
      </w:r>
      <w:r>
        <w:rPr>
          <w:rFonts w:hint="eastAsia" w:ascii="仿宋_GB2312" w:hAnsi="仿宋_GB2312" w:cs="仿宋_GB2312"/>
          <w:sz w:val="32"/>
          <w:szCs w:val="32"/>
          <w:lang w:eastAsia="zh-CN"/>
        </w:rPr>
        <w:t>核定</w:t>
      </w:r>
      <w:r>
        <w:rPr>
          <w:rFonts w:hint="eastAsia" w:ascii="仿宋_GB2312" w:hAnsi="仿宋_GB2312" w:eastAsia="仿宋_GB2312" w:cs="仿宋_GB2312"/>
          <w:sz w:val="32"/>
          <w:szCs w:val="32"/>
        </w:rPr>
        <w:t>事业编制23名，领导职数3名，其中：党支部书记、院长1名，党支部副书记、副院长1名，副院长1名</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截止</w:t>
      </w:r>
      <w:r>
        <w:rPr>
          <w:rFonts w:hint="eastAsia" w:ascii="仿宋_GB2312" w:hAnsi="仿宋_GB2312" w:cs="仿宋_GB2312"/>
          <w:sz w:val="32"/>
          <w:szCs w:val="32"/>
          <w:lang w:val="en-US" w:eastAsia="zh-CN"/>
        </w:rPr>
        <w:t>2023年12月31日在岗人员25人，其中在编人员19人，聘用人员5人，公共卫生特别岗位人员1人。</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default" w:eastAsia="仿宋_GB2312"/>
          <w:color w:val="auto"/>
          <w:kern w:val="0"/>
          <w:szCs w:val="32"/>
          <w:shd w:val="clear" w:color="auto" w:fill="FFFFFF"/>
          <w:lang w:val="en-US" w:eastAsia="zh-CN"/>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sz w:val="32"/>
          <w:szCs w:val="32"/>
        </w:rPr>
        <w:t>攀枝花市仁和区大田医院（攀枝花市仁和区大田镇妇幼保健站）</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年财政资金预算总收入</w:t>
      </w:r>
      <w:r>
        <w:rPr>
          <w:rFonts w:hint="eastAsia" w:ascii="仿宋_GB2312" w:hAnsi="仿宋_GB2312" w:cs="仿宋_GB2312"/>
          <w:sz w:val="32"/>
          <w:szCs w:val="32"/>
          <w:lang w:val="en-US" w:eastAsia="zh-CN"/>
        </w:rPr>
        <w:t>362.5</w:t>
      </w:r>
      <w:r>
        <w:rPr>
          <w:rFonts w:hint="eastAsia" w:ascii="仿宋_GB2312" w:hAnsi="仿宋_GB2312" w:eastAsia="仿宋_GB2312" w:cs="仿宋_GB2312"/>
          <w:sz w:val="32"/>
          <w:szCs w:val="32"/>
          <w:lang w:val="en-US" w:eastAsia="zh-CN"/>
        </w:rPr>
        <w:t>万元，其中，基本收入</w:t>
      </w:r>
      <w:r>
        <w:rPr>
          <w:rFonts w:hint="eastAsia" w:ascii="仿宋_GB2312" w:hAnsi="仿宋_GB2312" w:cs="仿宋_GB2312"/>
          <w:sz w:val="32"/>
          <w:szCs w:val="32"/>
          <w:lang w:val="en-US" w:eastAsia="zh-CN"/>
        </w:rPr>
        <w:t>288.29</w:t>
      </w:r>
      <w:r>
        <w:rPr>
          <w:rFonts w:hint="eastAsia" w:ascii="仿宋_GB2312" w:hAnsi="仿宋_GB2312" w:eastAsia="仿宋_GB2312" w:cs="仿宋_GB2312"/>
          <w:sz w:val="32"/>
          <w:szCs w:val="32"/>
          <w:lang w:val="en-US" w:eastAsia="zh-CN"/>
        </w:rPr>
        <w:t>万元，项目收入</w:t>
      </w:r>
      <w:r>
        <w:rPr>
          <w:rFonts w:hint="eastAsia" w:ascii="仿宋_GB2312" w:hAnsi="仿宋_GB2312" w:cs="仿宋_GB2312"/>
          <w:sz w:val="32"/>
          <w:szCs w:val="32"/>
          <w:lang w:val="en-US" w:eastAsia="zh-CN"/>
        </w:rPr>
        <w:t>74.21</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年决算收入</w:t>
      </w:r>
      <w:r>
        <w:rPr>
          <w:rFonts w:hint="eastAsia" w:ascii="仿宋_GB2312" w:hAnsi="仿宋_GB2312" w:cs="仿宋_GB2312"/>
          <w:color w:val="auto"/>
          <w:sz w:val="32"/>
          <w:szCs w:val="32"/>
          <w:lang w:val="en-US" w:eastAsia="zh-CN"/>
        </w:rPr>
        <w:t>350.80</w:t>
      </w:r>
      <w:r>
        <w:rPr>
          <w:rFonts w:hint="eastAsia" w:ascii="仿宋_GB2312" w:hAnsi="仿宋_GB2312" w:eastAsia="仿宋_GB2312" w:cs="仿宋_GB2312"/>
          <w:color w:val="auto"/>
          <w:sz w:val="32"/>
          <w:szCs w:val="32"/>
          <w:lang w:val="en-US" w:eastAsia="zh-CN"/>
        </w:rPr>
        <w:t>万元，其中一般公共预算财政拨款收入</w:t>
      </w:r>
      <w:r>
        <w:rPr>
          <w:rFonts w:hint="eastAsia" w:ascii="仿宋_GB2312" w:hAnsi="仿宋_GB2312" w:cs="仿宋_GB2312"/>
          <w:color w:val="auto"/>
          <w:sz w:val="32"/>
          <w:szCs w:val="32"/>
          <w:lang w:val="en-US" w:eastAsia="zh-CN"/>
        </w:rPr>
        <w:t>350.80</w:t>
      </w:r>
      <w:r>
        <w:rPr>
          <w:rFonts w:hint="eastAsia" w:ascii="仿宋_GB2312" w:hAnsi="仿宋_GB2312" w:eastAsia="仿宋_GB2312" w:cs="仿宋_GB2312"/>
          <w:color w:val="auto"/>
          <w:sz w:val="32"/>
          <w:szCs w:val="32"/>
          <w:lang w:val="en-US" w:eastAsia="zh-CN"/>
        </w:rPr>
        <w:t xml:space="preserve">万元，政府性基金预算财政拨款收入 </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万元</w:t>
      </w:r>
      <w:r>
        <w:rPr>
          <w:rFonts w:hint="eastAsia" w:ascii="仿宋_GB2312" w:hAnsi="仿宋_GB2312" w:cs="仿宋_GB2312"/>
          <w:color w:val="auto"/>
          <w:sz w:val="32"/>
          <w:szCs w:val="32"/>
          <w:lang w:val="en-US" w:eastAsia="zh-CN"/>
        </w:rPr>
        <w:t>。</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contextualSpacing/>
        <w:jc w:val="left"/>
        <w:textAlignment w:val="auto"/>
        <w:outlineLvl w:val="9"/>
        <w:rPr>
          <w:rFonts w:hint="eastAsia" w:ascii="仿宋_GB2312" w:hAnsi="仿宋_GB2312" w:eastAsia="仿宋_GB2312" w:cs="仿宋_GB2312"/>
          <w:color w:val="FF0000"/>
          <w:kern w:val="0"/>
          <w:sz w:val="32"/>
          <w:szCs w:val="32"/>
          <w:shd w:val="clear" w:color="auto" w:fill="FFFFFF"/>
          <w:lang w:val="zh-CN"/>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sz w:val="32"/>
          <w:szCs w:val="32"/>
        </w:rPr>
        <w:t>攀枝花市仁和区大田医院（攀枝花市仁和区大田镇妇幼保健站）</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年财政资金总支出</w:t>
      </w:r>
      <w:r>
        <w:rPr>
          <w:rFonts w:hint="eastAsia" w:ascii="仿宋_GB2312" w:hAnsi="仿宋_GB2312" w:cs="仿宋_GB2312"/>
          <w:sz w:val="32"/>
          <w:szCs w:val="32"/>
          <w:lang w:val="en-US" w:eastAsia="zh-CN"/>
        </w:rPr>
        <w:t>362.5</w:t>
      </w:r>
      <w:r>
        <w:rPr>
          <w:rFonts w:hint="eastAsia" w:ascii="仿宋_GB2312" w:hAnsi="仿宋_GB2312" w:eastAsia="仿宋_GB2312" w:cs="仿宋_GB2312"/>
          <w:sz w:val="32"/>
          <w:szCs w:val="32"/>
          <w:lang w:val="en-US" w:eastAsia="zh-CN"/>
        </w:rPr>
        <w:t>万元，其中，人员经费支出</w:t>
      </w:r>
      <w:r>
        <w:rPr>
          <w:rFonts w:hint="eastAsia" w:ascii="仿宋_GB2312" w:hAnsi="仿宋_GB2312" w:cs="仿宋_GB2312"/>
          <w:sz w:val="32"/>
          <w:szCs w:val="32"/>
          <w:lang w:val="en-US" w:eastAsia="zh-CN"/>
        </w:rPr>
        <w:t>288.29</w:t>
      </w:r>
      <w:r>
        <w:rPr>
          <w:rFonts w:hint="eastAsia" w:ascii="仿宋_GB2312" w:hAnsi="仿宋_GB2312" w:eastAsia="仿宋_GB2312" w:cs="仿宋_GB2312"/>
          <w:sz w:val="32"/>
          <w:szCs w:val="32"/>
          <w:lang w:val="en-US" w:eastAsia="zh-CN"/>
        </w:rPr>
        <w:t>万元，部门预算项目支出</w:t>
      </w:r>
      <w:r>
        <w:rPr>
          <w:rFonts w:hint="eastAsia" w:ascii="仿宋_GB2312" w:hAnsi="仿宋_GB2312" w:cs="仿宋_GB2312"/>
          <w:sz w:val="32"/>
          <w:szCs w:val="32"/>
          <w:lang w:val="en-US" w:eastAsia="zh-CN"/>
        </w:rPr>
        <w:t>74.21</w:t>
      </w:r>
      <w:r>
        <w:rPr>
          <w:rFonts w:hint="eastAsia" w:ascii="仿宋_GB2312" w:hAnsi="仿宋_GB2312" w:eastAsia="仿宋_GB2312" w:cs="仿宋_GB2312"/>
          <w:sz w:val="32"/>
          <w:szCs w:val="32"/>
          <w:lang w:val="en-US" w:eastAsia="zh-CN"/>
        </w:rPr>
        <w:t>万元。</w:t>
      </w:r>
    </w:p>
    <w:p>
      <w:pPr>
        <w:widowControl/>
        <w:numPr>
          <w:ilvl w:val="0"/>
          <w:numId w:val="0"/>
        </w:numPr>
        <w:adjustRightInd w:val="0"/>
        <w:snapToGrid w:val="0"/>
        <w:spacing w:line="580" w:lineRule="exact"/>
        <w:contextualSpacing/>
        <w:jc w:val="left"/>
        <w:rPr>
          <w:rFonts w:hint="default" w:eastAsia="仿宋_GB2312"/>
          <w:color w:val="000000"/>
          <w:kern w:val="0"/>
          <w:szCs w:val="32"/>
          <w:shd w:val="clear" w:color="auto" w:fill="FFFFFF"/>
          <w:lang w:val="en-US" w:eastAsia="zh-CN"/>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default"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1.目标制定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640" w:leftChars="200" w:firstLine="0" w:firstLineChars="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r>
        <w:rPr>
          <w:rFonts w:hint="eastAsia" w:ascii="仿宋_GB2312" w:hAnsi="仿宋_GB2312" w:cs="仿宋_GB2312"/>
          <w:color w:val="000000"/>
          <w:kern w:val="0"/>
          <w:sz w:val="32"/>
          <w:szCs w:val="32"/>
          <w:shd w:val="clear" w:color="auto" w:fill="FFFFFF"/>
          <w:lang w:val="en-US" w:eastAsia="zh-CN"/>
        </w:rPr>
        <w:t xml:space="preserve">    （1）</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 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000000"/>
          <w:kern w:val="0"/>
          <w:sz w:val="32"/>
          <w:szCs w:val="32"/>
          <w:shd w:val="clear" w:color="auto" w:fill="FFFFFF"/>
          <w:lang w:val="en-US" w:eastAsia="zh-CN"/>
        </w:rPr>
        <w:t>（2）</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人员类：完成了对工资、津补贴、绩效、保险、职业年金、住房公积金的支付。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运转类：医疗卫生管理经费完成了对药品、材料、试剂、疫苗、检测、杂支等费用的部分支付。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contextualSpacing/>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支出控制、及时处置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对资金的支出严格按相关规定进行支付、控制，并对工作中支付失败的资金及时进行了重付。</w:t>
      </w:r>
    </w:p>
    <w:p>
      <w:pPr>
        <w:pStyle w:val="3"/>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执行进度</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基</w:t>
      </w:r>
      <w:r>
        <w:rPr>
          <w:rFonts w:hint="eastAsia" w:ascii="仿宋_GB2312" w:hAnsi="仿宋_GB2312" w:cs="仿宋_GB2312"/>
          <w:sz w:val="32"/>
          <w:szCs w:val="32"/>
          <w:lang w:val="en-US" w:eastAsia="zh-CN"/>
        </w:rPr>
        <w:t>本药物制度各级资金预算下达总数为24.97万元</w:t>
      </w:r>
      <w:bookmarkStart w:id="0" w:name="_GoBack"/>
      <w:bookmarkEnd w:id="0"/>
      <w:r>
        <w:rPr>
          <w:rFonts w:hint="eastAsia" w:ascii="仿宋_GB2312" w:hAnsi="仿宋_GB2312" w:cs="仿宋_GB2312"/>
          <w:sz w:val="32"/>
          <w:szCs w:val="32"/>
          <w:lang w:val="en-US" w:eastAsia="zh-CN"/>
        </w:rPr>
        <w:t>，已使用14.87万元，使用率为59.55%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基本公共卫生</w:t>
      </w:r>
      <w:r>
        <w:rPr>
          <w:rFonts w:hint="eastAsia" w:ascii="仿宋_GB2312" w:hAnsi="仿宋_GB2312" w:cs="仿宋_GB2312"/>
          <w:kern w:val="2"/>
          <w:sz w:val="32"/>
          <w:szCs w:val="32"/>
          <w:lang w:val="en-US" w:eastAsia="zh-CN" w:bidi="ar-SA"/>
        </w:rPr>
        <w:t>各级资金</w:t>
      </w:r>
      <w:r>
        <w:rPr>
          <w:rFonts w:hint="eastAsia" w:ascii="仿宋_GB2312" w:hAnsi="仿宋_GB2312" w:eastAsia="仿宋_GB2312" w:cs="仿宋_GB2312"/>
          <w:kern w:val="2"/>
          <w:sz w:val="32"/>
          <w:szCs w:val="32"/>
          <w:lang w:val="en-US" w:eastAsia="zh-CN" w:bidi="ar-SA"/>
        </w:rPr>
        <w:t>预算下达</w:t>
      </w:r>
      <w:r>
        <w:rPr>
          <w:rFonts w:hint="eastAsia" w:ascii="仿宋_GB2312" w:hAnsi="仿宋_GB2312" w:cs="仿宋_GB2312"/>
          <w:kern w:val="2"/>
          <w:sz w:val="32"/>
          <w:szCs w:val="32"/>
          <w:lang w:val="en-US" w:eastAsia="zh-CN" w:bidi="ar-SA"/>
        </w:rPr>
        <w:t>总</w:t>
      </w:r>
      <w:r>
        <w:rPr>
          <w:rFonts w:hint="eastAsia" w:ascii="仿宋_GB2312" w:hAnsi="仿宋_GB2312" w:eastAsia="仿宋_GB2312" w:cs="仿宋_GB2312"/>
          <w:kern w:val="2"/>
          <w:sz w:val="32"/>
          <w:szCs w:val="32"/>
          <w:lang w:val="en-US" w:eastAsia="zh-CN" w:bidi="ar-SA"/>
        </w:rPr>
        <w:t>数</w:t>
      </w:r>
      <w:r>
        <w:rPr>
          <w:rFonts w:hint="eastAsia" w:ascii="仿宋_GB2312" w:hAnsi="仿宋_GB2312" w:cs="仿宋_GB2312"/>
          <w:kern w:val="2"/>
          <w:sz w:val="32"/>
          <w:szCs w:val="32"/>
          <w:lang w:val="en-US" w:eastAsia="zh-CN" w:bidi="ar-SA"/>
        </w:rPr>
        <w:t>为72.96</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46.48</w:t>
      </w:r>
      <w:r>
        <w:rPr>
          <w:rFonts w:hint="eastAsia" w:ascii="仿宋_GB2312" w:hAnsi="仿宋_GB2312" w:eastAsia="仿宋_GB2312" w:cs="仿宋_GB2312"/>
          <w:kern w:val="2"/>
          <w:sz w:val="32"/>
          <w:szCs w:val="32"/>
          <w:lang w:val="en-US" w:eastAsia="zh-CN" w:bidi="ar-SA"/>
        </w:rPr>
        <w:t>万元，使用率</w:t>
      </w:r>
      <w:r>
        <w:rPr>
          <w:rFonts w:hint="eastAsia" w:ascii="仿宋_GB2312" w:hAnsi="仿宋_GB2312" w:cs="仿宋_GB2312"/>
          <w:kern w:val="2"/>
          <w:sz w:val="32"/>
          <w:szCs w:val="32"/>
          <w:lang w:val="en-US" w:eastAsia="zh-CN" w:bidi="ar-SA"/>
        </w:rPr>
        <w:t>63.71</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新并入基本公卫</w:t>
      </w:r>
      <w:r>
        <w:rPr>
          <w:rFonts w:hint="eastAsia" w:ascii="仿宋_GB2312" w:hAnsi="仿宋_GB2312" w:cs="仿宋_GB2312"/>
          <w:kern w:val="2"/>
          <w:sz w:val="32"/>
          <w:szCs w:val="32"/>
          <w:lang w:val="en-US" w:eastAsia="zh-CN" w:bidi="ar-SA"/>
        </w:rPr>
        <w:t>资金</w:t>
      </w:r>
      <w:r>
        <w:rPr>
          <w:rFonts w:hint="eastAsia" w:ascii="仿宋_GB2312" w:hAnsi="仿宋_GB2312" w:eastAsia="仿宋_GB2312" w:cs="仿宋_GB2312"/>
          <w:kern w:val="2"/>
          <w:sz w:val="32"/>
          <w:szCs w:val="32"/>
          <w:lang w:val="en-US" w:eastAsia="zh-CN" w:bidi="ar-SA"/>
        </w:rPr>
        <w:t>预算下达数</w:t>
      </w:r>
      <w:r>
        <w:rPr>
          <w:rFonts w:hint="eastAsia" w:ascii="仿宋_GB2312" w:hAnsi="仿宋_GB2312" w:cs="仿宋_GB2312"/>
          <w:kern w:val="2"/>
          <w:sz w:val="32"/>
          <w:szCs w:val="32"/>
          <w:lang w:val="en-US" w:eastAsia="zh-CN" w:bidi="ar-SA"/>
        </w:rPr>
        <w:t>为1.02</w:t>
      </w:r>
      <w:r>
        <w:rPr>
          <w:rFonts w:hint="eastAsia" w:ascii="仿宋_GB2312" w:hAnsi="仿宋_GB2312" w:eastAsia="仿宋_GB2312" w:cs="仿宋_GB2312"/>
          <w:kern w:val="2"/>
          <w:sz w:val="32"/>
          <w:szCs w:val="32"/>
          <w:lang w:val="en-US" w:eastAsia="zh-CN" w:bidi="ar-SA"/>
        </w:rPr>
        <w:t>万元，已使用</w:t>
      </w:r>
      <w:r>
        <w:rPr>
          <w:rFonts w:hint="eastAsia" w:ascii="仿宋_GB2312" w:hAnsi="仿宋_GB2312" w:cs="仿宋_GB2312"/>
          <w:kern w:val="2"/>
          <w:sz w:val="32"/>
          <w:szCs w:val="32"/>
          <w:lang w:val="en-US" w:eastAsia="zh-CN" w:bidi="ar-SA"/>
        </w:rPr>
        <w:t>0.24</w:t>
      </w:r>
      <w:r>
        <w:rPr>
          <w:rFonts w:hint="eastAsia" w:ascii="仿宋_GB2312" w:hAnsi="仿宋_GB2312" w:eastAsia="仿宋_GB2312" w:cs="仿宋_GB2312"/>
          <w:kern w:val="2"/>
          <w:sz w:val="32"/>
          <w:szCs w:val="32"/>
          <w:lang w:val="en-US" w:eastAsia="zh-CN" w:bidi="ar-SA"/>
        </w:rPr>
        <w:t>万</w:t>
      </w:r>
      <w:r>
        <w:rPr>
          <w:rFonts w:hint="eastAsia" w:ascii="仿宋_GB2312" w:hAnsi="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，使用率</w:t>
      </w:r>
      <w:r>
        <w:rPr>
          <w:rFonts w:hint="eastAsia" w:ascii="仿宋_GB2312" w:hAnsi="仿宋_GB2312" w:cs="仿宋_GB2312"/>
          <w:kern w:val="2"/>
          <w:sz w:val="32"/>
          <w:szCs w:val="32"/>
          <w:lang w:val="en-US" w:eastAsia="zh-CN" w:bidi="ar-SA"/>
        </w:rPr>
        <w:t>23.53</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资</w:t>
      </w:r>
      <w:r>
        <w:rPr>
          <w:rFonts w:hint="eastAsia" w:ascii="仿宋_GB2312" w:hAnsi="仿宋_GB2312" w:eastAsia="仿宋_GB2312" w:cs="仿宋_GB2312"/>
          <w:kern w:val="2"/>
          <w:sz w:val="32"/>
          <w:szCs w:val="32"/>
          <w:lang w:val="en-US" w:eastAsia="zh-CN" w:bidi="ar-SA"/>
        </w:rPr>
        <w:t>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政府资金投入</w:t>
      </w:r>
      <w:r>
        <w:rPr>
          <w:rFonts w:hint="eastAsia" w:ascii="仿宋_GB2312" w:hAnsi="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t>万元，已使用0.3万元，使用率</w:t>
      </w:r>
      <w:r>
        <w:rPr>
          <w:rFonts w:hint="eastAsia" w:ascii="仿宋_GB2312" w:hAnsi="仿宋_GB2312" w:cs="仿宋_GB2312"/>
          <w:kern w:val="2"/>
          <w:sz w:val="32"/>
          <w:szCs w:val="32"/>
          <w:lang w:val="en-US" w:eastAsia="zh-CN" w:bidi="ar-SA"/>
        </w:rPr>
        <w:t>14.29</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（5）重大传染病防控资金</w:t>
      </w:r>
      <w:r>
        <w:rPr>
          <w:rFonts w:hint="eastAsia" w:ascii="仿宋_GB2312" w:hAnsi="仿宋_GB2312" w:eastAsia="仿宋_GB2312" w:cs="仿宋_GB2312"/>
          <w:kern w:val="2"/>
          <w:sz w:val="32"/>
          <w:szCs w:val="32"/>
          <w:lang w:val="en-US" w:eastAsia="zh-CN" w:bidi="ar-SA"/>
        </w:rPr>
        <w:t>预算下达数</w:t>
      </w:r>
      <w:r>
        <w:rPr>
          <w:rFonts w:hint="eastAsia" w:ascii="仿宋_GB2312" w:hAnsi="仿宋_GB2312" w:cs="仿宋_GB2312"/>
          <w:kern w:val="2"/>
          <w:sz w:val="32"/>
          <w:szCs w:val="32"/>
          <w:lang w:val="en-US" w:eastAsia="zh-CN" w:bidi="ar-SA"/>
        </w:rPr>
        <w:t>为3.01万元，已使用0万元，使用率为0%。资</w:t>
      </w:r>
      <w:r>
        <w:rPr>
          <w:rFonts w:hint="eastAsia" w:ascii="仿宋_GB2312" w:hAnsi="仿宋_GB2312" w:eastAsia="仿宋_GB2312" w:cs="仿宋_GB2312"/>
          <w:kern w:val="2"/>
          <w:sz w:val="32"/>
          <w:szCs w:val="32"/>
          <w:lang w:val="en-US" w:eastAsia="zh-CN" w:bidi="ar-SA"/>
        </w:rPr>
        <w:t>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（6）医疗卫生管理经费预算数为34.58万元，</w:t>
      </w:r>
      <w:r>
        <w:rPr>
          <w:rFonts w:hint="eastAsia" w:ascii="仿宋_GB2312" w:hAnsi="仿宋_GB2312" w:eastAsia="仿宋_GB2312" w:cs="仿宋_GB2312"/>
          <w:kern w:val="2"/>
          <w:sz w:val="32"/>
          <w:szCs w:val="32"/>
          <w:lang w:val="en-US" w:eastAsia="zh-CN" w:bidi="ar-SA"/>
        </w:rPr>
        <w:t>已使用</w:t>
      </w:r>
      <w:r>
        <w:rPr>
          <w:rFonts w:hint="eastAsia" w:ascii="仿宋_GB2312" w:hAnsi="仿宋_GB2312" w:cs="仿宋_GB2312"/>
          <w:kern w:val="2"/>
          <w:sz w:val="32"/>
          <w:szCs w:val="32"/>
          <w:lang w:val="en-US" w:eastAsia="zh-CN" w:bidi="ar-SA"/>
        </w:rPr>
        <w:t>11.2</w:t>
      </w:r>
      <w:r>
        <w:rPr>
          <w:rFonts w:hint="eastAsia" w:ascii="仿宋_GB2312" w:hAnsi="仿宋_GB2312" w:eastAsia="仿宋_GB2312" w:cs="仿宋_GB2312"/>
          <w:kern w:val="2"/>
          <w:sz w:val="32"/>
          <w:szCs w:val="32"/>
          <w:lang w:val="en-US" w:eastAsia="zh-CN" w:bidi="ar-SA"/>
        </w:rPr>
        <w:t>万元</w:t>
      </w:r>
      <w:r>
        <w:rPr>
          <w:rFonts w:hint="eastAsia" w:ascii="仿宋_GB2312" w:hAnsi="仿宋_GB2312" w:cs="仿宋_GB2312"/>
          <w:kern w:val="2"/>
          <w:sz w:val="32"/>
          <w:szCs w:val="32"/>
          <w:lang w:val="en-US" w:eastAsia="zh-CN" w:bidi="ar-SA"/>
        </w:rPr>
        <w:t>，使用率32.39%。资</w:t>
      </w:r>
      <w:r>
        <w:rPr>
          <w:rFonts w:hint="eastAsia" w:ascii="仿宋_GB2312" w:hAnsi="仿宋_GB2312" w:eastAsia="仿宋_GB2312" w:cs="仿宋_GB2312"/>
          <w:kern w:val="2"/>
          <w:sz w:val="32"/>
          <w:szCs w:val="32"/>
          <w:lang w:val="en-US" w:eastAsia="zh-CN" w:bidi="ar-SA"/>
        </w:rPr>
        <w:t>金使用率低的主要原因是：财政资金调度困难，支付进度缓慢。</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（7）非免规疫苗接种服务费预算数为1.72万元，已使用0.58万元，使用率33.72%。资</w:t>
      </w:r>
      <w:r>
        <w:rPr>
          <w:rFonts w:hint="eastAsia" w:ascii="仿宋_GB2312" w:hAnsi="仿宋_GB2312" w:eastAsia="仿宋_GB2312" w:cs="仿宋_GB2312"/>
          <w:kern w:val="2"/>
          <w:sz w:val="32"/>
          <w:szCs w:val="32"/>
          <w:lang w:val="en-US" w:eastAsia="zh-CN" w:bidi="ar-SA"/>
        </w:rPr>
        <w:t>金使用率低的主要原因是：财政资金调度困难，支付进度缓慢。</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5.</w:t>
      </w:r>
      <w:r>
        <w:rPr>
          <w:rFonts w:hint="eastAsia" w:ascii="仿宋_GB2312" w:hAnsi="仿宋_GB2312" w:eastAsia="仿宋_GB2312" w:cs="仿宋_GB2312"/>
          <w:b/>
          <w:bCs/>
          <w:kern w:val="2"/>
          <w:sz w:val="32"/>
          <w:szCs w:val="32"/>
          <w:lang w:val="en-US" w:eastAsia="zh-CN" w:bidi="ar-SA"/>
        </w:rPr>
        <w:t>预算完成情况</w:t>
      </w:r>
    </w:p>
    <w:p>
      <w:pPr>
        <w:pStyle w:val="3"/>
        <w:keepNext w:val="0"/>
        <w:keepLines w:val="0"/>
        <w:pageBreakBefore w:val="0"/>
        <w:numPr>
          <w:ilvl w:val="0"/>
          <w:numId w:val="0"/>
        </w:numPr>
        <w:kinsoku/>
        <w:wordWrap/>
        <w:overflowPunct/>
        <w:topLinePunct w:val="0"/>
        <w:autoSpaceDE/>
        <w:autoSpaceDN/>
        <w:bidi w:val="0"/>
        <w:spacing w:line="240" w:lineRule="auto"/>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cs="仿宋_GB2312"/>
          <w:i w:val="0"/>
          <w:iCs w:val="0"/>
          <w:caps w:val="0"/>
          <w:color w:val="auto"/>
          <w:spacing w:val="0"/>
          <w:sz w:val="32"/>
          <w:szCs w:val="32"/>
          <w:shd w:val="clear" w:fill="FFFFFF"/>
          <w:vertAlign w:val="baseline"/>
          <w:lang w:val="en-US" w:eastAsia="zh-CN"/>
        </w:rPr>
        <w:t>350.8</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350.8</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cs="仿宋_GB2312"/>
          <w:i w:val="0"/>
          <w:iCs w:val="0"/>
          <w:caps w:val="0"/>
          <w:color w:val="auto"/>
          <w:spacing w:val="0"/>
          <w:sz w:val="32"/>
          <w:szCs w:val="32"/>
          <w:shd w:val="clear" w:fill="FFFFFF"/>
          <w:vertAlign w:val="baseline"/>
          <w:lang w:val="en-US" w:eastAsia="zh-CN"/>
        </w:rPr>
        <w:t>350.8</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cs="仿宋_GB2312"/>
          <w:i w:val="0"/>
          <w:iCs w:val="0"/>
          <w:caps w:val="0"/>
          <w:color w:val="auto"/>
          <w:spacing w:val="0"/>
          <w:sz w:val="32"/>
          <w:szCs w:val="32"/>
          <w:shd w:val="clear" w:fill="FFFFFF"/>
          <w:vertAlign w:val="baseline"/>
          <w:lang w:val="en-US" w:eastAsia="zh-CN"/>
        </w:rPr>
        <w:t>288.29</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cs="仿宋_GB2312"/>
          <w:i w:val="0"/>
          <w:iCs w:val="0"/>
          <w:caps w:val="0"/>
          <w:color w:val="auto"/>
          <w:spacing w:val="0"/>
          <w:sz w:val="32"/>
          <w:szCs w:val="32"/>
          <w:shd w:val="clear" w:fill="FFFFFF"/>
          <w:vertAlign w:val="baseline"/>
          <w:lang w:val="en-US" w:eastAsia="zh-CN"/>
        </w:rPr>
        <w:t>74.21</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r>
        <w:rPr>
          <w:rFonts w:hint="eastAsia" w:ascii="仿宋_GB2312" w:hAnsi="仿宋_GB2312" w:eastAsia="仿宋_GB2312" w:cs="仿宋_GB2312"/>
          <w:i w:val="0"/>
          <w:iCs w:val="0"/>
          <w:caps w:val="0"/>
          <w:color w:val="auto"/>
          <w:spacing w:val="0"/>
          <w:sz w:val="32"/>
          <w:szCs w:val="32"/>
          <w:shd w:val="clear" w:fill="FFFFFF"/>
          <w:vertAlign w:val="baseline"/>
        </w:rPr>
        <w:t>。</w:t>
      </w:r>
    </w:p>
    <w:p>
      <w:pPr>
        <w:widowControl/>
        <w:numPr>
          <w:ilvl w:val="0"/>
          <w:numId w:val="0"/>
        </w:numPr>
        <w:adjustRightInd w:val="0"/>
        <w:snapToGrid w:val="0"/>
        <w:spacing w:line="580" w:lineRule="exact"/>
        <w:ind w:firstLine="643" w:firstLineChars="200"/>
        <w:contextualSpacing/>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6.</w:t>
      </w:r>
      <w:r>
        <w:rPr>
          <w:rFonts w:hint="eastAsia" w:ascii="仿宋_GB2312" w:hAnsi="仿宋_GB2312" w:eastAsia="仿宋_GB2312" w:cs="仿宋_GB2312"/>
          <w:b/>
          <w:bCs/>
          <w:kern w:val="2"/>
          <w:sz w:val="32"/>
          <w:szCs w:val="32"/>
          <w:lang w:val="en-US" w:eastAsia="zh-CN" w:bidi="ar-SA"/>
        </w:rPr>
        <w:t>本年度我单位无资金违规记录</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pStyle w:val="3"/>
        <w:keepNext w:val="0"/>
        <w:keepLines w:val="0"/>
        <w:pageBreakBefore w:val="0"/>
        <w:kinsoku/>
        <w:wordWrap/>
        <w:overflowPunct/>
        <w:topLinePunct w:val="0"/>
        <w:autoSpaceDE/>
        <w:autoSpaceDN/>
        <w:bidi w:val="0"/>
        <w:spacing w:line="240" w:lineRule="auto"/>
        <w:ind w:firstLine="640" w:firstLineChars="200"/>
        <w:jc w:val="left"/>
        <w:textAlignment w:val="auto"/>
        <w:rPr>
          <w:color w:val="000000"/>
          <w:kern w:val="0"/>
          <w:szCs w:val="32"/>
          <w:shd w:val="clear" w:color="auto" w:fill="FFFFFF"/>
          <w:lang w:val="zh-CN"/>
        </w:rPr>
      </w:pP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年基础上增加3%。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、基本公共卫生：已完成全年基本公共卫生工作指标；高血压管理率达90%、糖尿病管理率达90%、老年人管理率达90%、孕产妇管理率达100%、儿童管理率达95%。</w:t>
      </w:r>
    </w:p>
    <w:p>
      <w:pPr>
        <w:widowControl/>
        <w:numPr>
          <w:ilvl w:val="0"/>
          <w:numId w:val="2"/>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lang w:val="en-US" w:eastAsia="zh-CN"/>
        </w:rPr>
        <w:t>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年项目支出情况进行总体评估，我院完善了院内财务内控制度，所有支出均按照财务相关规定支付，不存在违规支付、超标准支付等情况。</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 xml:space="preserve">   </w:t>
      </w:r>
      <w:r>
        <w:rPr>
          <w:rFonts w:hint="eastAsia" w:ascii="仿宋_GB2312" w:hAnsi="仿宋_GB2312" w:eastAsia="仿宋_GB2312" w:cs="仿宋_GB2312"/>
          <w:color w:val="000000"/>
          <w:kern w:val="0"/>
          <w:sz w:val="32"/>
          <w:szCs w:val="32"/>
          <w:highlight w:val="none"/>
          <w:shd w:val="clear" w:color="auto" w:fill="FFFFFF"/>
          <w:lang w:val="en-US" w:eastAsia="zh-CN"/>
        </w:rPr>
        <w:t>项目支出符合财政管理规定。经过对我院202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年项目支出情况进行总体评估，我院完善了院内财务内控制度，所有支出均按照财务相关规定支付，不存在违规支付、超标准支付等情况。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预算数</w:t>
      </w:r>
      <w:r>
        <w:rPr>
          <w:rFonts w:hint="eastAsia" w:ascii="仿宋_GB2312" w:hAnsi="仿宋_GB2312" w:cs="仿宋_GB2312"/>
          <w:color w:val="000000"/>
          <w:kern w:val="0"/>
          <w:sz w:val="32"/>
          <w:szCs w:val="32"/>
          <w:highlight w:val="none"/>
          <w:shd w:val="clear" w:color="auto" w:fill="FFFFFF"/>
          <w:lang w:val="en-US" w:eastAsia="zh-CN"/>
        </w:rPr>
        <w:t>高</w:t>
      </w:r>
      <w:r>
        <w:rPr>
          <w:rFonts w:hint="eastAsia" w:ascii="仿宋_GB2312" w:hAnsi="仿宋_GB2312" w:eastAsia="仿宋_GB2312" w:cs="仿宋_GB2312"/>
          <w:color w:val="000000"/>
          <w:kern w:val="0"/>
          <w:sz w:val="32"/>
          <w:szCs w:val="32"/>
          <w:highlight w:val="none"/>
          <w:shd w:val="clear" w:color="auto" w:fill="FFFFFF"/>
          <w:lang w:val="en-US" w:eastAsia="zh-CN"/>
        </w:rPr>
        <w:t>于决算数，是因为预算</w:t>
      </w:r>
      <w:r>
        <w:rPr>
          <w:rFonts w:hint="eastAsia" w:ascii="仿宋_GB2312" w:hAnsi="仿宋_GB2312" w:cs="仿宋_GB2312"/>
          <w:color w:val="000000"/>
          <w:kern w:val="0"/>
          <w:sz w:val="32"/>
          <w:szCs w:val="32"/>
          <w:highlight w:val="none"/>
          <w:shd w:val="clear" w:color="auto" w:fill="FFFFFF"/>
          <w:lang w:val="en-US" w:eastAsia="zh-CN"/>
        </w:rPr>
        <w:t>数里面包含</w:t>
      </w:r>
      <w:r>
        <w:rPr>
          <w:rFonts w:hint="eastAsia" w:ascii="仿宋_GB2312" w:hAnsi="仿宋_GB2312" w:eastAsia="仿宋_GB2312" w:cs="仿宋_GB2312"/>
          <w:color w:val="000000"/>
          <w:kern w:val="0"/>
          <w:sz w:val="32"/>
          <w:szCs w:val="32"/>
          <w:highlight w:val="none"/>
          <w:shd w:val="clear" w:color="auto" w:fill="FFFFFF"/>
          <w:lang w:val="en-US" w:eastAsia="zh-CN"/>
        </w:rPr>
        <w:t>年初结转和结余</w:t>
      </w:r>
      <w:r>
        <w:rPr>
          <w:rFonts w:hint="eastAsia" w:ascii="仿宋_GB2312" w:hAnsi="仿宋_GB2312" w:cs="仿宋_GB2312"/>
          <w:color w:val="000000"/>
          <w:kern w:val="0"/>
          <w:sz w:val="32"/>
          <w:szCs w:val="32"/>
          <w:highlight w:val="none"/>
          <w:shd w:val="clear" w:color="auto" w:fill="FFFFFF"/>
          <w:lang w:val="en-US" w:eastAsia="zh-CN"/>
        </w:rPr>
        <w:t>11.7万元</w:t>
      </w:r>
      <w:r>
        <w:rPr>
          <w:rFonts w:hint="eastAsia" w:ascii="仿宋_GB2312" w:hAnsi="仿宋_GB2312" w:eastAsia="仿宋_GB2312" w:cs="仿宋_GB2312"/>
          <w:color w:val="000000"/>
          <w:kern w:val="0"/>
          <w:sz w:val="32"/>
          <w:szCs w:val="32"/>
          <w:highlight w:val="none"/>
          <w:shd w:val="clear" w:color="auto" w:fill="FFFFFF"/>
          <w:lang w:val="en-US"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加强</w:t>
      </w:r>
      <w:r>
        <w:rPr>
          <w:rFonts w:hint="eastAsia" w:ascii="仿宋_GB2312" w:hAnsi="仿宋_GB2312" w:cs="仿宋_GB2312"/>
          <w:color w:val="000000"/>
          <w:kern w:val="0"/>
          <w:sz w:val="32"/>
          <w:szCs w:val="32"/>
          <w:highlight w:val="none"/>
          <w:shd w:val="clear" w:color="auto" w:fill="FFFFFF"/>
          <w:lang w:val="en-US" w:eastAsia="zh-CN"/>
        </w:rPr>
        <w:t>财务</w:t>
      </w:r>
      <w:r>
        <w:rPr>
          <w:rFonts w:hint="eastAsia" w:ascii="仿宋_GB2312" w:hAnsi="仿宋_GB2312" w:eastAsia="仿宋_GB2312" w:cs="仿宋_GB2312"/>
          <w:color w:val="000000"/>
          <w:kern w:val="0"/>
          <w:sz w:val="32"/>
          <w:szCs w:val="32"/>
          <w:highlight w:val="none"/>
          <w:shd w:val="clear" w:color="auto" w:fill="FFFFFF"/>
          <w:lang w:val="en-US" w:eastAsia="zh-CN"/>
        </w:rPr>
        <w:t>人员培训学习，提升</w:t>
      </w:r>
      <w:r>
        <w:rPr>
          <w:rFonts w:hint="eastAsia" w:ascii="仿宋_GB2312" w:hAnsi="仿宋_GB2312" w:cs="仿宋_GB2312"/>
          <w:color w:val="000000"/>
          <w:kern w:val="0"/>
          <w:sz w:val="32"/>
          <w:szCs w:val="32"/>
          <w:highlight w:val="none"/>
          <w:shd w:val="clear" w:color="auto" w:fill="FFFFFF"/>
          <w:lang w:val="en-US" w:eastAsia="zh-CN"/>
        </w:rPr>
        <w:t>财务</w:t>
      </w:r>
      <w:r>
        <w:rPr>
          <w:rFonts w:hint="eastAsia" w:ascii="仿宋_GB2312" w:hAnsi="仿宋_GB2312" w:eastAsia="仿宋_GB2312" w:cs="仿宋_GB2312"/>
          <w:color w:val="000000"/>
          <w:kern w:val="0"/>
          <w:sz w:val="32"/>
          <w:szCs w:val="32"/>
          <w:highlight w:val="none"/>
          <w:shd w:val="clear" w:color="auto" w:fill="FFFFFF"/>
          <w:lang w:val="en-US" w:eastAsia="zh-CN"/>
        </w:rPr>
        <w:t>人员专业技能水平，提升预算准确性。</w:t>
      </w:r>
    </w:p>
    <w:p>
      <w:pPr>
        <w:widowControl/>
        <w:adjustRightInd w:val="0"/>
        <w:snapToGrid w:val="0"/>
        <w:spacing w:line="580" w:lineRule="exact"/>
        <w:ind w:firstLine="640" w:firstLineChars="200"/>
        <w:contextualSpacing/>
        <w:jc w:val="left"/>
        <w:rPr>
          <w:rFonts w:hint="eastAsia"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 xml:space="preserve">      </w:t>
      </w:r>
    </w:p>
    <w:p>
      <w:pPr>
        <w:widowControl/>
        <w:adjustRightInd w:val="0"/>
        <w:snapToGrid w:val="0"/>
        <w:spacing w:line="580" w:lineRule="exact"/>
        <w:ind w:firstLine="640" w:firstLineChars="200"/>
        <w:contextualSpacing/>
        <w:jc w:val="left"/>
        <w:rPr>
          <w:rFonts w:hint="default" w:ascii="仿宋_GB2312" w:hAnsi="仿宋_GB2312" w:cs="仿宋_GB2312"/>
          <w:color w:val="000000"/>
          <w:kern w:val="0"/>
          <w:sz w:val="32"/>
          <w:szCs w:val="32"/>
          <w:highlight w:val="none"/>
          <w:shd w:val="clear" w:color="auto" w:fill="FFFFFF"/>
          <w:lang w:val="en-US" w:eastAsia="zh-CN"/>
        </w:rPr>
      </w:pPr>
      <w:r>
        <w:rPr>
          <w:rFonts w:hint="eastAsia" w:ascii="仿宋_GB2312" w:hAnsi="仿宋_GB2312" w:cs="仿宋_GB2312"/>
          <w:color w:val="000000"/>
          <w:kern w:val="0"/>
          <w:sz w:val="32"/>
          <w:szCs w:val="32"/>
          <w:highlight w:val="none"/>
          <w:shd w:val="clear" w:color="auto" w:fill="FFFFFF"/>
          <w:lang w:val="en-US" w:eastAsia="zh-CN"/>
        </w:rPr>
        <w:t xml:space="preserve">                        </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03A75"/>
    <w:multiLevelType w:val="singleLevel"/>
    <w:tmpl w:val="E6E03A75"/>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zhmYzU0ZjY1MDdiMjA5MjAxZmZiYmQzNTM2ZDc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0F140169"/>
    <w:rsid w:val="137840B7"/>
    <w:rsid w:val="14823B58"/>
    <w:rsid w:val="1654132D"/>
    <w:rsid w:val="1A3D6143"/>
    <w:rsid w:val="1C013801"/>
    <w:rsid w:val="1DF260D3"/>
    <w:rsid w:val="1FE72727"/>
    <w:rsid w:val="22D41DEB"/>
    <w:rsid w:val="24DD15AA"/>
    <w:rsid w:val="26246DC9"/>
    <w:rsid w:val="2D527252"/>
    <w:rsid w:val="2EAE55F2"/>
    <w:rsid w:val="2EDF4302"/>
    <w:rsid w:val="35C21A79"/>
    <w:rsid w:val="40874C8D"/>
    <w:rsid w:val="45691223"/>
    <w:rsid w:val="45C94091"/>
    <w:rsid w:val="47550EBA"/>
    <w:rsid w:val="4D8745CC"/>
    <w:rsid w:val="4F6F08C7"/>
    <w:rsid w:val="5DD5065A"/>
    <w:rsid w:val="6636451A"/>
    <w:rsid w:val="6DF71FA2"/>
    <w:rsid w:val="6EF65E9C"/>
    <w:rsid w:val="71397E03"/>
    <w:rsid w:val="72484A22"/>
    <w:rsid w:val="77FFA8F9"/>
    <w:rsid w:val="7831565B"/>
    <w:rsid w:val="7A9314AC"/>
    <w:rsid w:val="7BA65638"/>
    <w:rsid w:val="7C631402"/>
    <w:rsid w:val="7DBE2175"/>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5</Pages>
  <Words>2557</Words>
  <Characters>2755</Characters>
  <Lines>2</Lines>
  <Paragraphs>1</Paragraphs>
  <TotalTime>3</TotalTime>
  <ScaleCrop>false</ScaleCrop>
  <LinksUpToDate>false</LinksUpToDate>
  <CharactersWithSpaces>2876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computer</cp:lastModifiedBy>
  <cp:lastPrinted>2022-03-26T08:26:00Z</cp:lastPrinted>
  <dcterms:modified xsi:type="dcterms:W3CDTF">2024-05-23T00:58:22Z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BFE204847F754B9B9F76FEFCA2B83E32</vt:lpwstr>
  </property>
</Properties>
</file>