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eastAsia="方正小标宋_GBK"/>
          <w:bCs/>
          <w:color w:val="FF0000"/>
          <w:spacing w:val="30"/>
          <w:sz w:val="80"/>
          <w:szCs w:val="80"/>
        </w:rPr>
      </w:pPr>
      <w:r>
        <w:rPr>
          <w:rFonts w:eastAsia="方正小标宋_GBK"/>
          <w:bCs/>
          <w:color w:val="FF0000"/>
          <w:spacing w:val="30"/>
          <w:sz w:val="80"/>
          <w:szCs w:val="80"/>
        </w:rPr>
        <w:t>攀枝花市仁和区审计局</w:t>
      </w:r>
    </w:p>
    <w:p>
      <w:pPr>
        <w:spacing w:line="440" w:lineRule="exact"/>
        <w:jc w:val="center"/>
        <w:rPr>
          <w:color w:val="FF0000"/>
        </w:rPr>
      </w:pPr>
      <w:r>
        <mc:AlternateContent>
          <mc:Choice Requires="wpg">
            <w:drawing>
              <wp:anchor distT="0" distB="0" distL="114300" distR="114300" simplePos="0" relativeHeight="251659264" behindDoc="0" locked="0" layoutInCell="1" allowOverlap="1">
                <wp:simplePos x="0" y="0"/>
                <wp:positionH relativeFrom="column">
                  <wp:posOffset>15875</wp:posOffset>
                </wp:positionH>
                <wp:positionV relativeFrom="paragraph">
                  <wp:posOffset>99060</wp:posOffset>
                </wp:positionV>
                <wp:extent cx="5614670" cy="60960"/>
                <wp:effectExtent l="0" t="19050" r="5080" b="15240"/>
                <wp:wrapNone/>
                <wp:docPr id="3" name="组合 2"/>
                <wp:cNvGraphicFramePr/>
                <a:graphic xmlns:a="http://schemas.openxmlformats.org/drawingml/2006/main">
                  <a:graphicData uri="http://schemas.microsoft.com/office/word/2010/wordprocessingGroup">
                    <wpg:wgp>
                      <wpg:cNvGrpSpPr/>
                      <wpg:grpSpPr>
                        <a:xfrm>
                          <a:off x="0" y="0"/>
                          <a:ext cx="5614670" cy="60960"/>
                          <a:chOff x="1620" y="2532"/>
                          <a:chExt cx="8640" cy="156"/>
                        </a:xfrm>
                      </wpg:grpSpPr>
                      <wps:wsp>
                        <wps:cNvPr id="1" name="直线 3"/>
                        <wps:cNvCnPr/>
                        <wps:spPr>
                          <a:xfrm>
                            <a:off x="1620" y="2532"/>
                            <a:ext cx="8640" cy="0"/>
                          </a:xfrm>
                          <a:prstGeom prst="line">
                            <a:avLst/>
                          </a:prstGeom>
                          <a:ln w="38100" cap="flat" cmpd="sng">
                            <a:solidFill>
                              <a:srgbClr val="FF0000"/>
                            </a:solidFill>
                            <a:prstDash val="solid"/>
                            <a:headEnd type="none" w="med" len="med"/>
                            <a:tailEnd type="none" w="med" len="med"/>
                          </a:ln>
                        </wps:spPr>
                        <wps:bodyPr upright="1"/>
                      </wps:wsp>
                      <wps:wsp>
                        <wps:cNvPr id="2" name="直线 4"/>
                        <wps:cNvCnPr/>
                        <wps:spPr>
                          <a:xfrm>
                            <a:off x="1620" y="2688"/>
                            <a:ext cx="864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25pt;margin-top:7.8pt;height:4.8pt;width:442.1pt;z-index:251659264;mso-width-relative:page;mso-height-relative:page;" coordorigin="1620,2532" coordsize="8640,156" o:gfxdata="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1n0SjVAAAABwEAAA8AAAAAAAAAAQAgAAAAIgAA&#10;AGRycy9kb3ducmV2LnhtbFBLAQIUABQAAAAIAIdO4kAE7NYGfQIAAA0HAAAOAAAAAAAAAAEAIAAA&#10;ACQBAABkcnMvZTJvRG9jLnhtbFBLBQYAAAAABgAGAFkBAAATBgAAAAA=&#10;">
                <o:lock v:ext="edit" aspectratio="f"/>
                <v:line id="直线 3" o:spid="_x0000_s1026" o:spt="20" style="position:absolute;left:1620;top:2532;height:0;width:8640;"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line id="直线 4" o:spid="_x0000_s1026" o:spt="20" style="position:absolute;left:1620;top:2688;height:0;width:8640;"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color w:val="FF0000"/>
        </w:rPr>
        <w:t xml:space="preserve">                </w:t>
      </w:r>
    </w:p>
    <w:p>
      <w:pPr>
        <w:pStyle w:val="5"/>
        <w:rPr>
          <w:color w:val="FF0000"/>
        </w:rPr>
      </w:pPr>
    </w:p>
    <w:p>
      <w:pPr>
        <w:pStyle w:val="5"/>
        <w:rPr>
          <w:color w:val="FF0000"/>
        </w:rPr>
      </w:pPr>
    </w:p>
    <w:p>
      <w:pPr>
        <w:pStyle w:val="5"/>
        <w:rPr>
          <w:color w:val="FF0000"/>
        </w:rPr>
      </w:pPr>
    </w:p>
    <w:p>
      <w:pPr>
        <w:pStyle w:val="4"/>
        <w:spacing w:line="600" w:lineRule="exact"/>
        <w:ind w:firstLine="844" w:firstLineChars="200"/>
        <w:jc w:val="center"/>
        <w:rPr>
          <w:rFonts w:hint="eastAsia" w:ascii="方正小标宋_GBK" w:hAnsi="黑体" w:eastAsia="方正小标宋_GBK" w:cs="黑体"/>
          <w:sz w:val="40"/>
          <w:szCs w:val="40"/>
        </w:rPr>
      </w:pPr>
      <w:r>
        <w:rPr>
          <w:rFonts w:hint="eastAsia" w:ascii="方正小标宋_GBK" w:hAnsi="黑体" w:eastAsia="方正小标宋_GBK" w:cs="黑体"/>
          <w:sz w:val="40"/>
          <w:szCs w:val="40"/>
        </w:rPr>
        <w:t>攀枝花市仁和区审计局</w:t>
      </w:r>
    </w:p>
    <w:p>
      <w:pPr>
        <w:pStyle w:val="4"/>
        <w:spacing w:line="600" w:lineRule="exact"/>
        <w:ind w:firstLine="844" w:firstLineChars="200"/>
        <w:jc w:val="center"/>
        <w:rPr>
          <w:rFonts w:hint="eastAsia" w:ascii="方正小标宋_GBK" w:hAnsi="黑体" w:eastAsia="方正小标宋_GBK" w:cs="黑体"/>
          <w:sz w:val="40"/>
          <w:szCs w:val="40"/>
        </w:rPr>
      </w:pPr>
      <w:r>
        <w:rPr>
          <w:rFonts w:hint="eastAsia" w:ascii="方正小标宋_GBK" w:hAnsi="黑体" w:eastAsia="方正小标宋_GBK" w:cs="黑体"/>
          <w:sz w:val="40"/>
          <w:szCs w:val="40"/>
        </w:rPr>
        <w:t>202</w:t>
      </w:r>
      <w:r>
        <w:rPr>
          <w:rFonts w:hint="eastAsia" w:ascii="方正小标宋_GBK" w:hAnsi="黑体" w:eastAsia="方正小标宋_GBK" w:cs="黑体"/>
          <w:sz w:val="40"/>
          <w:szCs w:val="40"/>
          <w:lang w:val="en-US" w:eastAsia="zh-CN"/>
        </w:rPr>
        <w:t>3</w:t>
      </w:r>
      <w:r>
        <w:rPr>
          <w:rFonts w:hint="eastAsia" w:ascii="方正小标宋_GBK" w:hAnsi="黑体" w:eastAsia="方正小标宋_GBK" w:cs="黑体"/>
          <w:sz w:val="40"/>
          <w:szCs w:val="40"/>
        </w:rPr>
        <w:t>年度部门预算项目支出绩效自评报告</w:t>
      </w:r>
    </w:p>
    <w:p>
      <w:pPr>
        <w:pStyle w:val="4"/>
        <w:spacing w:line="600" w:lineRule="exact"/>
        <w:ind w:firstLine="844"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40"/>
          <w:szCs w:val="40"/>
        </w:rPr>
        <w:t>（重点审计项目或省级任务经费）</w:t>
      </w:r>
    </w:p>
    <w:p>
      <w:pPr>
        <w:pStyle w:val="4"/>
        <w:spacing w:line="600" w:lineRule="exact"/>
        <w:ind w:firstLine="684" w:firstLineChars="200"/>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auto"/>
          <w:kern w:val="0"/>
          <w:sz w:val="32"/>
          <w:szCs w:val="32"/>
        </w:rPr>
      </w:pPr>
      <w:r>
        <w:rPr>
          <w:rFonts w:ascii="Times New Roman" w:hAnsi="Times New Roman" w:eastAsia="楷体_GB2312"/>
          <w:kern w:val="0"/>
          <w:sz w:val="32"/>
          <w:szCs w:val="32"/>
        </w:rPr>
        <w:t>（一）项目基本情况。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both"/>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根据</w:t>
      </w:r>
      <w:r>
        <w:rPr>
          <w:rFonts w:hint="eastAsia" w:ascii="Times New Roman" w:hAnsi="Times New Roman" w:eastAsia="仿宋_GB2312"/>
          <w:kern w:val="0"/>
          <w:sz w:val="32"/>
          <w:szCs w:val="32"/>
          <w:lang w:eastAsia="zh-CN"/>
        </w:rPr>
        <w:t>攀财资行[2023]53号文件</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lang w:eastAsia="zh-CN"/>
        </w:rPr>
        <w:t>上级下达攀枝花市202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年省级审计专项转移支付资金-重点审计项目或省级任务经费6</w:t>
      </w:r>
      <w:r>
        <w:rPr>
          <w:rFonts w:hint="eastAsia" w:ascii="Times New Roman" w:hAnsi="Times New Roman" w:eastAsia="仿宋_GB2312"/>
          <w:kern w:val="0"/>
          <w:sz w:val="32"/>
          <w:szCs w:val="32"/>
          <w:lang w:val="en-US" w:eastAsia="zh-CN"/>
        </w:rPr>
        <w:t>万元，主要用于补助审计部门工作经费。</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（二）项目绩效目标。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项目主要内容。</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both"/>
        <w:textAlignment w:val="auto"/>
        <w:rPr>
          <w:rFonts w:hint="default" w:ascii="Times New Roman" w:hAnsi="Times New Roman" w:eastAsia="仿宋_GB2312"/>
          <w:kern w:val="0"/>
          <w:sz w:val="32"/>
          <w:szCs w:val="32"/>
          <w:highlight w:val="green"/>
          <w:lang w:val="en-US" w:eastAsia="zh-CN"/>
        </w:rPr>
      </w:pPr>
      <w:r>
        <w:rPr>
          <w:rFonts w:hint="eastAsia" w:ascii="Times New Roman" w:hAnsi="Times New Roman" w:eastAsia="仿宋_GB2312"/>
          <w:kern w:val="0"/>
          <w:sz w:val="32"/>
          <w:szCs w:val="32"/>
          <w:highlight w:val="none"/>
          <w:lang w:val="en-US" w:eastAsia="zh-CN"/>
        </w:rPr>
        <w:t>保障高标准农田建设、养老服务体系建设政策措施落实情况等省级重点专项审计及其他重点审计项目的正常开展。</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项目应实现的具体绩效目标，包括目标的量化、细化情况以及项目实施进度计划等。</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仿宋_GB2312" w:hAnsi="仿宋_GB2312" w:eastAsia="仿宋_GB2312" w:cs="仿宋_GB2312"/>
          <w:b/>
          <w:bCs/>
          <w:color w:val="000000"/>
          <w:kern w:val="0"/>
          <w:sz w:val="32"/>
          <w:szCs w:val="32"/>
        </w:rPr>
        <w:t>一是完成情况。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数量指标</w:t>
      </w:r>
      <w:r>
        <w:rPr>
          <w:rFonts w:hint="eastAsia" w:ascii="Times New Roman" w:hAnsi="Times New Roman" w:eastAsia="仿宋_GB2312"/>
          <w:color w:val="000000"/>
          <w:kern w:val="0"/>
          <w:sz w:val="32"/>
          <w:szCs w:val="32"/>
          <w:lang w:eastAsia="zh-CN"/>
        </w:rPr>
        <w:t>：省级重点专项审计不少于</w:t>
      </w:r>
      <w:r>
        <w:rPr>
          <w:rFonts w:hint="eastAsia" w:ascii="Times New Roman" w:hAnsi="Times New Roman" w:eastAsia="仿宋_GB2312"/>
          <w:color w:val="000000"/>
          <w:kern w:val="0"/>
          <w:sz w:val="32"/>
          <w:szCs w:val="32"/>
          <w:lang w:val="en-US" w:eastAsia="zh-CN"/>
        </w:rPr>
        <w:t>2个；其他重点审计项目不少于1个。</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质量指标</w:t>
      </w:r>
      <w:r>
        <w:rPr>
          <w:rFonts w:hint="eastAsia" w:ascii="Times New Roman" w:hAnsi="Times New Roman" w:eastAsia="仿宋_GB2312"/>
          <w:color w:val="000000"/>
          <w:kern w:val="0"/>
          <w:sz w:val="32"/>
          <w:szCs w:val="32"/>
          <w:lang w:eastAsia="zh-CN"/>
        </w:rPr>
        <w:t>：按照上级部门安排或审计计划完成项目，严格按照审计方案和要求实施，确保审计项目质量可控。</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时效指标</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202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年全年。</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成本指标</w:t>
      </w:r>
      <w:r>
        <w:rPr>
          <w:rFonts w:hint="eastAsia" w:ascii="Times New Roman" w:hAnsi="Times New Roman" w:eastAsia="仿宋_GB2312"/>
          <w:color w:val="000000"/>
          <w:kern w:val="0"/>
          <w:sz w:val="32"/>
          <w:szCs w:val="32"/>
          <w:highlight w:val="none"/>
          <w:lang w:eastAsia="zh-CN"/>
        </w:rPr>
        <w:t>：</w:t>
      </w:r>
      <w:r>
        <w:rPr>
          <w:rFonts w:hint="eastAsia" w:ascii="Times New Roman" w:hAnsi="Times New Roman" w:eastAsia="仿宋_GB2312"/>
          <w:color w:val="000000"/>
          <w:kern w:val="0"/>
          <w:sz w:val="32"/>
          <w:szCs w:val="32"/>
          <w:highlight w:val="none"/>
        </w:rPr>
        <w:t>保障高标准农田建设、养老服务体系建设政策措施落实情况等省级重点专项审计取证、现场勘查、审计差旅费等工作经费</w:t>
      </w:r>
      <w:r>
        <w:rPr>
          <w:rFonts w:hint="eastAsia" w:ascii="Times New Roman" w:hAnsi="Times New Roman" w:eastAsia="仿宋_GB2312"/>
          <w:color w:val="000000"/>
          <w:kern w:val="0"/>
          <w:sz w:val="32"/>
          <w:szCs w:val="32"/>
          <w:highlight w:val="none"/>
          <w:lang w:val="en-US" w:eastAsia="zh-CN"/>
        </w:rPr>
        <w:t>1.3万元；其他重点审计项目经费4.7万元</w:t>
      </w:r>
      <w:r>
        <w:rPr>
          <w:rFonts w:hint="eastAsia" w:ascii="Times New Roman" w:hAnsi="Times New Roman" w:eastAsia="仿宋_GB2312"/>
          <w:color w:val="000000"/>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二是项目效益。</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eastAsia="zh-CN"/>
        </w:rPr>
        <w:t>提高财政资金使用效益，规范财政资金使用程序，节约政府投资，确保审计监督有效性。</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三是满意度指标。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区委、区政府、上级审计机关、被审计单位对审计结果的认可（%）大于9</w:t>
      </w:r>
      <w:r>
        <w:rPr>
          <w:rFonts w:hint="eastAsia" w:ascii="Times New Roman" w:hAnsi="Times New Roman" w:eastAsia="仿宋_GB2312"/>
          <w:color w:val="000000"/>
          <w:kern w:val="0"/>
          <w:sz w:val="32"/>
          <w:szCs w:val="32"/>
          <w:lang w:val="en-US" w:eastAsia="zh-CN"/>
        </w:rPr>
        <w:t>0</w:t>
      </w:r>
      <w:r>
        <w:rPr>
          <w:rFonts w:hint="eastAsia" w:ascii="Times New Roman" w:hAnsi="Times New Roman" w:eastAsia="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rPr>
      </w:pP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分析评价申报内容是否与实际相符，申报目标是否合理可行。</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rPr>
        <w:t>该项目</w:t>
      </w:r>
      <w:r>
        <w:rPr>
          <w:rFonts w:hint="eastAsia" w:ascii="Times New Roman" w:hAnsi="Times New Roman" w:eastAsia="仿宋_GB2312"/>
          <w:color w:val="000000"/>
          <w:kern w:val="0"/>
          <w:sz w:val="32"/>
          <w:szCs w:val="32"/>
          <w:lang w:eastAsia="zh-CN"/>
        </w:rPr>
        <w:t>有力</w:t>
      </w:r>
      <w:bookmarkStart w:id="0" w:name="_GoBack"/>
      <w:bookmarkEnd w:id="0"/>
      <w:r>
        <w:rPr>
          <w:rFonts w:hint="eastAsia" w:ascii="Times New Roman" w:hAnsi="Times New Roman" w:eastAsia="仿宋_GB2312"/>
          <w:color w:val="000000"/>
          <w:kern w:val="0"/>
          <w:sz w:val="32"/>
          <w:szCs w:val="32"/>
        </w:rPr>
        <w:t>保障</w:t>
      </w:r>
      <w:r>
        <w:rPr>
          <w:rFonts w:hint="eastAsia" w:ascii="Times New Roman" w:hAnsi="Times New Roman" w:eastAsia="仿宋_GB2312"/>
          <w:color w:val="000000"/>
          <w:kern w:val="0"/>
          <w:sz w:val="32"/>
          <w:szCs w:val="32"/>
          <w:lang w:eastAsia="zh-CN"/>
        </w:rPr>
        <w:t>了</w:t>
      </w:r>
      <w:r>
        <w:rPr>
          <w:rFonts w:hint="eastAsia" w:ascii="Times New Roman" w:hAnsi="Times New Roman" w:eastAsia="仿宋_GB2312"/>
          <w:color w:val="000000"/>
          <w:kern w:val="0"/>
          <w:sz w:val="32"/>
          <w:szCs w:val="32"/>
        </w:rPr>
        <w:t>高标准农田建设、养老服务体系建设政策措施落实情况等省级重点专项</w:t>
      </w:r>
      <w:r>
        <w:rPr>
          <w:rFonts w:hint="eastAsia" w:ascii="Times New Roman" w:hAnsi="Times New Roman" w:eastAsia="仿宋_GB2312"/>
          <w:color w:val="000000"/>
          <w:kern w:val="0"/>
          <w:sz w:val="32"/>
          <w:szCs w:val="32"/>
          <w:lang w:eastAsia="zh-CN"/>
        </w:rPr>
        <w:t>审计及其他重点审计项目的顺利开展，申报目标合理可行。</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color w:val="000000"/>
          <w:kern w:val="0"/>
          <w:sz w:val="32"/>
          <w:szCs w:val="32"/>
        </w:rPr>
      </w:pPr>
      <w:r>
        <w:rPr>
          <w:rFonts w:ascii="Times New Roman" w:hAnsi="Times New Roman" w:eastAsia="黑体"/>
          <w:color w:val="000000"/>
          <w:kern w:val="0"/>
          <w:sz w:val="32"/>
          <w:szCs w:val="32"/>
        </w:rPr>
        <w:t>二、项目资金申报及使用情况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color w:val="000000"/>
          <w:kern w:val="0"/>
          <w:sz w:val="32"/>
          <w:szCs w:val="32"/>
        </w:rPr>
        <w:t>（一）项目资</w:t>
      </w:r>
      <w:r>
        <w:rPr>
          <w:rFonts w:ascii="Times New Roman" w:hAnsi="Times New Roman" w:eastAsia="楷体_GB2312"/>
          <w:kern w:val="0"/>
          <w:sz w:val="32"/>
          <w:szCs w:val="32"/>
        </w:rPr>
        <w:t>金申报及批复情况。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财政批复上级专项资金</w:t>
      </w:r>
      <w:r>
        <w:rPr>
          <w:rFonts w:hint="eastAsia" w:ascii="Times New Roman" w:hAnsi="Times New Roman" w:eastAsia="仿宋_GB2312"/>
          <w:color w:val="000000"/>
          <w:kern w:val="0"/>
          <w:sz w:val="32"/>
          <w:szCs w:val="32"/>
          <w:lang w:val="en-US" w:eastAsia="zh-CN"/>
        </w:rPr>
        <w:t>6万元</w:t>
      </w:r>
      <w:r>
        <w:rPr>
          <w:rFonts w:hint="eastAsia" w:ascii="Times New Roman" w:hAnsi="Times New Roman" w:eastAsia="仿宋_GB2312"/>
          <w:color w:val="000000"/>
          <w:kern w:val="0"/>
          <w:sz w:val="32"/>
          <w:szCs w:val="32"/>
        </w:rPr>
        <w:t>，无预算调整情况。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资金计划。</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资金计划全部为</w:t>
      </w:r>
      <w:r>
        <w:rPr>
          <w:rFonts w:hint="eastAsia" w:ascii="Times New Roman" w:hAnsi="Times New Roman" w:eastAsia="仿宋_GB2312"/>
          <w:color w:val="000000"/>
          <w:kern w:val="0"/>
          <w:sz w:val="32"/>
          <w:szCs w:val="32"/>
          <w:lang w:eastAsia="zh-CN"/>
        </w:rPr>
        <w:t>上级专项资金</w:t>
      </w:r>
      <w:r>
        <w:rPr>
          <w:rFonts w:hint="eastAsia" w:ascii="Times New Roman" w:hAnsi="Times New Roman" w:eastAsia="仿宋_GB2312"/>
          <w:kern w:val="0"/>
          <w:sz w:val="32"/>
          <w:szCs w:val="32"/>
        </w:rPr>
        <w:t>，</w:t>
      </w:r>
      <w:r>
        <w:rPr>
          <w:rFonts w:ascii="Times New Roman" w:hAnsi="Times New Roman" w:eastAsia="仿宋_GB2312"/>
          <w:kern w:val="0"/>
          <w:sz w:val="32"/>
          <w:szCs w:val="32"/>
        </w:rPr>
        <w:t>无其他渠道资金</w:t>
      </w:r>
      <w:r>
        <w:rPr>
          <w:rFonts w:hint="eastAsia" w:ascii="Times New Roman" w:hAnsi="Times New Roman" w:eastAsia="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资金到位。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截至202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年12月，项目到位资金</w:t>
      </w:r>
      <w:r>
        <w:rPr>
          <w:rFonts w:hint="eastAsia" w:ascii="Times New Roman" w:hAnsi="Times New Roman" w:eastAsia="仿宋_GB2312"/>
          <w:color w:val="000000"/>
          <w:kern w:val="0"/>
          <w:sz w:val="32"/>
          <w:szCs w:val="32"/>
          <w:lang w:val="en-US" w:eastAsia="zh-CN"/>
        </w:rPr>
        <w:t>6</w:t>
      </w:r>
      <w:r>
        <w:rPr>
          <w:rFonts w:hint="eastAsia" w:ascii="Times New Roman" w:hAnsi="Times New Roman" w:eastAsia="仿宋_GB2312"/>
          <w:color w:val="000000"/>
          <w:kern w:val="0"/>
          <w:sz w:val="32"/>
          <w:szCs w:val="32"/>
        </w:rPr>
        <w:t>万元，其中：202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年预算资金</w:t>
      </w:r>
      <w:r>
        <w:rPr>
          <w:rFonts w:hint="eastAsia" w:ascii="Times New Roman" w:hAnsi="Times New Roman" w:eastAsia="仿宋_GB2312"/>
          <w:color w:val="000000"/>
          <w:kern w:val="0"/>
          <w:sz w:val="32"/>
          <w:szCs w:val="32"/>
          <w:lang w:val="en-US" w:eastAsia="zh-CN"/>
        </w:rPr>
        <w:t>6</w:t>
      </w:r>
      <w:r>
        <w:rPr>
          <w:rFonts w:hint="eastAsia" w:ascii="Times New Roman" w:hAnsi="Times New Roman" w:eastAsia="仿宋_GB2312"/>
          <w:color w:val="000000"/>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资金使用。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both"/>
        <w:textAlignment w:val="auto"/>
        <w:rPr>
          <w:rFonts w:ascii="Times New Roman" w:hAnsi="Times New Roman" w:eastAsia="仿宋_GB2312"/>
          <w:kern w:val="0"/>
          <w:sz w:val="32"/>
          <w:szCs w:val="32"/>
          <w:highlight w:val="none"/>
        </w:rPr>
      </w:pPr>
      <w:r>
        <w:rPr>
          <w:rFonts w:hint="eastAsia" w:ascii="Times New Roman" w:hAnsi="Times New Roman" w:eastAsia="仿宋_GB2312"/>
          <w:color w:val="000000"/>
          <w:kern w:val="0"/>
          <w:sz w:val="32"/>
          <w:szCs w:val="32"/>
          <w:highlight w:val="none"/>
        </w:rPr>
        <w:t>截至202</w:t>
      </w:r>
      <w:r>
        <w:rPr>
          <w:rFonts w:hint="eastAsia" w:ascii="Times New Roman" w:hAnsi="Times New Roman" w:eastAsia="仿宋_GB2312"/>
          <w:color w:val="000000"/>
          <w:kern w:val="0"/>
          <w:sz w:val="32"/>
          <w:szCs w:val="32"/>
          <w:highlight w:val="none"/>
          <w:lang w:val="en-US" w:eastAsia="zh-CN"/>
        </w:rPr>
        <w:t>3</w:t>
      </w:r>
      <w:r>
        <w:rPr>
          <w:rFonts w:hint="eastAsia" w:ascii="Times New Roman" w:hAnsi="Times New Roman" w:eastAsia="仿宋_GB2312"/>
          <w:color w:val="000000"/>
          <w:kern w:val="0"/>
          <w:sz w:val="32"/>
          <w:szCs w:val="32"/>
          <w:highlight w:val="none"/>
        </w:rPr>
        <w:t>年12月，项目支出</w:t>
      </w:r>
      <w:r>
        <w:rPr>
          <w:rFonts w:hint="eastAsia" w:ascii="Times New Roman" w:hAnsi="Times New Roman" w:eastAsia="仿宋_GB2312"/>
          <w:color w:val="000000"/>
          <w:kern w:val="0"/>
          <w:sz w:val="32"/>
          <w:szCs w:val="32"/>
          <w:highlight w:val="none"/>
          <w:lang w:eastAsia="zh-CN"/>
        </w:rPr>
        <w:t>1</w:t>
      </w:r>
      <w:r>
        <w:rPr>
          <w:rFonts w:hint="eastAsia" w:ascii="Times New Roman" w:hAnsi="Times New Roman" w:eastAsia="仿宋_GB2312"/>
          <w:color w:val="000000"/>
          <w:kern w:val="0"/>
          <w:sz w:val="32"/>
          <w:szCs w:val="32"/>
          <w:highlight w:val="none"/>
          <w:lang w:val="en-US" w:eastAsia="zh-CN"/>
        </w:rPr>
        <w:t>.26</w:t>
      </w:r>
      <w:r>
        <w:rPr>
          <w:rFonts w:hint="eastAsia" w:ascii="Times New Roman" w:hAnsi="Times New Roman" w:eastAsia="仿宋_GB2312"/>
          <w:color w:val="000000"/>
          <w:kern w:val="0"/>
          <w:sz w:val="32"/>
          <w:szCs w:val="32"/>
          <w:highlight w:val="none"/>
        </w:rPr>
        <w:t>万元，</w:t>
      </w:r>
      <w:r>
        <w:rPr>
          <w:rFonts w:hint="eastAsia" w:ascii="Times New Roman" w:hAnsi="Times New Roman" w:eastAsia="仿宋_GB2312"/>
          <w:color w:val="000000"/>
          <w:kern w:val="0"/>
          <w:sz w:val="32"/>
          <w:szCs w:val="32"/>
          <w:highlight w:val="none"/>
          <w:lang w:eastAsia="zh-CN"/>
        </w:rPr>
        <w:t>主要用于支付参与盐边县高标准农田审计项目和市局抽调米易审计项目的</w:t>
      </w:r>
      <w:r>
        <w:rPr>
          <w:rFonts w:hint="eastAsia" w:ascii="仿宋_GB2312" w:hAnsi="仿宋_GB2312" w:eastAsia="仿宋_GB2312" w:cs="仿宋_GB2312"/>
          <w:color w:val="000000"/>
          <w:kern w:val="0"/>
          <w:sz w:val="32"/>
          <w:szCs w:val="32"/>
          <w:lang w:eastAsia="zh-CN"/>
        </w:rPr>
        <w:t>审计现场勘查、培训及取证资料等审计</w:t>
      </w:r>
      <w:r>
        <w:rPr>
          <w:rFonts w:hint="eastAsia" w:ascii="仿宋_GB2312" w:hAnsi="仿宋_GB2312" w:eastAsia="仿宋_GB2312" w:cs="仿宋_GB2312"/>
          <w:color w:val="000000"/>
          <w:kern w:val="0"/>
          <w:sz w:val="32"/>
          <w:szCs w:val="32"/>
        </w:rPr>
        <w:t>工作经费</w:t>
      </w:r>
      <w:r>
        <w:rPr>
          <w:rFonts w:hint="eastAsia" w:ascii="Times New Roman" w:hAnsi="Times New Roman" w:eastAsia="仿宋_GB2312"/>
          <w:color w:val="000000"/>
          <w:kern w:val="0"/>
          <w:sz w:val="32"/>
          <w:szCs w:val="32"/>
          <w:highlight w:val="none"/>
          <w:lang w:eastAsia="zh-CN"/>
        </w:rPr>
        <w:t>。因财政资金调度困难及部分投资审计项目中介公司报账资料不齐全等原因，剩余经费均于2024年予以支付。</w:t>
      </w:r>
      <w:r>
        <w:rPr>
          <w:rFonts w:hint="eastAsia" w:ascii="Times New Roman" w:hAnsi="Times New Roman" w:eastAsia="仿宋_GB2312"/>
          <w:kern w:val="0"/>
          <w:sz w:val="32"/>
          <w:szCs w:val="32"/>
          <w:highlight w:val="none"/>
        </w:rPr>
        <w:t>无违规使用资金情况。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严格执行财务管理制度及单位内控制度，及时拨付项目资金，规范会计核算及财务处理。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在预算管理上，执行事前预算评估，事中</w:t>
      </w:r>
      <w:r>
        <w:rPr>
          <w:rFonts w:hint="eastAsia" w:ascii="仿宋_GB2312" w:hAnsi="仿宋_GB2312" w:eastAsia="仿宋_GB2312" w:cs="仿宋_GB2312"/>
          <w:color w:val="000000"/>
          <w:kern w:val="0"/>
          <w:sz w:val="32"/>
          <w:szCs w:val="32"/>
          <w:lang w:eastAsia="zh-CN"/>
        </w:rPr>
        <w:t>绩效</w:t>
      </w:r>
      <w:r>
        <w:rPr>
          <w:rFonts w:hint="eastAsia" w:ascii="仿宋_GB2312" w:hAnsi="仿宋_GB2312" w:eastAsia="仿宋_GB2312" w:cs="仿宋_GB2312"/>
          <w:color w:val="000000"/>
          <w:kern w:val="0"/>
          <w:sz w:val="32"/>
          <w:szCs w:val="32"/>
        </w:rPr>
        <w:t>监控，保障预算支出的</w:t>
      </w:r>
      <w:r>
        <w:rPr>
          <w:rFonts w:hint="eastAsia" w:ascii="仿宋_GB2312" w:hAnsi="仿宋_GB2312" w:eastAsia="仿宋_GB2312" w:cs="仿宋_GB2312"/>
          <w:color w:val="000000"/>
          <w:kern w:val="0"/>
          <w:sz w:val="32"/>
          <w:szCs w:val="32"/>
          <w:lang w:eastAsia="zh-CN"/>
        </w:rPr>
        <w:t>及时性及</w:t>
      </w:r>
      <w:r>
        <w:rPr>
          <w:rFonts w:hint="eastAsia" w:ascii="仿宋_GB2312" w:hAnsi="仿宋_GB2312" w:eastAsia="仿宋_GB2312" w:cs="仿宋_GB2312"/>
          <w:color w:val="000000"/>
          <w:kern w:val="0"/>
          <w:sz w:val="32"/>
          <w:szCs w:val="32"/>
        </w:rPr>
        <w:t>有效性。在项目实施上，严格按照</w:t>
      </w:r>
      <w:r>
        <w:rPr>
          <w:rFonts w:hint="eastAsia" w:ascii="仿宋_GB2312" w:hAnsi="仿宋_GB2312" w:eastAsia="仿宋_GB2312" w:cs="仿宋_GB2312"/>
          <w:color w:val="000000"/>
          <w:kern w:val="0"/>
          <w:sz w:val="32"/>
          <w:szCs w:val="32"/>
          <w:lang w:eastAsia="zh-CN"/>
        </w:rPr>
        <w:t>相关规定</w:t>
      </w:r>
      <w:r>
        <w:rPr>
          <w:rFonts w:hint="eastAsia" w:ascii="仿宋_GB2312" w:hAnsi="仿宋_GB2312" w:eastAsia="仿宋_GB2312" w:cs="仿宋_GB2312"/>
          <w:color w:val="000000"/>
          <w:kern w:val="0"/>
          <w:sz w:val="32"/>
          <w:szCs w:val="32"/>
        </w:rPr>
        <w:t>支付各项费用，保证项目能顺利实施。</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四、项目绩效情况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highlight w:val="none"/>
        </w:rPr>
      </w:pPr>
      <w:r>
        <w:rPr>
          <w:rFonts w:ascii="Times New Roman" w:hAnsi="Times New Roman" w:eastAsia="楷体_GB2312"/>
          <w:kern w:val="0"/>
          <w:sz w:val="32"/>
          <w:szCs w:val="32"/>
          <w:highlight w:val="none"/>
        </w:rPr>
        <w:t>（一）项目完成情况。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完成高标准农田建设、养老服务体系建设政策措施落实情况等省级重点专项审计及</w:t>
      </w:r>
      <w:r>
        <w:rPr>
          <w:rFonts w:hint="eastAsia" w:ascii="仿宋_GB2312" w:hAnsi="仿宋_GB2312" w:eastAsia="仿宋_GB2312" w:cs="仿宋_GB2312"/>
          <w:color w:val="000000"/>
          <w:kern w:val="0"/>
          <w:sz w:val="32"/>
          <w:szCs w:val="32"/>
          <w:lang w:val="en-US" w:eastAsia="zh-CN"/>
        </w:rPr>
        <w:t>仁和区公共卫生服务中心一期（仁和区疾病预防控制中心业务用房新建项目）</w:t>
      </w:r>
      <w:r>
        <w:rPr>
          <w:rFonts w:hint="eastAsia" w:ascii="仿宋_GB2312" w:hAnsi="仿宋_GB2312" w:eastAsia="仿宋_GB2312" w:cs="仿宋_GB2312"/>
          <w:color w:val="000000"/>
          <w:kern w:val="0"/>
          <w:sz w:val="32"/>
          <w:szCs w:val="32"/>
          <w:lang w:val="zh-CN"/>
        </w:rPr>
        <w:t>审计项目。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ascii="Times New Roman" w:hAnsi="Times New Roman" w:eastAsia="楷体_GB2312"/>
          <w:kern w:val="0"/>
          <w:sz w:val="32"/>
          <w:szCs w:val="32"/>
          <w:lang w:val="zh-CN"/>
        </w:rPr>
      </w:pPr>
      <w:r>
        <w:rPr>
          <w:rFonts w:ascii="Times New Roman" w:hAnsi="Times New Roman" w:eastAsia="楷体_GB2312"/>
          <w:kern w:val="0"/>
          <w:sz w:val="32"/>
          <w:szCs w:val="32"/>
          <w:lang w:val="zh-CN"/>
        </w:rPr>
        <w:t>（二）项目效益情况。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Times New Roman" w:hAnsi="Times New Roman" w:eastAsia="仿宋_GB2312"/>
          <w:b/>
          <w:bCs/>
          <w:kern w:val="0"/>
          <w:sz w:val="32"/>
          <w:szCs w:val="32"/>
          <w:lang w:val="zh-CN" w:eastAsia="zh-CN"/>
        </w:rPr>
      </w:pPr>
      <w:r>
        <w:rPr>
          <w:rFonts w:hint="eastAsia" w:ascii="仿宋_GB2312" w:hAnsi="仿宋_GB2312" w:eastAsia="仿宋_GB2312" w:cs="仿宋_GB2312"/>
          <w:color w:val="000000"/>
          <w:kern w:val="0"/>
          <w:sz w:val="32"/>
          <w:szCs w:val="32"/>
        </w:rPr>
        <w:t>提高财政资金使用效益，规范财政资金使用程序，节约政府投资</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保障高标准农田建设、养老服务体系建设政策措施落实情况等省级重点专项审计及其他重点审计项目的正常开展。</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b w:val="0"/>
          <w:bCs w:val="0"/>
          <w:lang w:eastAsia="zh-CN"/>
        </w:rPr>
      </w:pPr>
      <w:r>
        <w:rPr>
          <w:rFonts w:hint="eastAsia" w:ascii="仿宋_GB2312" w:hAnsi="仿宋_GB2312" w:eastAsia="仿宋_GB2312" w:cs="仿宋_GB2312"/>
          <w:color w:val="000000"/>
          <w:kern w:val="0"/>
          <w:sz w:val="32"/>
          <w:szCs w:val="32"/>
          <w:lang w:val="en-US" w:eastAsia="zh-CN"/>
        </w:rPr>
        <w:t>服务对象满意度≥9</w:t>
      </w:r>
      <w:r>
        <w:rPr>
          <w:rFonts w:hint="default"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lang w:val="en-US" w:eastAsia="zh-CN"/>
        </w:rPr>
        <w:t>%，绩效目标设置合理可行，筹资合规。</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因财政资金调度困难及部分投资审计项目中介公司报账资料不齐全等原因，剩余经费均于2024年予以支付</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84"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pStyle w:val="4"/>
        <w:keepNext w:val="0"/>
        <w:keepLines w:val="0"/>
        <w:pageBreakBefore w:val="0"/>
        <w:widowControl w:val="0"/>
        <w:kinsoku/>
        <w:wordWrap/>
        <w:overflowPunct/>
        <w:topLinePunct w:val="0"/>
        <w:bidi w:val="0"/>
        <w:snapToGrid/>
        <w:spacing w:line="540" w:lineRule="exact"/>
        <w:ind w:firstLine="684" w:firstLineChars="200"/>
        <w:jc w:val="left"/>
        <w:textAlignment w:val="auto"/>
        <w:rPr>
          <w:rFonts w:ascii="方正小标宋_GBK" w:hAnsi="方正小标宋_GBK" w:eastAsia="方正小标宋_GBK" w:cs="方正小标宋_GBK"/>
          <w:color w:val="333333"/>
          <w:sz w:val="36"/>
          <w:szCs w:val="36"/>
          <w:highlight w:val="none"/>
          <w:shd w:val="clear" w:color="auto" w:fill="FFFFFF"/>
        </w:rPr>
      </w:pPr>
      <w:r>
        <w:rPr>
          <w:rFonts w:hint="eastAsia" w:ascii="Times New Roman" w:hAnsi="Times New Roman" w:eastAsia="仿宋_GB2312"/>
          <w:kern w:val="0"/>
          <w:sz w:val="32"/>
          <w:szCs w:val="32"/>
          <w:lang w:eastAsia="zh-CN"/>
        </w:rPr>
        <w:t>无。</w:t>
      </w:r>
    </w:p>
    <w:p>
      <w:pPr>
        <w:pStyle w:val="4"/>
        <w:keepNext w:val="0"/>
        <w:keepLines w:val="0"/>
        <w:pageBreakBefore w:val="0"/>
        <w:widowControl w:val="0"/>
        <w:kinsoku/>
        <w:wordWrap/>
        <w:overflowPunct/>
        <w:topLinePunct w:val="0"/>
        <w:bidi w:val="0"/>
        <w:snapToGrid/>
        <w:spacing w:line="560" w:lineRule="exact"/>
        <w:jc w:val="left"/>
        <w:textAlignment w:val="auto"/>
      </w:pPr>
    </w:p>
    <w:p>
      <w:pPr>
        <w:pStyle w:val="4"/>
        <w:keepNext w:val="0"/>
        <w:keepLines w:val="0"/>
        <w:pageBreakBefore w:val="0"/>
        <w:widowControl w:val="0"/>
        <w:kinsoku/>
        <w:wordWrap/>
        <w:overflowPunct/>
        <w:topLinePunct w:val="0"/>
        <w:bidi w:val="0"/>
        <w:snapToGrid/>
        <w:spacing w:line="560" w:lineRule="exact"/>
        <w:jc w:val="left"/>
        <w:textAlignment w:val="auto"/>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64" w:firstLineChars="200"/>
        <w:jc w:val="left"/>
        <w:textAlignment w:val="auto"/>
        <w:rPr>
          <w:rFonts w:hint="default" w:ascii="Times New Roman" w:hAnsi="Times New Roman" w:eastAsia="仿宋_GB2312"/>
          <w:kern w:val="0"/>
          <w:sz w:val="32"/>
          <w:szCs w:val="32"/>
          <w:lang w:val="en-US" w:eastAsia="zh-CN"/>
        </w:rPr>
      </w:pPr>
      <w:r>
        <w:rPr>
          <w:rFonts w:hint="eastAsia"/>
          <w:lang w:val="en-US" w:eastAsia="zh-CN"/>
        </w:rPr>
        <w:t xml:space="preserve">                                          </w:t>
      </w:r>
      <w:r>
        <w:rPr>
          <w:rFonts w:hint="eastAsia" w:ascii="Times New Roman" w:hAnsi="Times New Roman" w:eastAsia="仿宋_GB2312"/>
          <w:kern w:val="0"/>
          <w:sz w:val="32"/>
          <w:szCs w:val="32"/>
          <w:lang w:val="en-US" w:eastAsia="zh-CN"/>
        </w:rPr>
        <w:t>仁和区审计局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firstLineChars="200"/>
        <w:jc w:val="left"/>
        <w:textAlignment w:val="auto"/>
        <w:rPr>
          <w:rFonts w:hint="default" w:eastAsia="宋体"/>
          <w:lang w:val="en-US" w:eastAsia="zh-CN"/>
        </w:rPr>
      </w:pPr>
      <w:r>
        <w:rPr>
          <w:rFonts w:hint="eastAsia" w:ascii="Times New Roman" w:hAnsi="Times New Roman" w:eastAsia="仿宋_GB2312"/>
          <w:kern w:val="0"/>
          <w:sz w:val="32"/>
          <w:szCs w:val="32"/>
          <w:lang w:val="en-US" w:eastAsia="zh-CN"/>
        </w:rPr>
        <w:t xml:space="preserve">                           2024年5月15日</w:t>
      </w:r>
    </w:p>
    <w:sectPr>
      <w:pgSz w:w="11906" w:h="16838"/>
      <w:pgMar w:top="2154" w:right="1474" w:bottom="2098" w:left="1587" w:header="851" w:footer="1701" w:gutter="0"/>
      <w:cols w:space="0" w:num="1"/>
      <w:rtlGutter w:val="0"/>
      <w:docGrid w:type="linesAndChars" w:linePitch="572"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6"/>
  <w:drawingGridVerticalSpacing w:val="28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DVkZWM2ZDdmYTFhODRkOTc4YmI0ZGVhOGQxMGIifQ=="/>
  </w:docVars>
  <w:rsids>
    <w:rsidRoot w:val="00000000"/>
    <w:rsid w:val="00914011"/>
    <w:rsid w:val="015F726C"/>
    <w:rsid w:val="05463F9F"/>
    <w:rsid w:val="05A70E9F"/>
    <w:rsid w:val="05F916FC"/>
    <w:rsid w:val="0BB0055A"/>
    <w:rsid w:val="0E6769D1"/>
    <w:rsid w:val="122111B6"/>
    <w:rsid w:val="135E7648"/>
    <w:rsid w:val="1439793E"/>
    <w:rsid w:val="14DA1B58"/>
    <w:rsid w:val="1A1928E2"/>
    <w:rsid w:val="1C893E9E"/>
    <w:rsid w:val="1DBE434B"/>
    <w:rsid w:val="1EBE0DD4"/>
    <w:rsid w:val="1FBF60F0"/>
    <w:rsid w:val="215360ED"/>
    <w:rsid w:val="21EF529B"/>
    <w:rsid w:val="228965D3"/>
    <w:rsid w:val="26024E28"/>
    <w:rsid w:val="2638574D"/>
    <w:rsid w:val="28745B08"/>
    <w:rsid w:val="29490025"/>
    <w:rsid w:val="2D3061BB"/>
    <w:rsid w:val="2E775D23"/>
    <w:rsid w:val="2EBC487E"/>
    <w:rsid w:val="2FBE051C"/>
    <w:rsid w:val="2FDABE93"/>
    <w:rsid w:val="2FEC4642"/>
    <w:rsid w:val="31E86970"/>
    <w:rsid w:val="33182784"/>
    <w:rsid w:val="34263475"/>
    <w:rsid w:val="35241716"/>
    <w:rsid w:val="3690649D"/>
    <w:rsid w:val="38BA1A6B"/>
    <w:rsid w:val="3A2761FC"/>
    <w:rsid w:val="3BF242E1"/>
    <w:rsid w:val="3E287A22"/>
    <w:rsid w:val="3EDAD603"/>
    <w:rsid w:val="3F7CD5E0"/>
    <w:rsid w:val="426B793C"/>
    <w:rsid w:val="43D4262B"/>
    <w:rsid w:val="44ED3784"/>
    <w:rsid w:val="45CA500D"/>
    <w:rsid w:val="461300FD"/>
    <w:rsid w:val="474B29D4"/>
    <w:rsid w:val="47EB27C5"/>
    <w:rsid w:val="48CE11C6"/>
    <w:rsid w:val="4A3E14C5"/>
    <w:rsid w:val="4BC7308C"/>
    <w:rsid w:val="4BFA64F8"/>
    <w:rsid w:val="4CE73006"/>
    <w:rsid w:val="4E275938"/>
    <w:rsid w:val="4E7345FB"/>
    <w:rsid w:val="4E97705F"/>
    <w:rsid w:val="50EC5729"/>
    <w:rsid w:val="52AD5487"/>
    <w:rsid w:val="53694B2E"/>
    <w:rsid w:val="53E50A5E"/>
    <w:rsid w:val="541B305B"/>
    <w:rsid w:val="55967D2B"/>
    <w:rsid w:val="559823FB"/>
    <w:rsid w:val="56D92B5C"/>
    <w:rsid w:val="57C50CE5"/>
    <w:rsid w:val="57DFFA41"/>
    <w:rsid w:val="5AC74097"/>
    <w:rsid w:val="5B8E57E5"/>
    <w:rsid w:val="5BAA5AC3"/>
    <w:rsid w:val="5CF43D52"/>
    <w:rsid w:val="5DDE2112"/>
    <w:rsid w:val="5E792B93"/>
    <w:rsid w:val="5EAB8EF3"/>
    <w:rsid w:val="5F070A1C"/>
    <w:rsid w:val="5FBFEC96"/>
    <w:rsid w:val="5FFB7BF7"/>
    <w:rsid w:val="5FFF7097"/>
    <w:rsid w:val="633F0737"/>
    <w:rsid w:val="63E257EE"/>
    <w:rsid w:val="63F96D06"/>
    <w:rsid w:val="6599EDA9"/>
    <w:rsid w:val="669EF43A"/>
    <w:rsid w:val="68462696"/>
    <w:rsid w:val="68C84020"/>
    <w:rsid w:val="69894125"/>
    <w:rsid w:val="69C72728"/>
    <w:rsid w:val="69F07F8A"/>
    <w:rsid w:val="6B6B2BB2"/>
    <w:rsid w:val="6BBFAE66"/>
    <w:rsid w:val="6CC602C3"/>
    <w:rsid w:val="6ECE7E24"/>
    <w:rsid w:val="6EEFBE9F"/>
    <w:rsid w:val="6F457068"/>
    <w:rsid w:val="6FDF586D"/>
    <w:rsid w:val="6FEFC801"/>
    <w:rsid w:val="6FFBE067"/>
    <w:rsid w:val="71370DFE"/>
    <w:rsid w:val="72FF468C"/>
    <w:rsid w:val="74B826BB"/>
    <w:rsid w:val="75997675"/>
    <w:rsid w:val="75BBEAFD"/>
    <w:rsid w:val="76C02A33"/>
    <w:rsid w:val="76CB6D61"/>
    <w:rsid w:val="7BF278E8"/>
    <w:rsid w:val="7BFFEE76"/>
    <w:rsid w:val="7C374CF9"/>
    <w:rsid w:val="7CC940C8"/>
    <w:rsid w:val="7DEF70F8"/>
    <w:rsid w:val="7E10090F"/>
    <w:rsid w:val="7E6D45F9"/>
    <w:rsid w:val="7EA7E11F"/>
    <w:rsid w:val="7F151054"/>
    <w:rsid w:val="7F231B13"/>
    <w:rsid w:val="7F7307B5"/>
    <w:rsid w:val="7FDFA2AC"/>
    <w:rsid w:val="9979C7A4"/>
    <w:rsid w:val="AAC53F93"/>
    <w:rsid w:val="ABF76101"/>
    <w:rsid w:val="B9FC9DF0"/>
    <w:rsid w:val="BBFF456B"/>
    <w:rsid w:val="BE9B2C43"/>
    <w:rsid w:val="CCFBC317"/>
    <w:rsid w:val="D59F7537"/>
    <w:rsid w:val="DDB55F84"/>
    <w:rsid w:val="DEFF4FA1"/>
    <w:rsid w:val="DFF9FA29"/>
    <w:rsid w:val="DFFFE729"/>
    <w:rsid w:val="E6DC5312"/>
    <w:rsid w:val="EB53A8B4"/>
    <w:rsid w:val="F62D698A"/>
    <w:rsid w:val="F9FDE41A"/>
    <w:rsid w:val="FAEFD3BD"/>
    <w:rsid w:val="FDB71ACD"/>
    <w:rsid w:val="FEFAA3C4"/>
    <w:rsid w:val="FFFC21E5"/>
    <w:rsid w:val="FFFD2502"/>
    <w:rsid w:val="FFFE82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rPr>
      <w:rFonts w:ascii="Times New Roman" w:hAnsi="Times New Roman" w:eastAsia="宋体"/>
    </w:rPr>
  </w:style>
  <w:style w:type="paragraph" w:customStyle="1" w:styleId="3">
    <w:name w:val="Body Text Indent1"/>
    <w:basedOn w:val="1"/>
    <w:qFormat/>
    <w:uiPriority w:val="0"/>
    <w:pPr>
      <w:spacing w:line="600" w:lineRule="atLeast"/>
      <w:ind w:firstLine="600"/>
    </w:pPr>
    <w:rPr>
      <w:rFonts w:ascii="仿宋_GB2312" w:hAnsi="Times New Roman" w:eastAsia="仿宋_GB2312"/>
      <w:b/>
      <w:bCs/>
      <w:sz w:val="30"/>
      <w:szCs w:val="30"/>
    </w:rPr>
  </w:style>
  <w:style w:type="paragraph" w:styleId="4">
    <w:name w:val="Plain Text"/>
    <w:basedOn w:val="1"/>
    <w:qFormat/>
    <w:uiPriority w:val="0"/>
    <w:rPr>
      <w:rFonts w:ascii="宋体" w:hAnsi="Courier New"/>
    </w:rPr>
  </w:style>
  <w:style w:type="paragraph" w:styleId="5">
    <w:name w:val="footnote text"/>
    <w:basedOn w:val="1"/>
    <w:autoRedefine/>
    <w:qFormat/>
    <w:uiPriority w:val="0"/>
    <w:pPr>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1275</Words>
  <Characters>1335</Characters>
  <Lines>0</Lines>
  <Paragraphs>0</Paragraphs>
  <TotalTime>11</TotalTime>
  <ScaleCrop>false</ScaleCrop>
  <LinksUpToDate>false</LinksUpToDate>
  <CharactersWithSpaces>1420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2022-05-17T10:42:00Z</dcterms:created>
  <dc:creator>think</dc:creator>
  <cp:lastModifiedBy>think</cp:lastModifiedBy>
  <cp:lastPrinted>2022-05-24T04:44:00Z</cp:lastPrinted>
  <dcterms:modified xsi:type="dcterms:W3CDTF">2024-05-22T09:42:45Z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AB4A9C8D1A79D8CAF82E44666FE3EF26</vt:lpwstr>
  </property>
</Properties>
</file>