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800" w:lineRule="exact"/>
        <w:jc w:val="center"/>
        <w:rPr>
          <w:rFonts w:eastAsia="方正小标宋_GBK"/>
          <w:bCs/>
          <w:color w:val="FF0000"/>
          <w:spacing w:val="30"/>
          <w:sz w:val="80"/>
          <w:szCs w:val="80"/>
        </w:rPr>
      </w:pPr>
      <w:r>
        <w:rPr>
          <w:rFonts w:eastAsia="方正小标宋_GBK"/>
          <w:bCs/>
          <w:color w:val="FF0000"/>
          <w:spacing w:val="30"/>
          <w:sz w:val="80"/>
          <w:szCs w:val="80"/>
        </w:rPr>
        <w:t>攀枝花市仁和区审计局</w:t>
      </w:r>
    </w:p>
    <w:p>
      <w:pPr>
        <w:spacing w:line="440" w:lineRule="exact"/>
        <w:jc w:val="center"/>
        <w:rPr>
          <w:color w:val="FF0000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99060</wp:posOffset>
                </wp:positionV>
                <wp:extent cx="5614670" cy="60960"/>
                <wp:effectExtent l="0" t="19050" r="5080" b="15240"/>
                <wp:wrapNone/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4670" cy="60960"/>
                          <a:chOff x="1620" y="2532"/>
                          <a:chExt cx="8640" cy="156"/>
                        </a:xfrm>
                      </wpg:grpSpPr>
                      <wps:wsp>
                        <wps:cNvPr id="1" name="直线 3"/>
                        <wps:cNvCnPr/>
                        <wps:spPr>
                          <a:xfrm>
                            <a:off x="1620" y="2532"/>
                            <a:ext cx="8640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线 4"/>
                        <wps:cNvCnPr/>
                        <wps:spPr>
                          <a:xfrm>
                            <a:off x="1620" y="2688"/>
                            <a:ext cx="86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1.25pt;margin-top:7.8pt;height:4.8pt;width:442.1pt;z-index:251659264;mso-width-relative:page;mso-height-relative:page;" coordorigin="1620,2532" coordsize="8640,156" o:gfxdata="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I1n0SjVAAAABwEAAA8AAAAAAAAAAQAgAAAAIgAA&#10;AGRycy9kb3ducmV2LnhtbFBLAQIUABQAAAAIAIdO4kAE7NYGfQIAAA0HAAAOAAAAAAAAAAEAIAAA&#10;ACQBAABkcnMvZTJvRG9jLnhtbFBLBQYAAAAABgAGAFkBAAATBgAAAAA=&#10;">
                <o:lock v:ext="edit" aspectratio="f"/>
                <v:line id="直线 3" o:spid="_x0000_s1026" o:spt="20" style="position:absolute;left:1620;top:2532;height:0;width:8640;" filled="f" stroked="t" coordsize="21600,21600" o:gfxdata="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qzr5vQAA&#10;ANoAAAAPAAAAAAAAAAEAIAAAACIAAABkcnMvZG93bnJldi54bWxQSwECFAAUAAAACACHTuJAMy8F&#10;njsAAAA5AAAAEAAAAAAAAAABACAAAAAMAQAAZHJzL3NoYXBleG1sLnhtbFBLBQYAAAAABgAGAFsB&#10;AAC2AwAAAAA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line id="直线 4" o:spid="_x0000_s1026" o:spt="20" style="position:absolute;left:1620;top:2688;height:0;width:8640;" filled="f" stroked="t" coordsize="21600,21600" o:gfxdata="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NlP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color w:val="FF0000"/>
        </w:rPr>
        <w:t xml:space="preserve">                </w:t>
      </w:r>
    </w:p>
    <w:p>
      <w:pPr>
        <w:pStyle w:val="2"/>
        <w:rPr>
          <w:color w:val="FF0000"/>
        </w:rPr>
      </w:pPr>
    </w:p>
    <w:p>
      <w:pPr>
        <w:pStyle w:val="2"/>
        <w:rPr>
          <w:color w:val="FF0000"/>
        </w:rPr>
      </w:pPr>
    </w:p>
    <w:p>
      <w:pPr>
        <w:pStyle w:val="2"/>
        <w:rPr>
          <w:color w:val="FF0000"/>
        </w:rPr>
      </w:pPr>
    </w:p>
    <w:p>
      <w:pPr>
        <w:pStyle w:val="3"/>
        <w:spacing w:line="600" w:lineRule="exact"/>
        <w:ind w:firstLine="844" w:firstLineChars="200"/>
        <w:jc w:val="center"/>
        <w:rPr>
          <w:rFonts w:hint="eastAsia" w:ascii="方正小标宋_GBK" w:hAnsi="黑体" w:eastAsia="方正小标宋_GBK" w:cs="黑体"/>
          <w:sz w:val="40"/>
          <w:szCs w:val="40"/>
        </w:rPr>
      </w:pPr>
      <w:r>
        <w:rPr>
          <w:rFonts w:hint="eastAsia" w:ascii="方正小标宋_GBK" w:hAnsi="黑体" w:eastAsia="方正小标宋_GBK" w:cs="黑体"/>
          <w:sz w:val="40"/>
          <w:szCs w:val="40"/>
        </w:rPr>
        <w:t>攀枝花市仁和区审计局</w:t>
      </w:r>
    </w:p>
    <w:p>
      <w:pPr>
        <w:pStyle w:val="3"/>
        <w:spacing w:line="600" w:lineRule="exact"/>
        <w:ind w:firstLine="844" w:firstLineChars="200"/>
        <w:jc w:val="center"/>
        <w:rPr>
          <w:rFonts w:hint="eastAsia" w:ascii="方正小标宋_GBK" w:hAnsi="黑体" w:eastAsia="方正小标宋_GBK" w:cs="黑体"/>
          <w:sz w:val="40"/>
          <w:szCs w:val="40"/>
        </w:rPr>
      </w:pPr>
      <w:r>
        <w:rPr>
          <w:rFonts w:hint="eastAsia" w:ascii="方正小标宋_GBK" w:hAnsi="黑体" w:eastAsia="方正小标宋_GBK" w:cs="黑体"/>
          <w:sz w:val="40"/>
          <w:szCs w:val="40"/>
        </w:rPr>
        <w:t>202</w:t>
      </w:r>
      <w:r>
        <w:rPr>
          <w:rFonts w:hint="eastAsia" w:ascii="方正小标宋_GBK" w:hAnsi="黑体" w:eastAsia="方正小标宋_GBK" w:cs="黑体"/>
          <w:sz w:val="40"/>
          <w:szCs w:val="40"/>
          <w:lang w:val="en-US" w:eastAsia="zh-CN"/>
        </w:rPr>
        <w:t>2</w:t>
      </w:r>
      <w:r>
        <w:rPr>
          <w:rFonts w:hint="eastAsia" w:ascii="方正小标宋_GBK" w:hAnsi="黑体" w:eastAsia="方正小标宋_GBK" w:cs="黑体"/>
          <w:sz w:val="40"/>
          <w:szCs w:val="40"/>
        </w:rPr>
        <w:t>年度部门预算项目支出绩效自评报告</w:t>
      </w:r>
    </w:p>
    <w:p>
      <w:pPr>
        <w:pStyle w:val="3"/>
        <w:spacing w:line="600" w:lineRule="exact"/>
        <w:ind w:firstLine="844" w:firstLineChars="200"/>
        <w:jc w:val="center"/>
        <w:rPr>
          <w:rFonts w:hint="eastAsia" w:ascii="方正小标宋_GBK" w:hAnsi="黑体" w:eastAsia="方正小标宋_GBK" w:cs="黑体"/>
          <w:sz w:val="36"/>
          <w:szCs w:val="36"/>
        </w:rPr>
      </w:pPr>
      <w:r>
        <w:rPr>
          <w:rFonts w:hint="eastAsia" w:ascii="方正小标宋_GBK" w:hAnsi="黑体" w:eastAsia="方正小标宋_GBK" w:cs="黑体"/>
          <w:sz w:val="40"/>
          <w:szCs w:val="40"/>
        </w:rPr>
        <w:t>（固定资产投资审计项目经费）</w:t>
      </w:r>
    </w:p>
    <w:p>
      <w:pPr>
        <w:pStyle w:val="3"/>
        <w:spacing w:line="600" w:lineRule="exact"/>
        <w:ind w:firstLine="684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（一）项目基本情况。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仁和区审计局负责仁和区全区范围内的固定资产投资审计工作。根据202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年度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审计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工作计划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，并按照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《仁和区审计局政府投资建设项目审计委托 中介机构选定办法（试行）》和《仁和区审计局委托中 介机构实施政府投资建设项目审计管理办法》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相关规定，申请固定资产投资审计项目经费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40万元。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ascii="Times New Roman" w:hAnsi="Times New Roman" w:eastAsia="楷体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/>
          <w:color w:val="000000"/>
          <w:kern w:val="0"/>
          <w:sz w:val="32"/>
          <w:szCs w:val="32"/>
        </w:rPr>
        <w:t>（二）项目绩效目标。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项目主要内容。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围绕全区重点项目，充分发挥审计在项目科学决策、规范管理、控制成本、提高质量上的监督和服务作用，实行“质量和廉政风险”双控制；在审计项目的安排上，对投资规模大、党委政府关注和群众关心的民生项目优先审计，以大项目、热点项目、民生项目审计带动其他政府投资项目审计，适时跟进，规范过程，切实做到最大限度节约财政资金，提高投资效益；以购买服务方式以及为固定资产审计开展的相关工作，确保政府投资审计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项目应实现的具体绩效目标，包括目标的量化、细化情况以及项目实施进度计划等。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一是完成情况。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数量指标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完成政府投资项目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不少于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8个（其中，年初计划政府投资项目3个，交办项目≥5）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质量指标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符合审计方案要求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时效指标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年全年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成本指标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中介机构参与政府投资审计等固定资产审计工作经费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40万元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二是项目效益。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审计借助外部力量保障机制健全性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，发挥审计监督有效性，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节约财政资金。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三是满意度指标。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群众满意度大于95%。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分析评价申报内容是否与实际相符，申报目标是否合理可行。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该项目为审计局常年开展项目，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申报目标合理可行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ascii="Times New Roman" w:hAnsi="Times New Roman" w:eastAsia="楷体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二、项目资金申报及使用情况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color w:val="000000"/>
          <w:kern w:val="0"/>
          <w:sz w:val="32"/>
          <w:szCs w:val="32"/>
        </w:rPr>
        <w:t>（一）项目资</w:t>
      </w:r>
      <w:r>
        <w:rPr>
          <w:rFonts w:ascii="Times New Roman" w:hAnsi="Times New Roman" w:eastAsia="楷体_GB2312"/>
          <w:kern w:val="0"/>
          <w:sz w:val="32"/>
          <w:szCs w:val="32"/>
        </w:rPr>
        <w:t>金申报及批复情况。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项目年初申报资金50万元，财政批复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40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万元，上年结转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万元，无预算调整情况。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（二）资金计划、到位及使用情况。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资金计划。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项目</w:t>
      </w:r>
      <w:r>
        <w:rPr>
          <w:rFonts w:ascii="Times New Roman" w:hAnsi="Times New Roman" w:eastAsia="仿宋_GB2312"/>
          <w:kern w:val="0"/>
          <w:sz w:val="32"/>
          <w:szCs w:val="32"/>
        </w:rPr>
        <w:t>资金计划全部为区级财政预算资金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</w:t>
      </w:r>
      <w:r>
        <w:rPr>
          <w:rFonts w:ascii="Times New Roman" w:hAnsi="Times New Roman" w:eastAsia="仿宋_GB2312"/>
          <w:kern w:val="0"/>
          <w:sz w:val="32"/>
          <w:szCs w:val="32"/>
        </w:rPr>
        <w:t>无其他渠道资金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资金到位。</w:t>
      </w:r>
    </w:p>
    <w:p>
      <w:pPr>
        <w:autoSpaceDE w:val="0"/>
        <w:autoSpaceDN w:val="0"/>
        <w:adjustRightInd w:val="0"/>
        <w:spacing w:line="600" w:lineRule="exact"/>
        <w:ind w:firstLine="684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截至202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年12月，项目到位资金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40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万元，其中：202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年预算资金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资金使用。</w:t>
      </w:r>
    </w:p>
    <w:p>
      <w:pPr>
        <w:autoSpaceDE w:val="0"/>
        <w:autoSpaceDN w:val="0"/>
        <w:adjustRightInd w:val="0"/>
        <w:spacing w:line="600" w:lineRule="exact"/>
        <w:ind w:firstLine="684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截至202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年12月，项目支出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万元，其中：支付中介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服务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费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33.01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万元、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聘用工程师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6.99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万元。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无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违规使用资金情况。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（三）项目财务管理情况。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严格执行财务管理制度及单位内控制度，及时拨付项目资金，规范会计核算及财务处理。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三、项目实施及管理情况</w:t>
      </w:r>
    </w:p>
    <w:p>
      <w:pPr>
        <w:autoSpaceDE w:val="0"/>
        <w:autoSpaceDN w:val="0"/>
        <w:adjustRightInd w:val="0"/>
        <w:spacing w:line="600" w:lineRule="exact"/>
        <w:ind w:firstLine="684" w:firstLineChars="200"/>
        <w:jc w:val="left"/>
        <w:rPr>
          <w:rFonts w:hint="eastAsia" w:ascii="Times New Roman" w:hAnsi="Times New Roman" w:eastAsia="楷体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/>
          <w:color w:val="000000"/>
          <w:kern w:val="0"/>
          <w:sz w:val="32"/>
          <w:szCs w:val="32"/>
        </w:rPr>
        <w:t>（一）项目组织架构及实施流程。</w:t>
      </w:r>
    </w:p>
    <w:p>
      <w:pPr>
        <w:autoSpaceDE w:val="0"/>
        <w:autoSpaceDN w:val="0"/>
        <w:adjustRightInd w:val="0"/>
        <w:spacing w:line="600" w:lineRule="exact"/>
        <w:ind w:firstLine="684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项目由审计局统一组织领导，具体由固定投资审计中心负责实施。根据年度工作计划及区党委政府临时交办事项确定审计项目；通过政府采购或自行采购的方式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确定购买服务商（审计中介机构）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；签订合同，组织实施。审计中介机构提交初审报告后固定投资审计中心组织审计、中介、业主、施工方现场查勘；在中介提交的审核报告基础上进行复核。根据出具的审计结果核算购买服务费用。</w:t>
      </w:r>
    </w:p>
    <w:p>
      <w:pPr>
        <w:autoSpaceDE w:val="0"/>
        <w:autoSpaceDN w:val="0"/>
        <w:adjustRightInd w:val="0"/>
        <w:spacing w:line="600" w:lineRule="exact"/>
        <w:ind w:firstLine="684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/>
          <w:color w:val="000000"/>
          <w:kern w:val="0"/>
          <w:sz w:val="32"/>
          <w:szCs w:val="32"/>
        </w:rPr>
        <w:t>（二）项目管理情况。</w:t>
      </w:r>
    </w:p>
    <w:p>
      <w:pPr>
        <w:autoSpaceDE w:val="0"/>
        <w:autoSpaceDN w:val="0"/>
        <w:adjustRightInd w:val="0"/>
        <w:spacing w:line="600" w:lineRule="exact"/>
        <w:ind w:firstLine="684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项目采购金额达到政府采购金额下限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时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通过政府采购确定服务提供商，未达到采购限额的根据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《仁和区审计局政府投资建设项目审计委托 《</w:t>
      </w:r>
      <w:bookmarkStart w:id="0" w:name="_GoBack"/>
      <w:bookmarkEnd w:id="0"/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仁和区审计局政府投资建设项目审计委托 中介机构选定办法（试行）》确定供应商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84" w:firstLineChars="200"/>
        <w:jc w:val="left"/>
        <w:rPr>
          <w:rFonts w:hint="eastAsia" w:ascii="Times New Roman" w:hAnsi="Times New Roman" w:eastAsia="楷体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/>
          <w:color w:val="000000"/>
          <w:kern w:val="0"/>
          <w:sz w:val="32"/>
          <w:szCs w:val="32"/>
        </w:rPr>
        <w:t>（三）项目监管情况。</w:t>
      </w:r>
    </w:p>
    <w:p>
      <w:pPr>
        <w:autoSpaceDE w:val="0"/>
        <w:autoSpaceDN w:val="0"/>
        <w:adjustRightInd w:val="0"/>
        <w:spacing w:line="600" w:lineRule="exact"/>
        <w:ind w:firstLine="684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出台了《仁和区审计局委托中介机构实施政府投资建设项目审计管理办法》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固定投资审计中心负责复核审计中介机构的审计结果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并计算审计费用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提交局长办公会审批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四、项目绩效情况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（一）项目完成情况。</w:t>
      </w:r>
    </w:p>
    <w:p>
      <w:pPr>
        <w:autoSpaceDE w:val="0"/>
        <w:autoSpaceDN w:val="0"/>
        <w:adjustRightInd w:val="0"/>
        <w:spacing w:line="600" w:lineRule="exact"/>
        <w:ind w:firstLine="684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yellow"/>
          <w:lang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完成政府投资项目审计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个、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聘用工程师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1人、培训3人次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，审计项目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质量符合审计方案要求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（二）项目效益情况。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确保公正有效地履行审计监督职能，审减金额6901.65万元，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有效的节约了财政资金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五、评价结论及建议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（一）评价结论。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该项目的有效实施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深入贯彻落实投资审计“三个转变”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要求，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适时跟进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重点热点民生项目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，规范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实施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过程，切实做到最大限度节约财政资金，提高投资效益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服务对象满意度≥95%，绩效目标设置合理可行，筹资合规。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342" w:firstLineChars="100"/>
        <w:jc w:val="left"/>
        <w:textAlignment w:val="auto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（二）存在的问题。</w:t>
      </w:r>
    </w:p>
    <w:p>
      <w:pPr>
        <w:autoSpaceDE w:val="0"/>
        <w:autoSpaceDN w:val="0"/>
        <w:adjustRightInd w:val="0"/>
        <w:spacing w:line="600" w:lineRule="exact"/>
        <w:ind w:firstLine="684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项目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临时交办的项目年度无法预见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导致实际实施的项目数量大于计划数量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在人员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组织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预算方面调整幅度较大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顺利开展工作存在一定难度。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（三）相关建议。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84" w:firstLineChars="200"/>
        <w:jc w:val="left"/>
        <w:textAlignment w:val="auto"/>
        <w:rPr>
          <w:rFonts w:ascii="方正小标宋_GBK" w:hAnsi="方正小标宋_GBK" w:eastAsia="方正小标宋_GBK" w:cs="方正小标宋_GBK"/>
          <w:color w:val="333333"/>
          <w:sz w:val="36"/>
          <w:szCs w:val="36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无。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2088" w:leftChars="200" w:hanging="1624" w:hangingChars="700"/>
        <w:jc w:val="left"/>
        <w:textAlignment w:val="auto"/>
        <w:rPr>
          <w:rFonts w:hint="default" w:ascii="仿宋_GB2312" w:hAnsi="仿宋_GB2312" w:eastAsia="仿宋_GB2312" w:cs="仿宋_GB2312"/>
          <w:color w:val="000000"/>
          <w:w w:val="100"/>
          <w:kern w:val="0"/>
          <w:sz w:val="32"/>
          <w:szCs w:val="32"/>
          <w:highlight w:val="yellow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104" w:firstLineChars="2200"/>
        <w:jc w:val="left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仁和区审计局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hint="default" w:eastAsia="宋体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                           2023年5月15日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64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64" w:firstLineChars="200"/>
        <w:jc w:val="left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/>
    <w:sectPr>
      <w:pgSz w:w="11906" w:h="16838"/>
      <w:pgMar w:top="2154" w:right="1474" w:bottom="2098" w:left="1587" w:header="851" w:footer="1701" w:gutter="0"/>
      <w:cols w:space="0" w:num="1"/>
      <w:rtlGutter w:val="0"/>
      <w:docGrid w:type="linesAndChars" w:linePitch="572" w:charSpace="46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16"/>
  <w:drawingGridVerticalSpacing w:val="28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NDVkZWM2ZDdmYTFhODRkOTc4YmI0ZGVhOGQxMGIifQ=="/>
  </w:docVars>
  <w:rsids>
    <w:rsidRoot w:val="00000000"/>
    <w:rsid w:val="00914011"/>
    <w:rsid w:val="015F726C"/>
    <w:rsid w:val="05463F9F"/>
    <w:rsid w:val="05A70E9F"/>
    <w:rsid w:val="0EBB5FDC"/>
    <w:rsid w:val="135E7648"/>
    <w:rsid w:val="1439793E"/>
    <w:rsid w:val="14DA1B58"/>
    <w:rsid w:val="1C893E9E"/>
    <w:rsid w:val="1D0243E8"/>
    <w:rsid w:val="2099126A"/>
    <w:rsid w:val="21EF529B"/>
    <w:rsid w:val="25780CA3"/>
    <w:rsid w:val="26024E28"/>
    <w:rsid w:val="28745B08"/>
    <w:rsid w:val="29490025"/>
    <w:rsid w:val="2D3061BB"/>
    <w:rsid w:val="2E775D23"/>
    <w:rsid w:val="2FEC4642"/>
    <w:rsid w:val="33182784"/>
    <w:rsid w:val="3690649D"/>
    <w:rsid w:val="38BA1A6B"/>
    <w:rsid w:val="3A2761FC"/>
    <w:rsid w:val="3BF242E1"/>
    <w:rsid w:val="426B793C"/>
    <w:rsid w:val="43357BD3"/>
    <w:rsid w:val="43D4262B"/>
    <w:rsid w:val="45CA500D"/>
    <w:rsid w:val="461300FD"/>
    <w:rsid w:val="47EB27C5"/>
    <w:rsid w:val="4A14648C"/>
    <w:rsid w:val="4A3E14C5"/>
    <w:rsid w:val="4BBA2F9C"/>
    <w:rsid w:val="4BC7308C"/>
    <w:rsid w:val="4BFA64F8"/>
    <w:rsid w:val="4CE73006"/>
    <w:rsid w:val="4E275938"/>
    <w:rsid w:val="4E7345FB"/>
    <w:rsid w:val="50EC5729"/>
    <w:rsid w:val="522A043E"/>
    <w:rsid w:val="52D2213A"/>
    <w:rsid w:val="53E50A5E"/>
    <w:rsid w:val="55967D2B"/>
    <w:rsid w:val="559823FB"/>
    <w:rsid w:val="5AC74097"/>
    <w:rsid w:val="5B8E57E5"/>
    <w:rsid w:val="5CF43D52"/>
    <w:rsid w:val="5E792B93"/>
    <w:rsid w:val="63E257EE"/>
    <w:rsid w:val="63F96D06"/>
    <w:rsid w:val="66016BDA"/>
    <w:rsid w:val="68462696"/>
    <w:rsid w:val="68C84020"/>
    <w:rsid w:val="69894125"/>
    <w:rsid w:val="69F07F8A"/>
    <w:rsid w:val="6ECE7E24"/>
    <w:rsid w:val="6F065D61"/>
    <w:rsid w:val="6F457068"/>
    <w:rsid w:val="74B826BB"/>
    <w:rsid w:val="76C02A33"/>
    <w:rsid w:val="7CC940C8"/>
    <w:rsid w:val="7E10090F"/>
    <w:rsid w:val="7E6D45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Body Text First Indent 21"/>
    <w:basedOn w:val="9"/>
    <w:next w:val="1"/>
    <w:qFormat/>
    <w:uiPriority w:val="0"/>
    <w:pPr>
      <w:ind w:firstLine="420" w:firstLineChars="200"/>
    </w:pPr>
    <w:rPr>
      <w:rFonts w:ascii="Times New Roman" w:hAnsi="Times New Roman" w:eastAsia="宋体"/>
    </w:rPr>
  </w:style>
  <w:style w:type="paragraph" w:customStyle="1" w:styleId="9">
    <w:name w:val="Body Text Indent1"/>
    <w:basedOn w:val="1"/>
    <w:qFormat/>
    <w:uiPriority w:val="0"/>
    <w:pPr>
      <w:spacing w:line="600" w:lineRule="atLeast"/>
      <w:ind w:firstLine="600"/>
    </w:pPr>
    <w:rPr>
      <w:rFonts w:ascii="仿宋_GB2312" w:hAnsi="Times New Roman" w:eastAsia="仿宋_GB2312"/>
      <w:b/>
      <w:bCs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1643</Words>
  <Characters>1700</Characters>
  <Lines>0</Lines>
  <Paragraphs>0</Paragraphs>
  <TotalTime>0</TotalTime>
  <ScaleCrop>false</ScaleCrop>
  <LinksUpToDate>false</LinksUpToDate>
  <CharactersWithSpaces>1756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2022-05-16T10:42:00Z</dcterms:created>
  <dc:creator>think</dc:creator>
  <cp:lastModifiedBy>think</cp:lastModifiedBy>
  <cp:lastPrinted>2022-05-23T04:44:00Z</cp:lastPrinted>
  <dcterms:modified xsi:type="dcterms:W3CDTF">2024-05-22T09:50:39Z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90AAAC07D5FA4BDCB867B6E706F7F0F4</vt:lpwstr>
  </property>
</Properties>
</file>