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C2" w:rsidRDefault="006863C2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5</w:t>
      </w:r>
    </w:p>
    <w:p w:rsidR="006863C2" w:rsidRPr="008F128B" w:rsidRDefault="006863C2" w:rsidP="008F128B">
      <w:pPr>
        <w:pStyle w:val="a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8F128B">
        <w:rPr>
          <w:rFonts w:ascii="方正小标宋简体" w:eastAsia="方正小标宋简体" w:cs="方正小标宋简体" w:hint="eastAsia"/>
          <w:sz w:val="44"/>
          <w:szCs w:val="44"/>
        </w:rPr>
        <w:t>攀枝花市仁和区综合行政执法局</w:t>
      </w:r>
    </w:p>
    <w:p w:rsidR="006863C2" w:rsidRDefault="006863C2">
      <w:pPr>
        <w:pStyle w:val="a"/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cs="方正小标宋简体" w:hint="eastAsia"/>
          <w:sz w:val="44"/>
          <w:szCs w:val="44"/>
        </w:rPr>
        <w:t>年项目支出绩效自评报告</w:t>
      </w:r>
    </w:p>
    <w:p w:rsidR="006863C2" w:rsidRDefault="006863C2">
      <w:pPr>
        <w:pStyle w:val="a"/>
        <w:spacing w:line="560" w:lineRule="exact"/>
        <w:jc w:val="center"/>
        <w:rPr>
          <w:rFonts w:asci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kern w:val="2"/>
          <w:sz w:val="32"/>
          <w:szCs w:val="32"/>
        </w:rPr>
        <w:t>（普达绿化管养经费</w:t>
      </w:r>
      <w:r>
        <w:rPr>
          <w:rFonts w:ascii="仿宋_GB2312" w:eastAsia="仿宋_GB2312" w:cs="仿宋_GB2312"/>
          <w:color w:val="auto"/>
          <w:kern w:val="2"/>
          <w:sz w:val="32"/>
          <w:szCs w:val="32"/>
          <w:lang w:val="en-US"/>
        </w:rPr>
        <w:t>520</w:t>
      </w:r>
      <w:r>
        <w:rPr>
          <w:rFonts w:ascii="仿宋_GB2312" w:eastAsia="仿宋_GB2312" w:cs="仿宋_GB2312" w:hint="eastAsia"/>
          <w:color w:val="auto"/>
          <w:kern w:val="2"/>
          <w:sz w:val="32"/>
          <w:szCs w:val="32"/>
          <w:lang w:val="en-US"/>
        </w:rPr>
        <w:t>万元</w:t>
      </w:r>
      <w:r>
        <w:rPr>
          <w:rFonts w:ascii="仿宋_GB2312" w:eastAsia="仿宋_GB2312" w:cs="仿宋_GB2312" w:hint="eastAsia"/>
          <w:color w:val="auto"/>
          <w:kern w:val="2"/>
          <w:sz w:val="32"/>
          <w:szCs w:val="32"/>
        </w:rPr>
        <w:t>）</w:t>
      </w:r>
    </w:p>
    <w:p w:rsidR="006863C2" w:rsidRDefault="006863C2">
      <w:pPr>
        <w:pStyle w:val="a"/>
        <w:spacing w:line="560" w:lineRule="exact"/>
        <w:ind w:firstLine="640"/>
        <w:jc w:val="center"/>
        <w:rPr>
          <w:rFonts w:cs="Times New Roman"/>
          <w:color w:val="auto"/>
          <w:kern w:val="2"/>
          <w:sz w:val="32"/>
          <w:szCs w:val="32"/>
        </w:rPr>
      </w:pP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黑体" w:eastAsia="黑体" w:hAnsi="??"/>
          <w:lang w:val="zh-CN"/>
        </w:rPr>
      </w:pPr>
      <w:r>
        <w:rPr>
          <w:rFonts w:ascii="黑体" w:eastAsia="黑体" w:hAnsi="??" w:cs="黑体" w:hint="eastAsia"/>
        </w:rPr>
        <w:t>一、</w:t>
      </w:r>
      <w:r>
        <w:rPr>
          <w:rFonts w:ascii="黑体" w:eastAsia="黑体" w:hAnsi="??" w:cs="黑体" w:hint="eastAsia"/>
          <w:lang w:val="zh-CN"/>
        </w:rPr>
        <w:t>项目概况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lang w:val="zh-CN"/>
        </w:rPr>
      </w:pPr>
      <w:r>
        <w:rPr>
          <w:rFonts w:ascii="仿宋_GB2312" w:hAnsi="仿宋_GB2312" w:cs="仿宋_GB2312" w:hint="eastAsia"/>
        </w:rPr>
        <w:t>为提升普达公园绿化景观品质，改善城市环境，加强环境整治力度，全面改善普达阳光范围内面貌，对普达公共绿化区域绿化景观品质及公共区域环境卫生提升，主要包含老化管网维修及更换、不适应攀枝花气候植物更换、老化植物更换及普达阳光道路、环湖景区园路、花海景观园路、婚庆广场园路等环境卫生保洁等。</w:t>
      </w:r>
    </w:p>
    <w:p w:rsidR="006863C2" w:rsidRDefault="006863C2" w:rsidP="00D734FC">
      <w:pPr>
        <w:adjustRightInd w:val="0"/>
        <w:snapToGrid w:val="0"/>
        <w:spacing w:line="560" w:lineRule="exact"/>
        <w:ind w:firstLineChars="200" w:firstLine="31680"/>
        <w:rPr>
          <w:rFonts w:ascii="仿宋_GB2312" w:hAnsi="??"/>
          <w:color w:val="0000FF"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（一）项目资金申报及批复情况。</w:t>
      </w:r>
    </w:p>
    <w:p w:rsidR="006863C2" w:rsidRDefault="006863C2" w:rsidP="00D734FC">
      <w:pPr>
        <w:ind w:firstLineChars="200" w:firstLine="31680"/>
        <w:rPr>
          <w:rFonts w:ascii="仿宋_GB2312"/>
          <w:shd w:val="clear" w:color="auto" w:fill="FFFFFF"/>
        </w:rPr>
      </w:pPr>
      <w:r>
        <w:rPr>
          <w:rFonts w:ascii="仿宋_GB2312" w:hAnsi="仿宋_GB2312" w:cs="仿宋_GB2312" w:hint="eastAsia"/>
          <w:shd w:val="clear" w:color="auto" w:fill="FFFFFF"/>
        </w:rPr>
        <w:t>区委政府下达的工作任务安排，资金由区财政追加下达，单位直接支付。</w:t>
      </w:r>
    </w:p>
    <w:p w:rsidR="006863C2" w:rsidRDefault="006863C2" w:rsidP="00D734FC">
      <w:pPr>
        <w:ind w:firstLineChars="200" w:firstLine="31680"/>
        <w:rPr>
          <w:lang w:val="zh-CN"/>
        </w:rPr>
      </w:pPr>
      <w:r>
        <w:rPr>
          <w:rFonts w:ascii="仿宋_GB2312" w:hAnsi="仿宋_GB2312" w:cs="仿宋_GB2312" w:hint="eastAsia"/>
        </w:rPr>
        <w:t>项目资金为财政拨款，</w:t>
      </w:r>
      <w:r>
        <w:rPr>
          <w:rFonts w:ascii="仿宋_GB2312" w:hAnsi="黑体" w:cs="仿宋_GB2312" w:hint="eastAsia"/>
        </w:rPr>
        <w:t>预计投入资金</w:t>
      </w:r>
      <w:r>
        <w:rPr>
          <w:rFonts w:ascii="仿宋_GB2312" w:hAnsi="黑体" w:cs="仿宋_GB2312"/>
        </w:rPr>
        <w:t>520</w:t>
      </w:r>
      <w:r>
        <w:rPr>
          <w:rFonts w:ascii="仿宋_GB2312" w:hAnsi="黑体" w:cs="仿宋_GB2312" w:hint="eastAsia"/>
        </w:rPr>
        <w:t>万元，符合资金管理办法等相关规定。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（二）项目绩效目标。</w:t>
      </w:r>
    </w:p>
    <w:p w:rsidR="006863C2" w:rsidRDefault="006863C2" w:rsidP="00D734FC">
      <w:pPr>
        <w:ind w:firstLineChars="200" w:firstLine="31680"/>
        <w:rPr>
          <w:rFonts w:ascii="仿宋_GB2312" w:hAnsi="??"/>
          <w:lang w:val="zh-CN"/>
        </w:rPr>
      </w:pPr>
      <w:r>
        <w:rPr>
          <w:rFonts w:ascii="仿宋_GB2312" w:hAnsi="仿宋_GB2312" w:cs="仿宋_GB2312" w:hint="eastAsia"/>
        </w:rPr>
        <w:t>对普达公共绿化区域绿化景观提升，主要包含老化管网维修及更换、不适应攀枝花气候植物更换、老化植物更换等及仁和普达阳光道路、环湖景区园路、花海景观园路、婚庆广场园路等点位进行环境卫生提升，包括场生活垃圾清理、白色垃圾清理、沿线灯杆清理、沿线广告牌清理、沿线车站等小品清洁及管护提升公共区域绿化品质，提高居民满意度。</w:t>
      </w:r>
    </w:p>
    <w:p w:rsidR="006863C2" w:rsidRDefault="006863C2"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ascii="楷体_GB2312" w:eastAsia="楷体_GB2312" w:hAnsi="??"/>
          <w:b/>
          <w:bCs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项目资金申报相符性。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lang w:val="zh-CN"/>
        </w:rPr>
      </w:pPr>
      <w:r>
        <w:rPr>
          <w:rFonts w:ascii="仿宋_GB2312" w:hAnsi="??" w:cs="仿宋_GB2312" w:hint="eastAsia"/>
          <w:lang w:val="zh-CN"/>
        </w:rPr>
        <w:t>项目申报内容与具体实施内容相符、申报目标合理可行。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黑体" w:eastAsia="黑体" w:hAnsi="??"/>
        </w:rPr>
      </w:pPr>
      <w:r>
        <w:rPr>
          <w:rFonts w:ascii="黑体" w:eastAsia="黑体" w:hAnsi="??" w:cs="黑体" w:hint="eastAsia"/>
        </w:rPr>
        <w:t>二、项目实施及管理情况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楷体_GB2312" w:eastAsia="楷体_GB2312" w:hAnsi="??"/>
          <w:b/>
          <w:bCs/>
          <w:lang w:val="zh-CN"/>
        </w:rPr>
      </w:pPr>
      <w:r>
        <w:rPr>
          <w:rFonts w:ascii="仿宋_GB2312" w:hAnsi="??"/>
          <w:lang w:val="zh-CN"/>
        </w:rPr>
        <w:tab/>
      </w:r>
      <w:r>
        <w:rPr>
          <w:rFonts w:ascii="楷体_GB2312" w:eastAsia="楷体_GB2312" w:hAnsi="??" w:cs="楷体_GB2312" w:hint="eastAsia"/>
          <w:b/>
          <w:bCs/>
          <w:lang w:val="zh-CN"/>
        </w:rPr>
        <w:t>（一）资金计划、到位及使用情况。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lang w:val="zh-CN"/>
        </w:rPr>
      </w:pPr>
      <w:r>
        <w:rPr>
          <w:rFonts w:ascii="楷体_GB2312" w:eastAsia="楷体_GB2312" w:hAnsi="??" w:cs="楷体_GB2312"/>
          <w:lang w:val="zh-CN"/>
        </w:rPr>
        <w:t>1</w:t>
      </w:r>
      <w:r>
        <w:rPr>
          <w:rFonts w:ascii="楷体_GB2312" w:eastAsia="楷体_GB2312" w:hAnsi="??" w:cs="楷体_GB2312" w:hint="eastAsia"/>
          <w:lang w:val="zh-CN"/>
        </w:rPr>
        <w:t>．资金计划及到位。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</w:rPr>
      </w:pPr>
      <w:r>
        <w:rPr>
          <w:rFonts w:ascii="仿宋_GB2312" w:cs="仿宋_GB2312" w:hint="eastAsia"/>
        </w:rPr>
        <w:t>普达绿化管养经费</w:t>
      </w:r>
      <w:r>
        <w:rPr>
          <w:rFonts w:ascii="仿宋_GB2312" w:hAnsi="??" w:cs="仿宋_GB2312" w:hint="eastAsia"/>
          <w:lang w:val="zh-CN"/>
        </w:rPr>
        <w:t>全年预算资金为</w:t>
      </w:r>
      <w:r>
        <w:rPr>
          <w:rFonts w:ascii="仿宋_GB2312" w:hAnsi="??" w:cs="仿宋_GB2312"/>
        </w:rPr>
        <w:t>520</w:t>
      </w:r>
      <w:r>
        <w:rPr>
          <w:rFonts w:ascii="仿宋_GB2312" w:hAnsi="??" w:cs="仿宋_GB2312" w:hint="eastAsia"/>
          <w:lang w:val="zh-CN"/>
        </w:rPr>
        <w:t>万元，资金到位</w:t>
      </w:r>
      <w:r>
        <w:rPr>
          <w:rFonts w:ascii="仿宋_GB2312" w:hAnsi="??" w:cs="仿宋_GB2312"/>
        </w:rPr>
        <w:t>520</w:t>
      </w:r>
      <w:r>
        <w:rPr>
          <w:rFonts w:ascii="仿宋_GB2312" w:hAnsi="??" w:cs="仿宋_GB2312" w:hint="eastAsia"/>
          <w:lang w:val="zh-CN"/>
        </w:rPr>
        <w:t>万元，资金到位率为</w:t>
      </w:r>
      <w:r>
        <w:rPr>
          <w:rFonts w:ascii="仿宋_GB2312" w:hAnsi="??" w:cs="仿宋_GB2312"/>
        </w:rPr>
        <w:t>100%</w:t>
      </w:r>
      <w:r>
        <w:rPr>
          <w:rFonts w:ascii="仿宋_GB2312" w:hAnsi="??" w:cs="仿宋_GB2312" w:hint="eastAsia"/>
        </w:rPr>
        <w:t>，资金到位及时。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lang w:val="zh-CN"/>
        </w:rPr>
      </w:pPr>
      <w:r>
        <w:rPr>
          <w:rFonts w:ascii="仿宋_GB2312" w:hAnsi="??" w:cs="仿宋_GB2312"/>
          <w:lang w:val="zh-CN"/>
        </w:rPr>
        <w:t>2</w:t>
      </w:r>
      <w:r>
        <w:rPr>
          <w:rFonts w:ascii="仿宋_GB2312" w:hAnsi="??" w:cs="仿宋_GB2312" w:hint="eastAsia"/>
          <w:lang w:val="zh-CN"/>
        </w:rPr>
        <w:t>．资金使用。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</w:rPr>
      </w:pPr>
      <w:r>
        <w:rPr>
          <w:rFonts w:ascii="仿宋_GB2312" w:cs="仿宋_GB2312" w:hint="eastAsia"/>
        </w:rPr>
        <w:t>普达绿化管养经费</w:t>
      </w:r>
      <w:r>
        <w:rPr>
          <w:rFonts w:ascii="仿宋_GB2312" w:hAnsi="??" w:cs="仿宋_GB2312" w:hint="eastAsia"/>
          <w:lang w:val="zh-CN"/>
        </w:rPr>
        <w:t>资金支出</w:t>
      </w:r>
      <w:r>
        <w:rPr>
          <w:rFonts w:ascii="仿宋_GB2312" w:hAnsi="??" w:cs="仿宋_GB2312"/>
        </w:rPr>
        <w:t>520</w:t>
      </w:r>
      <w:bookmarkStart w:id="0" w:name="_GoBack"/>
      <w:bookmarkEnd w:id="0"/>
      <w:r>
        <w:rPr>
          <w:rFonts w:ascii="仿宋_GB2312" w:hAnsi="??" w:cs="仿宋_GB2312" w:hint="eastAsia"/>
          <w:lang w:val="zh-CN"/>
        </w:rPr>
        <w:t>万元</w:t>
      </w:r>
      <w:r>
        <w:rPr>
          <w:rFonts w:ascii="仿宋_GB2312" w:hAnsi="??" w:cs="仿宋_GB2312"/>
        </w:rPr>
        <w:t>,</w:t>
      </w:r>
      <w:r>
        <w:rPr>
          <w:rFonts w:ascii="仿宋_GB2312" w:hAnsi="??" w:cs="仿宋_GB2312" w:hint="eastAsia"/>
        </w:rPr>
        <w:t>使用率</w:t>
      </w:r>
      <w:r>
        <w:rPr>
          <w:rFonts w:ascii="仿宋_GB2312" w:hAnsi="??" w:cs="仿宋_GB2312"/>
        </w:rPr>
        <w:t>100%</w:t>
      </w:r>
      <w:r>
        <w:rPr>
          <w:rFonts w:ascii="仿宋_GB2312" w:hAnsi="??" w:cs="仿宋_GB2312" w:hint="eastAsia"/>
        </w:rPr>
        <w:t>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楷体_GB2312" w:hAnsi="??"/>
          <w:b/>
          <w:bCs/>
        </w:rPr>
      </w:pPr>
      <w:r>
        <w:rPr>
          <w:rFonts w:ascii="仿宋_GB2312" w:hAnsi="??" w:cs="仿宋_GB2312" w:hint="eastAsia"/>
        </w:rPr>
        <w:t>资金开支范围用于</w:t>
      </w:r>
      <w:r>
        <w:rPr>
          <w:rFonts w:ascii="仿宋_GB2312" w:hAnsi="仿宋_GB2312" w:cs="仿宋_GB2312" w:hint="eastAsia"/>
        </w:rPr>
        <w:t>老化管网维修及更换、不适应攀枝花气候植物更换、老化植物更换和维护及仁和普达阳光道路、环湖景区园路、花海景观园路、婚庆广场园路点位的环境卫生提升和维护，项目资金支付及时，支付依据合规合法，资金支付与预算相符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楷体_GB2312" w:eastAsia="楷体_GB2312" w:hAnsi="??"/>
          <w:b/>
          <w:bCs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（二）项目财务管理情况。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lang w:val="zh-CN"/>
        </w:rPr>
      </w:pPr>
      <w:r>
        <w:rPr>
          <w:rFonts w:ascii="仿宋_GB2312" w:hAnsi="??" w:cs="仿宋_GB2312" w:hint="eastAsia"/>
          <w:lang w:val="zh-CN"/>
        </w:rPr>
        <w:t>该项财政资金指标下达后，按照施工进度和预算指标支付相关费用，严格执行财务管理制度，</w:t>
      </w:r>
      <w:r w:rsidRPr="000C0800">
        <w:rPr>
          <w:rFonts w:ascii="仿宋_GB2312" w:hAnsi="仿宋_GB2312" w:cs="仿宋_GB2312" w:hint="eastAsia"/>
          <w:shd w:val="clear" w:color="auto" w:fill="FFFFFF"/>
        </w:rPr>
        <w:t>账务处理及时，会计核算规范</w:t>
      </w:r>
      <w:r>
        <w:rPr>
          <w:rFonts w:ascii="仿宋_GB2312" w:hAnsi="??" w:cs="仿宋_GB2312" w:hint="eastAsia"/>
          <w:lang w:val="zh-CN"/>
        </w:rPr>
        <w:t>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楷体_GB2312" w:eastAsia="楷体_GB2312" w:hAnsi="??"/>
          <w:b/>
          <w:bCs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（三）项目组织实施情况。</w:t>
      </w:r>
    </w:p>
    <w:p w:rsidR="006863C2" w:rsidRDefault="006863C2" w:rsidP="00D734FC">
      <w:pPr>
        <w:spacing w:line="560" w:lineRule="exact"/>
        <w:ind w:firstLineChars="200" w:firstLine="31680"/>
        <w:rPr>
          <w:rFonts w:ascii="仿宋_GB2312" w:hAnsi="??"/>
          <w:lang w:val="zh-CN"/>
        </w:rPr>
      </w:pPr>
      <w:r>
        <w:rPr>
          <w:rFonts w:ascii="仿宋_GB2312" w:hAnsi="??" w:cs="仿宋_GB2312" w:hint="eastAsia"/>
          <w:lang w:val="zh-CN"/>
        </w:rPr>
        <w:t>项目通过政府采购方式确定实施单位，由实施单位组织人员对负责具体管理工作。制定</w:t>
      </w:r>
      <w:r>
        <w:rPr>
          <w:rFonts w:ascii="仿宋_GB2312" w:cs="仿宋_GB2312" w:hint="eastAsia"/>
        </w:rPr>
        <w:t>《普达阳光国际康养度假区市政基础设施园林绿化、环卫管护考核办法》，并根据管护内容进行质量检查考核，每月汇总一次，管护费用根据扣分扣款后每月支付。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lang w:val="zh-CN"/>
        </w:rPr>
      </w:pPr>
      <w:r>
        <w:rPr>
          <w:rFonts w:ascii="黑体" w:eastAsia="黑体" w:hAnsi="??" w:cs="黑体" w:hint="eastAsia"/>
        </w:rPr>
        <w:t>三、项目绩效情况</w:t>
      </w:r>
      <w:r>
        <w:rPr>
          <w:rFonts w:ascii="仿宋_GB2312" w:hAnsi="??"/>
          <w:lang w:val="zh-CN"/>
        </w:rPr>
        <w:tab/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color w:val="0000FF"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（一）项目完成情况。</w:t>
      </w:r>
    </w:p>
    <w:p w:rsidR="006863C2" w:rsidRDefault="006863C2" w:rsidP="00D734FC">
      <w:pPr>
        <w:pStyle w:val="BodyText"/>
        <w:ind w:firstLineChars="200" w:firstLine="31680"/>
        <w:rPr>
          <w:lang w:val="zh-CN"/>
        </w:rPr>
      </w:pPr>
      <w:r>
        <w:rPr>
          <w:rFonts w:ascii="仿宋_GB2312" w:cs="仿宋_GB2312" w:hint="eastAsia"/>
          <w:sz w:val="32"/>
          <w:szCs w:val="32"/>
        </w:rPr>
        <w:t>普达国际康养度假区绿化景观及环境卫生提升项目完成情况良好，按照季度更换、每月考核、及时整改的方式，以重大节假日为时间节点，推进项目实施，保证项目效果和质量。在项目选品、用品上坚持效果凸显、长效保持、经济节约原则，提高资金使用效率，节约项目成本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color w:val="0000FF"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（二）项目效益情况。</w:t>
      </w:r>
    </w:p>
    <w:p w:rsidR="006863C2" w:rsidRDefault="006863C2" w:rsidP="00D734FC">
      <w:pPr>
        <w:pStyle w:val="BodyText"/>
        <w:ind w:firstLineChars="200" w:firstLine="31680"/>
        <w:rPr>
          <w:lang w:val="zh-CN"/>
        </w:rPr>
      </w:pPr>
      <w:r>
        <w:rPr>
          <w:rFonts w:ascii="仿宋_GB2312" w:cs="仿宋_GB2312" w:hint="eastAsia"/>
          <w:sz w:val="32"/>
          <w:szCs w:val="32"/>
        </w:rPr>
        <w:t>普达国际康养度假区绿化景观及环境卫生提升项目</w:t>
      </w:r>
      <w:r>
        <w:rPr>
          <w:rFonts w:ascii="仿宋_GB2312" w:hAnsi="仿宋_GB2312" w:cs="仿宋_GB2312" w:hint="eastAsia"/>
          <w:sz w:val="32"/>
          <w:szCs w:val="32"/>
        </w:rPr>
        <w:t>，通过老化管网维修及更换、不适应攀枝花气候植物更换、老化植物更换，打造绚烂多彩、积极活力、长久持续的城市景观，实现周边环境干净整洁、长久持续的城市环境卫生，提升城市品质，也为广大市民及游客提供优美的环境，满足精神文明需求，属于环境保护公益事业的一部分，基本不产生经济效益，但社会效益和生态效益显著，具有可持续效益，群众满意度高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黑体" w:eastAsia="黑体" w:hAnsi="??"/>
        </w:rPr>
      </w:pPr>
      <w:r>
        <w:rPr>
          <w:rFonts w:ascii="黑体" w:eastAsia="黑体" w:hAnsi="??" w:cs="黑体" w:hint="eastAsia"/>
        </w:rPr>
        <w:t>四、问题及建议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楷体_GB2312" w:eastAsia="楷体_GB2312" w:hAnsi="??"/>
          <w:b/>
          <w:bCs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（一）存在的问题。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/>
        </w:rPr>
      </w:pPr>
      <w:r w:rsidRPr="008F128B">
        <w:rPr>
          <w:rFonts w:ascii="仿宋_GB2312" w:hAnsi="??" w:cs="仿宋_GB2312"/>
          <w:b/>
          <w:bCs/>
        </w:rPr>
        <w:t>1.</w:t>
      </w:r>
      <w:r w:rsidRPr="008F128B">
        <w:rPr>
          <w:rFonts w:ascii="仿宋_GB2312" w:hAnsi="??" w:cs="仿宋_GB2312" w:hint="eastAsia"/>
          <w:b/>
          <w:bCs/>
        </w:rPr>
        <w:t>整改不强，管理效果有待提升。</w:t>
      </w:r>
      <w:r>
        <w:rPr>
          <w:rFonts w:ascii="仿宋_GB2312" w:hAnsi="仿宋_GB2312" w:cs="仿宋_GB2312" w:hint="eastAsia"/>
        </w:rPr>
        <w:t>管护单位针对绿化带踩踏、绿植和花卉偷摘盗取及行人随手丢弃垃圾、车辆抛洒、设施老化等管理难点和痛点，只解决问题表象，处理缺乏主动性和多样性，没有突出有效的管理手段，景观效果被破坏，管理方式有待整改提升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/>
        </w:rPr>
      </w:pPr>
      <w:r w:rsidRPr="008F128B">
        <w:rPr>
          <w:rFonts w:ascii="仿宋_GB2312" w:hAnsi="??" w:cs="仿宋_GB2312"/>
          <w:b/>
          <w:bCs/>
        </w:rPr>
        <w:t>2.</w:t>
      </w:r>
      <w:r w:rsidRPr="008F128B">
        <w:rPr>
          <w:rFonts w:ascii="仿宋_GB2312" w:hAnsi="??" w:cs="仿宋_GB2312" w:hint="eastAsia"/>
          <w:b/>
          <w:bCs/>
        </w:rPr>
        <w:t>学习不够，服务水平有待提升</w:t>
      </w:r>
      <w:r>
        <w:rPr>
          <w:rFonts w:ascii="楷体_GB2312" w:eastAsia="楷体_GB2312" w:hAnsi="??" w:cs="楷体_GB2312" w:hint="eastAsia"/>
          <w:b/>
          <w:bCs/>
        </w:rPr>
        <w:t>。</w:t>
      </w:r>
      <w:r>
        <w:rPr>
          <w:rFonts w:ascii="仿宋_GB2312" w:hAnsi="仿宋_GB2312" w:cs="仿宋_GB2312" w:hint="eastAsia"/>
        </w:rPr>
        <w:t>现在的管理方式和方法基本沿用以前模式，因缺乏学习机会和资金，不能走出去学习先进的经验和做法，景观打造和效果局限，无法推陈出新，不能有效提升服务能力和水平。</w:t>
      </w:r>
    </w:p>
    <w:p w:rsidR="006863C2" w:rsidRDefault="006863C2">
      <w:pPr>
        <w:adjustRightInd w:val="0"/>
        <w:snapToGrid w:val="0"/>
        <w:spacing w:line="560" w:lineRule="exact"/>
        <w:ind w:firstLine="720"/>
        <w:rPr>
          <w:rFonts w:ascii="仿宋_GB2312" w:hAnsi="??"/>
          <w:color w:val="0000FF"/>
          <w:lang w:val="zh-CN"/>
        </w:rPr>
      </w:pPr>
      <w:r>
        <w:rPr>
          <w:rFonts w:ascii="楷体_GB2312" w:eastAsia="楷体_GB2312" w:hAnsi="??" w:cs="楷体_GB2312" w:hint="eastAsia"/>
          <w:b/>
          <w:bCs/>
          <w:lang w:val="zh-CN"/>
        </w:rPr>
        <w:t>（二）相关建议。</w:t>
      </w:r>
    </w:p>
    <w:p w:rsidR="006863C2" w:rsidRDefault="006863C2" w:rsidP="00D734FC">
      <w:pPr>
        <w:ind w:firstLineChars="200" w:firstLine="31680"/>
        <w:rPr>
          <w:rFonts w:ascii="楷体" w:eastAsia="楷体"/>
          <w:b/>
          <w:bCs/>
        </w:rPr>
      </w:pPr>
      <w:r w:rsidRPr="008F128B">
        <w:rPr>
          <w:rFonts w:ascii="仿宋_GB2312" w:hAnsi="楷体" w:cs="仿宋_GB2312"/>
          <w:b/>
          <w:bCs/>
        </w:rPr>
        <w:t>1.</w:t>
      </w:r>
      <w:r w:rsidRPr="008F128B">
        <w:rPr>
          <w:rFonts w:ascii="仿宋_GB2312" w:hAnsi="楷体" w:cs="仿宋_GB2312" w:hint="eastAsia"/>
          <w:b/>
          <w:bCs/>
        </w:rPr>
        <w:t>强化考核和监督，提升管理效果。</w:t>
      </w:r>
      <w:r>
        <w:rPr>
          <w:rFonts w:ascii="仿宋_GB2312" w:cs="仿宋_GB2312" w:hint="eastAsia"/>
        </w:rPr>
        <w:t>根据考核细则加强巡查和监管，通过日常巡查和整改，保证景观效果；对于管理难点和痛点问题，采用疏堵结合的方式，针对性进行解决，满足群众需求和管理要求。</w:t>
      </w:r>
    </w:p>
    <w:p w:rsidR="006863C2" w:rsidRDefault="006863C2" w:rsidP="00D734FC">
      <w:pPr>
        <w:ind w:firstLineChars="200" w:firstLine="31680"/>
        <w:rPr>
          <w:rFonts w:ascii="仿宋_GB2312"/>
        </w:rPr>
      </w:pPr>
      <w:r w:rsidRPr="008F128B">
        <w:rPr>
          <w:rFonts w:ascii="仿宋_GB2312" w:hAnsi="楷体" w:cs="仿宋_GB2312"/>
          <w:b/>
          <w:bCs/>
        </w:rPr>
        <w:t>2.</w:t>
      </w:r>
      <w:r w:rsidRPr="008F128B">
        <w:rPr>
          <w:rFonts w:ascii="仿宋_GB2312" w:hAnsi="楷体" w:cs="仿宋_GB2312" w:hint="eastAsia"/>
          <w:b/>
          <w:bCs/>
        </w:rPr>
        <w:t>加强管理和学习，提升服务水平。</w:t>
      </w:r>
      <w:r>
        <w:rPr>
          <w:rFonts w:ascii="仿宋_GB2312" w:cs="仿宋_GB2312" w:hint="eastAsia"/>
        </w:rPr>
        <w:t>积极争取外出学习和交流的机会，打开思路和眼界，汲取优秀的经验的做法，与本地实情有机结合，提升服务能力和水平。</w:t>
      </w:r>
    </w:p>
    <w:p w:rsidR="006863C2" w:rsidRDefault="006863C2">
      <w:pPr>
        <w:pStyle w:val="BodyText"/>
      </w:pPr>
    </w:p>
    <w:sectPr w:rsidR="006863C2" w:rsidSect="00533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6F89FC"/>
    <w:multiLevelType w:val="singleLevel"/>
    <w:tmpl w:val="FD6F89F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Q3OTVlMDQ2NmVmMWEzMGZlMWMzNDY2MGZkNzhmYjAifQ=="/>
  </w:docVars>
  <w:rsids>
    <w:rsidRoot w:val="291C455A"/>
    <w:rsid w:val="9F9F9277"/>
    <w:rsid w:val="BFFE83F2"/>
    <w:rsid w:val="D7FDD76B"/>
    <w:rsid w:val="FEBCC3B8"/>
    <w:rsid w:val="FFEBCB39"/>
    <w:rsid w:val="00064189"/>
    <w:rsid w:val="00086194"/>
    <w:rsid w:val="000C0800"/>
    <w:rsid w:val="00144535"/>
    <w:rsid w:val="002D2C03"/>
    <w:rsid w:val="003414A3"/>
    <w:rsid w:val="00490474"/>
    <w:rsid w:val="00515A0C"/>
    <w:rsid w:val="00533E46"/>
    <w:rsid w:val="00631873"/>
    <w:rsid w:val="006863C2"/>
    <w:rsid w:val="00866E99"/>
    <w:rsid w:val="008F128B"/>
    <w:rsid w:val="00A800FB"/>
    <w:rsid w:val="00AA6A95"/>
    <w:rsid w:val="00AF615B"/>
    <w:rsid w:val="00D734FC"/>
    <w:rsid w:val="00FA5FA5"/>
    <w:rsid w:val="021963B4"/>
    <w:rsid w:val="0EDB478C"/>
    <w:rsid w:val="28466D02"/>
    <w:rsid w:val="291C455A"/>
    <w:rsid w:val="2A31563C"/>
    <w:rsid w:val="36926D0C"/>
    <w:rsid w:val="4DAF2BCF"/>
    <w:rsid w:val="4DDB6F66"/>
    <w:rsid w:val="5EDE7F1F"/>
    <w:rsid w:val="67302E47"/>
    <w:rsid w:val="76AD6D41"/>
    <w:rsid w:val="76AF6043"/>
    <w:rsid w:val="792F2AEE"/>
    <w:rsid w:val="7941257D"/>
    <w:rsid w:val="7BFF939C"/>
    <w:rsid w:val="7C6EFCE8"/>
    <w:rsid w:val="7FBF663C"/>
    <w:rsid w:val="7FC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3E46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33E46"/>
    <w:pPr>
      <w:spacing w:after="120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eastAsia="仿宋_GB2312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rsid w:val="00533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3E4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3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3E46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a">
    <w:name w:val="四号正文"/>
    <w:basedOn w:val="Normal"/>
    <w:uiPriority w:val="99"/>
    <w:rsid w:val="00533E46"/>
    <w:pPr>
      <w:spacing w:line="360" w:lineRule="auto"/>
    </w:pPr>
    <w:rPr>
      <w:rFonts w:ascii="??" w:eastAsia="宋体" w:hAnsi="??" w:cs="??"/>
      <w:color w:val="000000"/>
      <w:kern w:val="0"/>
      <w:sz w:val="28"/>
      <w:szCs w:val="2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248</Words>
  <Characters>1418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攀枝花市仁和区城市管理局</cp:lastModifiedBy>
  <cp:revision>11</cp:revision>
  <dcterms:created xsi:type="dcterms:W3CDTF">2020-07-02T16:19:00Z</dcterms:created>
  <dcterms:modified xsi:type="dcterms:W3CDTF">2024-05-17T08:48:00Z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4667DDBDB53C4970A56C2B241FED72E5_13</vt:lpwstr>
  </property>
</Properties>
</file>