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1312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9"/>
        <w:spacing w:line="560" w:lineRule="exact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攀枝花市仁和区同德镇人民政府</w:t>
      </w:r>
    </w:p>
    <w:p>
      <w:pPr>
        <w:pStyle w:val="9"/>
        <w:spacing w:line="560" w:lineRule="exact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pStyle w:val="9"/>
        <w:spacing w:line="560" w:lineRule="exact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</w:t>
      </w:r>
      <w:r>
        <w:rPr>
          <w:rFonts w:hint="default" w:ascii="仿宋_GB2312" w:hAnsi="宋体" w:eastAsia="仿宋_GB2312" w:cs="Times New Roman"/>
          <w:color w:val="auto"/>
          <w:kern w:val="2"/>
          <w:sz w:val="32"/>
          <w:szCs w:val="32"/>
          <w:lang w:val="en-US" w:eastAsia="zh-CN"/>
        </w:rPr>
        <w:t>2022年扶持村级集体经济发展（市级扶持村）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jc w:val="center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spacing w:line="240" w:lineRule="auto"/>
        <w:ind w:firstLine="643" w:firstLineChars="200"/>
        <w:jc w:val="both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按照区委组织部要求，制定项目实施方案、项目申报表，逐级评估后，报市委组织部确定为市级集体经济薄弱村，按照攀仁财资农〔2022〕163号、攀仁财资农〔2022〕165号文安排</w:t>
      </w:r>
      <w:r>
        <w:rPr>
          <w:rFonts w:hint="default" w:ascii="Times New Roman" w:hAnsi="Times New Roman" w:cs="Times New Roman"/>
          <w:lang w:val="zh-CN" w:eastAsia="zh-CN"/>
        </w:rPr>
        <w:t>项目资金</w:t>
      </w:r>
      <w:r>
        <w:rPr>
          <w:rFonts w:hint="default" w:ascii="Times New Roman" w:hAnsi="Times New Roman" w:cs="Times New Roman"/>
          <w:lang w:val="en-US" w:eastAsia="zh-CN"/>
        </w:rPr>
        <w:t>25万元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pStyle w:val="4"/>
        <w:numPr>
          <w:ilvl w:val="0"/>
          <w:numId w:val="1"/>
        </w:numPr>
        <w:spacing w:line="240" w:lineRule="auto"/>
        <w:ind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1.发展的集体经济项目：与萨萨农庄合作发展农家乐项目；生态养殖垂钓项目；万寿菊种植观赏及销售项目。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建设的内容：一是以万寿菊种植销售为主的生态观光园，建设发酵池1个，万寿菊花期到后，采摘粗加工后销售给公司用于化工原料。二是以群众自有土地入股和现有山坪塘结合方式，按照土地入股面积分配股份，建设垂钓台、频道等设施，盘活闲置的9个山坪塘，通过与社会资本合作，发展亲子游玩、休闲垂钓、餐饮娱乐等农文旅融合产业。三是村集体经济组织与“萨萨农庄”农家乐合作，打造以傈僳文化为主的民俗文化餐厅，邀请民族歌手驻唱、表演傈僳族舞蹈等方式打造与众不同的傈僳文化体验区，推广傈僳油茶、傈僳粑粑、涨水鸡等傈僳特色美食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项目资金计划</w:t>
      </w:r>
      <w:r>
        <w:rPr>
          <w:rFonts w:hint="default" w:ascii="Times New Roman" w:hAnsi="Times New Roman" w:cs="Times New Roman"/>
          <w:lang w:val="en-US" w:eastAsia="zh-CN"/>
        </w:rPr>
        <w:t>25万元，目前</w:t>
      </w:r>
      <w:r>
        <w:rPr>
          <w:rFonts w:hint="default" w:ascii="Times New Roman" w:hAnsi="Times New Roman" w:cs="Times New Roman"/>
          <w:lang w:val="zh-CN" w:eastAsia="zh-CN"/>
        </w:rPr>
        <w:t>实际到位</w:t>
      </w:r>
      <w:r>
        <w:rPr>
          <w:rFonts w:hint="default" w:ascii="Times New Roman" w:hAnsi="Times New Roman" w:cs="Times New Roman"/>
          <w:lang w:val="en-US" w:eastAsia="zh-CN"/>
        </w:rPr>
        <w:t>25万元，到位率100%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该项目资金实际支付25万元，支付率100%。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新民村集体经济制定有资金管理制度并严格执行，按照要求聘请第三方会计人员进行会计管理，镇纪委、财政所和新民村村民监督委员会负责进行监督，帐目管理规范</w:t>
      </w:r>
      <w:r>
        <w:rPr>
          <w:rFonts w:hint="default" w:ascii="Times New Roman" w:hAnsi="Times New Roman" w:cs="Times New Roman"/>
          <w:lang w:val="zh-CN" w:eastAsia="zh-CN"/>
        </w:rPr>
        <w:t>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该</w:t>
      </w:r>
      <w:r>
        <w:rPr>
          <w:rFonts w:hint="default" w:ascii="Times New Roman" w:hAnsi="Times New Roman" w:cs="Times New Roman"/>
          <w:lang w:val="zh-CN" w:eastAsia="zh-CN"/>
        </w:rPr>
        <w:t>项目</w:t>
      </w:r>
      <w:r>
        <w:rPr>
          <w:rFonts w:hint="default" w:ascii="Times New Roman" w:hAnsi="Times New Roman" w:cs="Times New Roman"/>
          <w:lang w:val="en-US" w:eastAsia="zh-CN"/>
        </w:rPr>
        <w:t>由新民村党总支全面统筹，新民村集体经济组织负责</w:t>
      </w:r>
      <w:r>
        <w:rPr>
          <w:rFonts w:hint="default" w:ascii="Times New Roman" w:hAnsi="Times New Roman" w:cs="Times New Roman"/>
          <w:lang w:val="zh-CN" w:eastAsia="zh-CN"/>
        </w:rPr>
        <w:t>组织管理</w:t>
      </w:r>
      <w:r>
        <w:rPr>
          <w:rFonts w:hint="default" w:ascii="Times New Roman" w:hAnsi="Times New Roman" w:cs="Times New Roman"/>
          <w:lang w:val="en-US" w:eastAsia="zh-CN"/>
        </w:rPr>
        <w:t>和具体实施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按照四议两公开和集体决策方式研究项目实施具体事宜。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该</w:t>
      </w:r>
      <w:r>
        <w:rPr>
          <w:rFonts w:hint="default" w:ascii="Times New Roman" w:hAnsi="Times New Roman" w:cs="Times New Roman"/>
          <w:lang w:val="zh-CN" w:eastAsia="zh-CN"/>
        </w:rPr>
        <w:t>项目</w:t>
      </w:r>
      <w:r>
        <w:rPr>
          <w:rFonts w:hint="default" w:ascii="Times New Roman" w:hAnsi="Times New Roman" w:cs="Times New Roman"/>
          <w:lang w:val="en-US" w:eastAsia="zh-CN"/>
        </w:rPr>
        <w:t>种植万寿菊200亩，建设发酵池1个，盘活闲置山坪塘9个。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该</w:t>
      </w:r>
      <w:r>
        <w:rPr>
          <w:rFonts w:hint="default" w:ascii="Times New Roman" w:hAnsi="Times New Roman" w:cs="Times New Roman"/>
          <w:lang w:val="zh-CN" w:eastAsia="zh-CN"/>
        </w:rPr>
        <w:t>项目</w:t>
      </w:r>
      <w:r>
        <w:rPr>
          <w:rFonts w:hint="default" w:ascii="Times New Roman" w:hAnsi="Times New Roman" w:cs="Times New Roman"/>
          <w:lang w:val="en-US" w:eastAsia="zh-CN"/>
        </w:rPr>
        <w:t>促进周边农户发展万寿菊种植提高收入，</w:t>
      </w:r>
      <w:r>
        <w:rPr>
          <w:rFonts w:hint="default" w:ascii="Times New Roman" w:hAnsi="Times New Roman" w:cs="Times New Roman"/>
          <w:lang w:val="zh-CN" w:eastAsia="zh-CN"/>
        </w:rPr>
        <w:t>满意度</w:t>
      </w:r>
      <w:r>
        <w:rPr>
          <w:rFonts w:hint="default" w:ascii="Times New Roman" w:hAnsi="Times New Roman" w:cs="Times New Roman"/>
          <w:lang w:val="en-US" w:eastAsia="zh-CN"/>
        </w:rPr>
        <w:t>较高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200" w:firstLineChars="10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800" w:firstLineChars="15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482600</wp:posOffset>
                </wp:positionV>
                <wp:extent cx="5486400" cy="60960"/>
                <wp:effectExtent l="0" t="4445" r="0" b="29845"/>
                <wp:wrapNone/>
                <wp:docPr id="2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38pt;height:4.8pt;width:432pt;rotation:11796480f;z-index:251662336;mso-width-relative:page;mso-height-relative:page;" coordorigin="1620,2532" coordsize="8640,156" o:gfxdata="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GG6Yz/WAAAABwEAAA8AAAAAAAAA&#10;AQAgAAAAIgAAAGRycy9kb3ducmV2LnhtbFBLAQIUABQAAAAIAIdO4kDU/9bXhQIAAB8HAAAOAAAA&#10;AAAAAAEAIAAAACUBAABkcnMvZTJvRG9jLnhtbFBLBQYAAAAABgAGAFkBAAAc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71AF56"/>
    <w:multiLevelType w:val="singleLevel"/>
    <w:tmpl w:val="AA71AF56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B28B1AAC"/>
    <w:multiLevelType w:val="singleLevel"/>
    <w:tmpl w:val="B28B1AA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DD7C056"/>
    <w:multiLevelType w:val="singleLevel"/>
    <w:tmpl w:val="CDD7C05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194163C7"/>
    <w:rsid w:val="291C455A"/>
    <w:rsid w:val="36926D0C"/>
    <w:rsid w:val="45EA3FD2"/>
    <w:rsid w:val="4DAF2BCF"/>
    <w:rsid w:val="4DDB6F66"/>
    <w:rsid w:val="5C2D1008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2024-05-20T06:59:07Z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0B61537108B644CDAC6FD6F41441F5A6</vt:lpwstr>
  </property>
</Properties>
</file>